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Thesis figures: what to insert, where, and what to replace</w:t>
      </w:r>
    </w:p>
    <w:p>
      <w:pPr>
        <w:pStyle w:val="BodyTextlead"/>
        <w:bidi w:val="0"/>
        <w:jc w:val="left"/>
        <w:rPr/>
      </w:pPr>
      <w:r>
        <w:rPr/>
        <w:t xml:space="preserve">Companion to </w:t>
      </w:r>
      <w:r>
        <w:rPr>
          <w:rStyle w:val="SourceText"/>
        </w:rPr>
        <w:t>THESIS_REVISION_PLAN.md</w:t>
      </w:r>
      <w:r>
        <w:rPr/>
        <w:t xml:space="preserve">. Generated 30 July 2026 from </w:t>
      </w:r>
      <w:r>
        <w:rPr>
          <w:rStyle w:val="SourceText"/>
        </w:rPr>
        <w:t>thesis1.md</w:t>
      </w:r>
      <w:r>
        <w:rPr/>
        <w:t xml:space="preserve"> and the full project folder. Every figure listed here is in </w:t>
      </w:r>
      <w:r>
        <w:rPr>
          <w:rStyle w:val="SourceText"/>
        </w:rPr>
        <w:t>Doc images/</w:t>
      </w:r>
      <w:r>
        <w:rPr/>
        <w:t xml:space="preserve"> with a name beginning </w:t>
      </w:r>
      <w:r>
        <w:rPr>
          <w:rStyle w:val="SourceText"/>
        </w:rPr>
        <w:t>NEW_fig_</w:t>
      </w:r>
      <w:r>
        <w:rPr/>
        <w:t>. Numbers quoted in the captions were measured by running the code, not estimated.</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Read first.</w:t>
      </w:r>
      <w:r>
        <w:rPr>
          <w:sz w:val="20"/>
          <w:bdr w:val="single" w:sz="24" w:space="9" w:color="B3261E"/>
          <w:shd w:fill="FDECEB" w:val="clear"/>
        </w:rPr>
        <w:t xml:space="preserve"> Three figures in your draft cannot be generated from data because they need photographs of the physical dome that do not exist in the project folder. See </w:t>
      </w:r>
      <w:r>
        <w:rPr>
          <w:b/>
          <w:sz w:val="20"/>
          <w:bdr w:val="single" w:sz="24" w:space="9" w:color="B3261E"/>
          <w:shd w:fill="FDECEB" w:val="clear"/>
        </w:rPr>
        <w:t>Section A</w:t>
      </w:r>
      <w:r>
        <w:rPr>
          <w:sz w:val="20"/>
          <w:bdr w:val="single" w:sz="24" w:space="9" w:color="B3261E"/>
          <w:shd w:fill="FDECEB" w:val="clear"/>
        </w:rPr>
        <w:t xml:space="preserve"> below. That is the only gap in the figure set and it needs your camera, not mine.</w:t>
      </w:r>
    </w:p>
    <w:p>
      <w:pPr>
        <w:pStyle w:val="Heading2"/>
        <w:bidi w:val="0"/>
        <w:jc w:val="left"/>
        <w:rPr/>
      </w:pPr>
      <w:r>
        <w:rPr/>
        <w:t>A. Photographs you must take yourself</w:t>
      </w:r>
    </w:p>
    <w:p>
      <w:pPr>
        <w:pStyle w:val="BodyText"/>
        <w:bidi w:val="0"/>
        <w:jc w:val="left"/>
        <w:rPr/>
      </w:pPr>
      <w:r>
        <w:rPr/>
        <w:t xml:space="preserve">Your draft has three figure slots that require photographs of the built dome. Searching the whole project folder turns up axis-test photographs but </w:t>
      </w:r>
      <w:r>
        <w:rPr>
          <w:b/>
        </w:rPr>
        <w:t>no photograph of the assembled dome</w:t>
      </w:r>
      <w:r>
        <w:rPr/>
        <w:t xml:space="preserve">. The captures in </w:t>
      </w:r>
      <w:r>
        <w:rPr>
          <w:rStyle w:val="SourceText"/>
        </w:rPr>
        <w:t>captures/</w:t>
      </w:r>
      <w:r>
        <w:rPr/>
        <w:t xml:space="preserve"> are all through the bare lens.</w:t>
      </w:r>
    </w:p>
    <w:tbl>
      <w:tblPr>
        <w:tblW w:w="11339" w:type="dxa"/>
        <w:jc w:val="left"/>
        <w:tblInd w:w="28" w:type="dxa"/>
        <w:tblLayout w:type="fixed"/>
        <w:tblCellMar>
          <w:top w:w="28" w:type="dxa"/>
          <w:left w:w="28" w:type="dxa"/>
          <w:bottom w:w="28" w:type="dxa"/>
          <w:right w:w="28" w:type="dxa"/>
        </w:tblCellMar>
      </w:tblPr>
      <w:tblGrid>
        <w:gridCol w:w="2286"/>
        <w:gridCol w:w="3776"/>
        <w:gridCol w:w="5277"/>
      </w:tblGrid>
      <w:tr>
        <w:trPr/>
        <w:tc>
          <w:tcPr>
            <w:tcW w:w="2286" w:type="dxa"/>
            <w:tcBorders/>
            <w:vAlign w:val="center"/>
          </w:tcPr>
          <w:p>
            <w:pPr>
              <w:pStyle w:val="TableHeading"/>
              <w:bidi w:val="0"/>
              <w:spacing w:before="100" w:after="100"/>
              <w:ind w:hanging="0" w:left="0" w:right="0"/>
              <w:jc w:val="left"/>
              <w:rPr/>
            </w:pPr>
            <w:r>
              <w:rPr/>
              <w:t>Draft slot</w:t>
            </w:r>
          </w:p>
        </w:tc>
        <w:tc>
          <w:tcPr>
            <w:tcW w:w="3776" w:type="dxa"/>
            <w:tcBorders/>
            <w:vAlign w:val="center"/>
          </w:tcPr>
          <w:p>
            <w:pPr>
              <w:pStyle w:val="TableHeading"/>
              <w:suppressLineNumbers/>
              <w:shd w:fill="1A3D7C" w:val="clear"/>
              <w:bidi w:val="0"/>
              <w:spacing w:before="100" w:after="100"/>
              <w:jc w:val="left"/>
              <w:rPr/>
            </w:pPr>
            <w:r>
              <w:rPr/>
              <w:t>What it must show</w:t>
            </w:r>
          </w:p>
        </w:tc>
        <w:tc>
          <w:tcPr>
            <w:tcW w:w="5277" w:type="dxa"/>
            <w:tcBorders/>
            <w:vAlign w:val="center"/>
          </w:tcPr>
          <w:p>
            <w:pPr>
              <w:pStyle w:val="TableHeading"/>
              <w:suppressLineNumbers/>
              <w:shd w:fill="1A3D7C" w:val="clear"/>
              <w:bidi w:val="0"/>
              <w:spacing w:before="100" w:after="100"/>
              <w:jc w:val="left"/>
              <w:rPr/>
            </w:pPr>
            <w:r>
              <w:rPr/>
              <w:t>Status</w:t>
            </w:r>
          </w:p>
        </w:tc>
      </w:tr>
      <w:tr>
        <w:trPr/>
        <w:tc>
          <w:tcPr>
            <w:tcW w:w="2286" w:type="dxa"/>
            <w:tcBorders/>
            <w:vAlign w:val="center"/>
          </w:tcPr>
          <w:p>
            <w:pPr>
              <w:pStyle w:val="TableContents"/>
              <w:bidi w:val="0"/>
              <w:spacing w:before="100" w:after="100"/>
              <w:jc w:val="left"/>
              <w:rPr/>
            </w:pPr>
            <w:r>
              <w:rPr/>
              <w:t>Fig 4.1 "Image of constructed dome"</w:t>
            </w:r>
          </w:p>
        </w:tc>
        <w:tc>
          <w:tcPr>
            <w:tcW w:w="3776" w:type="dxa"/>
            <w:tcBorders/>
            <w:vAlign w:val="center"/>
          </w:tcPr>
          <w:p>
            <w:pPr>
              <w:pStyle w:val="TableContents"/>
              <w:bidi w:val="0"/>
              <w:spacing w:before="100" w:after="100"/>
              <w:jc w:val="left"/>
              <w:rPr/>
            </w:pPr>
            <w:r>
              <w:rPr/>
              <w:t>The assembled eight-gore dome sitting on its octagonal lid mount, photographed from outside in daylight</w:t>
            </w:r>
          </w:p>
        </w:tc>
        <w:tc>
          <w:tcPr>
            <w:tcW w:w="5277" w:type="dxa"/>
            <w:tcBorders/>
            <w:vAlign w:val="center"/>
          </w:tcPr>
          <w:p>
            <w:pPr>
              <w:pStyle w:val="TableContents"/>
              <w:bidi w:val="0"/>
              <w:spacing w:before="100" w:after="100"/>
              <w:jc w:val="left"/>
              <w:rPr>
                <w:b/>
              </w:rPr>
            </w:pPr>
            <w:r>
              <w:rPr>
                <w:b/>
              </w:rPr>
              <w:t>Missing. Photograph it.</w:t>
            </w:r>
          </w:p>
        </w:tc>
      </w:tr>
      <w:tr>
        <w:trPr/>
        <w:tc>
          <w:tcPr>
            <w:tcW w:w="2286" w:type="dxa"/>
            <w:tcBorders/>
            <w:vAlign w:val="center"/>
          </w:tcPr>
          <w:p>
            <w:pPr>
              <w:pStyle w:val="TableContents"/>
              <w:bidi w:val="0"/>
              <w:spacing w:before="100" w:after="100"/>
              <w:jc w:val="left"/>
              <w:rPr/>
            </w:pPr>
            <w:r>
              <w:rPr/>
              <w:t>Fig 4.3 "Final Dome Construction Prototype"</w:t>
            </w:r>
          </w:p>
        </w:tc>
        <w:tc>
          <w:tcPr>
            <w:tcW w:w="3776" w:type="dxa"/>
            <w:tcBorders/>
            <w:vAlign w:val="center"/>
          </w:tcPr>
          <w:p>
            <w:pPr>
              <w:pStyle w:val="TableContents"/>
              <w:bidi w:val="0"/>
              <w:spacing w:before="100" w:after="100"/>
              <w:jc w:val="left"/>
              <w:rPr/>
            </w:pPr>
            <w:r>
              <w:rPr/>
              <w:t>The complete rig: dome over the camera, levelled, with the North mark visible on the rim</w:t>
            </w:r>
          </w:p>
        </w:tc>
        <w:tc>
          <w:tcPr>
            <w:tcW w:w="5277" w:type="dxa"/>
            <w:tcBorders/>
            <w:vAlign w:val="center"/>
          </w:tcPr>
          <w:p>
            <w:pPr>
              <w:pStyle w:val="TableContents"/>
              <w:bidi w:val="0"/>
              <w:spacing w:before="100" w:after="100"/>
              <w:jc w:val="left"/>
              <w:rPr>
                <w:b/>
              </w:rPr>
            </w:pPr>
            <w:r>
              <w:rPr>
                <w:b/>
              </w:rPr>
              <w:t>Missing. Photograph it.</w:t>
            </w:r>
          </w:p>
        </w:tc>
      </w:tr>
      <w:tr>
        <w:trPr/>
        <w:tc>
          <w:tcPr>
            <w:tcW w:w="2286" w:type="dxa"/>
            <w:tcBorders/>
            <w:vAlign w:val="center"/>
          </w:tcPr>
          <w:p>
            <w:pPr>
              <w:pStyle w:val="TableContents"/>
              <w:bidi w:val="0"/>
              <w:spacing w:before="100" w:after="100"/>
              <w:jc w:val="left"/>
              <w:rPr/>
            </w:pPr>
            <w:r>
              <w:rPr/>
              <w:t>Film axis confirmation</w:t>
            </w:r>
          </w:p>
        </w:tc>
        <w:tc>
          <w:tcPr>
            <w:tcW w:w="3776" w:type="dxa"/>
            <w:tcBorders/>
            <w:vAlign w:val="center"/>
          </w:tcPr>
          <w:p>
            <w:pPr>
              <w:pStyle w:val="TableContents"/>
              <w:bidi w:val="0"/>
              <w:spacing w:before="100" w:after="100"/>
              <w:jc w:val="left"/>
              <w:rPr/>
            </w:pPr>
            <w:r>
              <w:rPr/>
              <w:t>Two sheets crossed, one half bright and one half dark</w:t>
            </w:r>
          </w:p>
        </w:tc>
        <w:tc>
          <w:tcPr>
            <w:tcW w:w="5277" w:type="dxa"/>
            <w:tcBorders/>
            <w:vAlign w:val="center"/>
          </w:tcPr>
          <w:p>
            <w:pPr>
              <w:pStyle w:val="TableContents"/>
              <w:bidi w:val="0"/>
              <w:spacing w:before="100" w:after="100"/>
              <w:jc w:val="left"/>
              <w:rPr/>
            </w:pPr>
            <w:r>
              <w:rPr>
                <w:b/>
              </w:rPr>
              <w:t>You already have this.</w:t>
            </w:r>
            <w:r>
              <w:rPr/>
              <w:t xml:space="preserve"> Use </w:t>
            </w:r>
            <w:r>
              <w:rPr>
                <w:rStyle w:val="SourceText"/>
              </w:rPr>
              <w:t>Doc images/WhatsApp Image 2026-07-28 at 20.46.01.jpeg</w:t>
            </w:r>
            <w:r>
              <w:rPr/>
              <w:t xml:space="preserve"> (in </w:t>
            </w:r>
            <w:r>
              <w:rPr>
                <w:rStyle w:val="SourceText"/>
              </w:rPr>
              <w:t>Other images/</w:t>
            </w:r>
            <w:r>
              <w:rPr/>
              <w:t xml:space="preserve">), or the outdoor version </w:t>
            </w:r>
            <w:r>
              <w:rPr>
                <w:rStyle w:val="SourceText"/>
              </w:rPr>
              <w:t>12.37.23.jpeg</w:t>
            </w:r>
          </w:p>
        </w:tc>
      </w:tr>
    </w:tbl>
    <w:p>
      <w:pPr>
        <w:pStyle w:val="BodyText"/>
        <w:bidi w:val="0"/>
        <w:spacing w:before="160" w:after="160"/>
        <w:ind w:hanging="0" w:left="160" w:right="160"/>
        <w:jc w:val="left"/>
        <w:rPr>
          <w:sz w:val="20"/>
          <w:bdr w:val="single" w:sz="24" w:space="9" w:color="D99100"/>
          <w:shd w:fill="FFF8E6" w:val="clear"/>
        </w:rPr>
      </w:pPr>
      <w:r>
        <w:rPr>
          <w:sz w:val="20"/>
          <w:bdr w:val="single" w:sz="24" w:space="9" w:color="D99100"/>
          <w:shd w:fill="FFF8E6" w:val="clear"/>
        </w:rPr>
        <w:t>When you photograph the dome, put a ruler or a coin in the frame for scale, and take one shot looking down the optical axis so the eight gores and the apex are visible. Also measure the finished dome radius and the lid circumradius with a ruler and write both numbers into Section 4.2; the confirmed cutting guide has blank lines for exactly these.</w:t>
      </w:r>
    </w:p>
    <w:p>
      <w:pPr>
        <w:pStyle w:val="Heading2"/>
        <w:bidi w:val="0"/>
        <w:jc w:val="left"/>
        <w:rPr/>
      </w:pPr>
      <w:r>
        <w:rPr/>
        <w:t>B. Complete figure inventory</w:t>
      </w:r>
    </w:p>
    <w:tbl>
      <w:tblPr>
        <w:tblW w:w="11339" w:type="dxa"/>
        <w:jc w:val="left"/>
        <w:tblInd w:w="28" w:type="dxa"/>
        <w:tblLayout w:type="fixed"/>
        <w:tblCellMar>
          <w:top w:w="28" w:type="dxa"/>
          <w:left w:w="28" w:type="dxa"/>
          <w:bottom w:w="28" w:type="dxa"/>
          <w:right w:w="28" w:type="dxa"/>
        </w:tblCellMar>
      </w:tblPr>
      <w:tblGrid>
        <w:gridCol w:w="4433"/>
        <w:gridCol w:w="1851"/>
        <w:gridCol w:w="5055"/>
      </w:tblGrid>
      <w:tr>
        <w:trPr/>
        <w:tc>
          <w:tcPr>
            <w:tcW w:w="4433" w:type="dxa"/>
            <w:tcBorders/>
            <w:vAlign w:val="center"/>
          </w:tcPr>
          <w:p>
            <w:pPr>
              <w:pStyle w:val="TableHeading"/>
              <w:bidi w:val="0"/>
              <w:spacing w:before="100" w:after="100"/>
              <w:ind w:hanging="0" w:left="0" w:right="0"/>
              <w:jc w:val="left"/>
              <w:rPr/>
            </w:pPr>
            <w:r>
              <w:rPr/>
              <w:t xml:space="preserve">File in </w:t>
            </w:r>
            <w:r>
              <w:rPr>
                <w:rStyle w:val="SourceText"/>
              </w:rPr>
              <w:t>Doc images/</w:t>
            </w:r>
          </w:p>
        </w:tc>
        <w:tc>
          <w:tcPr>
            <w:tcW w:w="1851" w:type="dxa"/>
            <w:tcBorders/>
            <w:vAlign w:val="center"/>
          </w:tcPr>
          <w:p>
            <w:pPr>
              <w:pStyle w:val="TableHeading"/>
              <w:suppressLineNumbers/>
              <w:shd w:fill="1A3D7C" w:val="clear"/>
              <w:bidi w:val="0"/>
              <w:spacing w:before="100" w:after="100"/>
              <w:jc w:val="left"/>
              <w:rPr/>
            </w:pPr>
            <w:r>
              <w:rPr/>
              <w:t>Goes in</w:t>
            </w:r>
          </w:p>
        </w:tc>
        <w:tc>
          <w:tcPr>
            <w:tcW w:w="5055" w:type="dxa"/>
            <w:tcBorders/>
            <w:vAlign w:val="center"/>
          </w:tcPr>
          <w:p>
            <w:pPr>
              <w:pStyle w:val="TableHeading"/>
              <w:bidi w:val="0"/>
              <w:spacing w:before="100" w:after="100"/>
              <w:ind w:hanging="0" w:left="0" w:right="0"/>
              <w:jc w:val="left"/>
              <w:rPr/>
            </w:pPr>
            <w:r>
              <w:rPr/>
              <w:t>Replaces or fills</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NEW_fig_3_1_azimuth_conventions.png</w:t>
            </w:r>
          </w:p>
        </w:tc>
        <w:tc>
          <w:tcPr>
            <w:tcW w:w="1851" w:type="dxa"/>
            <w:tcBorders/>
            <w:vAlign w:val="center"/>
          </w:tcPr>
          <w:p>
            <w:pPr>
              <w:pStyle w:val="TableContents"/>
              <w:bidi w:val="0"/>
              <w:spacing w:before="100" w:after="100"/>
              <w:jc w:val="left"/>
              <w:rPr/>
            </w:pPr>
            <w:r>
              <w:rPr/>
              <w:t>§3.1, end</w:t>
            </w:r>
          </w:p>
        </w:tc>
        <w:tc>
          <w:tcPr>
            <w:tcW w:w="5055" w:type="dxa"/>
            <w:tcBorders/>
            <w:vAlign w:val="center"/>
          </w:tcPr>
          <w:p>
            <w:pPr>
              <w:pStyle w:val="TableContents"/>
              <w:bidi w:val="0"/>
              <w:spacing w:before="100" w:after="100"/>
              <w:ind w:hanging="0" w:left="0" w:right="0"/>
              <w:jc w:val="left"/>
              <w:rPr/>
            </w:pPr>
            <w:r>
              <w:rPr/>
              <w:t>New. No figure existed. Fixes the thesis's most repeated source of confusion.</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NEW_fig_3_3_dop_vs_scattering_angle.png</w:t>
            </w:r>
          </w:p>
        </w:tc>
        <w:tc>
          <w:tcPr>
            <w:tcW w:w="1851" w:type="dxa"/>
            <w:tcBorders/>
            <w:vAlign w:val="center"/>
          </w:tcPr>
          <w:p>
            <w:pPr>
              <w:pStyle w:val="TableContents"/>
              <w:bidi w:val="0"/>
              <w:spacing w:before="100" w:after="100"/>
              <w:jc w:val="left"/>
              <w:rPr/>
            </w:pPr>
            <w:r>
              <w:rPr/>
              <w:t>§3.3, by the DoP equation</w:t>
            </w:r>
          </w:p>
        </w:tc>
        <w:tc>
          <w:tcPr>
            <w:tcW w:w="5055" w:type="dxa"/>
            <w:tcBorders/>
            <w:vAlign w:val="center"/>
          </w:tcPr>
          <w:p>
            <w:pPr>
              <w:pStyle w:val="TableContents"/>
              <w:bidi w:val="0"/>
              <w:spacing w:before="100" w:after="100"/>
              <w:ind w:hanging="0" w:left="0" w:right="0"/>
              <w:jc w:val="left"/>
              <w:rPr/>
            </w:pPr>
            <w:r>
              <w:rPr/>
              <w:t>New. Illustrates the equation that currently stands alone.</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NEW_fig_4_1_gore_template_R40.png</w:t>
            </w:r>
          </w:p>
        </w:tc>
        <w:tc>
          <w:tcPr>
            <w:tcW w:w="1851" w:type="dxa"/>
            <w:tcBorders/>
            <w:vAlign w:val="center"/>
          </w:tcPr>
          <w:p>
            <w:pPr>
              <w:pStyle w:val="TableContents"/>
              <w:bidi w:val="0"/>
              <w:spacing w:before="100" w:after="100"/>
              <w:jc w:val="left"/>
              <w:rPr/>
            </w:pPr>
            <w:r>
              <w:rPr/>
              <w:t>§4.2</w:t>
            </w:r>
          </w:p>
        </w:tc>
        <w:tc>
          <w:tcPr>
            <w:tcW w:w="5055" w:type="dxa"/>
            <w:tcBorders/>
            <w:vAlign w:val="center"/>
          </w:tcPr>
          <w:p>
            <w:pPr>
              <w:pStyle w:val="TableContents"/>
              <w:bidi w:val="0"/>
              <w:spacing w:before="100" w:after="100"/>
              <w:ind w:hanging="0" w:left="0" w:right="0"/>
              <w:jc w:val="left"/>
              <w:rPr/>
            </w:pPr>
            <w:r>
              <w:rPr>
                <w:b/>
              </w:rPr>
              <w:t>Replaces Fig 4.2</w:t>
            </w:r>
            <w:r>
              <w:rPr/>
              <w:t xml:space="preserve"> and the wrong R = 9 cm text.</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NEW_fig_4_4_processing_pipeline.png</w:t>
            </w:r>
          </w:p>
        </w:tc>
        <w:tc>
          <w:tcPr>
            <w:tcW w:w="1851" w:type="dxa"/>
            <w:tcBorders/>
            <w:vAlign w:val="center"/>
          </w:tcPr>
          <w:p>
            <w:pPr>
              <w:pStyle w:val="TableContents"/>
              <w:bidi w:val="0"/>
              <w:spacing w:before="100" w:after="100"/>
              <w:jc w:val="left"/>
              <w:rPr/>
            </w:pPr>
            <w:r>
              <w:rPr/>
              <w:t>§4.4</w:t>
            </w:r>
          </w:p>
        </w:tc>
        <w:tc>
          <w:tcPr>
            <w:tcW w:w="5055" w:type="dxa"/>
            <w:tcBorders/>
            <w:vAlign w:val="center"/>
          </w:tcPr>
          <w:p>
            <w:pPr>
              <w:pStyle w:val="TableContents"/>
              <w:bidi w:val="0"/>
              <w:spacing w:before="100" w:after="100"/>
              <w:ind w:hanging="0" w:left="0" w:right="0"/>
              <w:jc w:val="left"/>
              <w:rPr/>
            </w:pPr>
            <w:r>
              <w:rPr/>
              <w:t>Fills the placeholder "[ Figure 4.2: processing pipeline ]".</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NEW_fig_5_1_exposure_bracket.png</w:t>
            </w:r>
          </w:p>
        </w:tc>
        <w:tc>
          <w:tcPr>
            <w:tcW w:w="1851" w:type="dxa"/>
            <w:tcBorders/>
            <w:vAlign w:val="center"/>
          </w:tcPr>
          <w:p>
            <w:pPr>
              <w:pStyle w:val="TableContents"/>
              <w:bidi w:val="0"/>
              <w:spacing w:before="100" w:after="100"/>
              <w:jc w:val="left"/>
              <w:rPr/>
            </w:pPr>
            <w:r>
              <w:rPr/>
              <w:t>§5.1</w:t>
            </w:r>
          </w:p>
        </w:tc>
        <w:tc>
          <w:tcPr>
            <w:tcW w:w="5055" w:type="dxa"/>
            <w:tcBorders/>
            <w:vAlign w:val="center"/>
          </w:tcPr>
          <w:p>
            <w:pPr>
              <w:pStyle w:val="TableContents"/>
              <w:bidi w:val="0"/>
              <w:spacing w:before="100" w:after="100"/>
              <w:ind w:hanging="0" w:left="0" w:right="0"/>
              <w:jc w:val="left"/>
              <w:rPr/>
            </w:pPr>
            <w:r>
              <w:rPr/>
              <w:t>New. Supports the exposure discussion with measured data.</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NEW_fig_6_2_azimuth_profile.png</w:t>
            </w:r>
          </w:p>
        </w:tc>
        <w:tc>
          <w:tcPr>
            <w:tcW w:w="1851" w:type="dxa"/>
            <w:tcBorders/>
            <w:vAlign w:val="center"/>
          </w:tcPr>
          <w:p>
            <w:pPr>
              <w:pStyle w:val="TableContents"/>
              <w:bidi w:val="0"/>
              <w:spacing w:before="100" w:after="100"/>
              <w:jc w:val="left"/>
              <w:rPr/>
            </w:pPr>
            <w:r>
              <w:rPr/>
              <w:t>§6.2, after Fig 6.2</w:t>
            </w:r>
          </w:p>
        </w:tc>
        <w:tc>
          <w:tcPr>
            <w:tcW w:w="5055" w:type="dxa"/>
            <w:tcBorders/>
            <w:vAlign w:val="center"/>
          </w:tcPr>
          <w:p>
            <w:pPr>
              <w:pStyle w:val="TableContents"/>
              <w:bidi w:val="0"/>
              <w:spacing w:before="100" w:after="100"/>
              <w:ind w:hanging="0" w:left="0" w:right="0"/>
              <w:jc w:val="left"/>
              <w:rPr/>
            </w:pPr>
            <w:r>
              <w:rPr/>
              <w:t>New. Proof for the corrected dark-band claim.</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outputs/polarizer_band_demo.png</w:t>
            </w:r>
          </w:p>
        </w:tc>
        <w:tc>
          <w:tcPr>
            <w:tcW w:w="1851" w:type="dxa"/>
            <w:tcBorders/>
            <w:vAlign w:val="center"/>
          </w:tcPr>
          <w:p>
            <w:pPr>
              <w:pStyle w:val="TableContents"/>
              <w:bidi w:val="0"/>
              <w:spacing w:before="100" w:after="100"/>
              <w:jc w:val="left"/>
              <w:rPr/>
            </w:pPr>
            <w:r>
              <w:rPr/>
              <w:t>§6.2 (Fig 6.2)</w:t>
            </w:r>
          </w:p>
        </w:tc>
        <w:tc>
          <w:tcPr>
            <w:tcW w:w="5055" w:type="dxa"/>
            <w:tcBorders/>
            <w:vAlign w:val="center"/>
          </w:tcPr>
          <w:p>
            <w:pPr>
              <w:pStyle w:val="TableContents"/>
              <w:bidi w:val="0"/>
              <w:spacing w:before="100" w:after="100"/>
              <w:ind w:hanging="0" w:left="0" w:right="0"/>
              <w:jc w:val="left"/>
              <w:rPr/>
            </w:pPr>
            <w:r>
              <w:rPr>
                <w:b/>
              </w:rPr>
              <w:t>Re-insert.</w:t>
            </w:r>
            <w:r>
              <w:rPr/>
              <w:t xml:space="preserve"> The version in your draft carries a false caption printed inside the image.</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NEW_fig_6_3a_error_by_condition.png</w:t>
            </w:r>
          </w:p>
        </w:tc>
        <w:tc>
          <w:tcPr>
            <w:tcW w:w="1851" w:type="dxa"/>
            <w:tcBorders/>
            <w:vAlign w:val="center"/>
          </w:tcPr>
          <w:p>
            <w:pPr>
              <w:pStyle w:val="TableContents"/>
              <w:bidi w:val="0"/>
              <w:spacing w:before="100" w:after="100"/>
              <w:jc w:val="left"/>
              <w:rPr/>
            </w:pPr>
            <w:r>
              <w:rPr/>
              <w:t>§6.3, before Table 6.1</w:t>
            </w:r>
          </w:p>
        </w:tc>
        <w:tc>
          <w:tcPr>
            <w:tcW w:w="5055" w:type="dxa"/>
            <w:tcBorders/>
            <w:vAlign w:val="center"/>
          </w:tcPr>
          <w:p>
            <w:pPr>
              <w:pStyle w:val="TableContents"/>
              <w:bidi w:val="0"/>
              <w:spacing w:before="100" w:after="100"/>
              <w:ind w:hanging="0" w:left="0" w:right="0"/>
              <w:jc w:val="left"/>
              <w:rPr/>
            </w:pPr>
            <w:r>
              <w:rPr/>
              <w:t>New. Visual summary of the six-condition matrix.</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NEW_fig_6_3b_error_distributions.png</w:t>
            </w:r>
          </w:p>
        </w:tc>
        <w:tc>
          <w:tcPr>
            <w:tcW w:w="1851" w:type="dxa"/>
            <w:tcBorders/>
            <w:vAlign w:val="center"/>
          </w:tcPr>
          <w:p>
            <w:pPr>
              <w:pStyle w:val="TableContents"/>
              <w:bidi w:val="0"/>
              <w:spacing w:before="100" w:after="100"/>
              <w:jc w:val="left"/>
              <w:rPr/>
            </w:pPr>
            <w:r>
              <w:rPr/>
              <w:t>§6.3, after Table 6.1</w:t>
            </w:r>
          </w:p>
        </w:tc>
        <w:tc>
          <w:tcPr>
            <w:tcW w:w="5055" w:type="dxa"/>
            <w:tcBorders/>
            <w:vAlign w:val="center"/>
          </w:tcPr>
          <w:p>
            <w:pPr>
              <w:pStyle w:val="TableContents"/>
              <w:bidi w:val="0"/>
              <w:spacing w:before="100" w:after="100"/>
              <w:ind w:hanging="0" w:left="0" w:right="0"/>
              <w:jc w:val="left"/>
              <w:rPr/>
            </w:pPr>
            <w:r>
              <w:rPr/>
              <w:t>New. Shows the bimodality that explains the mean-median gap.</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NEW_fig_6_3c_error_vs_elevation.png</w:t>
            </w:r>
          </w:p>
        </w:tc>
        <w:tc>
          <w:tcPr>
            <w:tcW w:w="1851" w:type="dxa"/>
            <w:tcBorders/>
            <w:vAlign w:val="center"/>
          </w:tcPr>
          <w:p>
            <w:pPr>
              <w:pStyle w:val="TableContents"/>
              <w:bidi w:val="0"/>
              <w:spacing w:before="100" w:after="100"/>
              <w:jc w:val="left"/>
              <w:rPr/>
            </w:pPr>
            <w:r>
              <w:rPr/>
              <w:t>§6.3, optional</w:t>
            </w:r>
          </w:p>
        </w:tc>
        <w:tc>
          <w:tcPr>
            <w:tcW w:w="5055" w:type="dxa"/>
            <w:tcBorders/>
            <w:vAlign w:val="center"/>
          </w:tcPr>
          <w:p>
            <w:pPr>
              <w:pStyle w:val="TableContents"/>
              <w:bidi w:val="0"/>
              <w:spacing w:before="100" w:after="100"/>
              <w:ind w:hanging="0" w:left="0" w:right="0"/>
              <w:jc w:val="left"/>
              <w:rPr/>
            </w:pPr>
            <w:r>
              <w:rPr/>
              <w:t>New. Ties accuracy to the high-latitude elevation range.</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NEW_fig_6_4a_exposure_disc_tradeoff.png</w:t>
            </w:r>
          </w:p>
        </w:tc>
        <w:tc>
          <w:tcPr>
            <w:tcW w:w="1851" w:type="dxa"/>
            <w:tcBorders/>
            <w:vAlign w:val="center"/>
          </w:tcPr>
          <w:p>
            <w:pPr>
              <w:pStyle w:val="TableContents"/>
              <w:bidi w:val="0"/>
              <w:spacing w:before="100" w:after="100"/>
              <w:jc w:val="left"/>
              <w:rPr/>
            </w:pPr>
            <w:r>
              <w:rPr/>
              <w:t>§6.4 (new section)</w:t>
            </w:r>
          </w:p>
        </w:tc>
        <w:tc>
          <w:tcPr>
            <w:tcW w:w="5055" w:type="dxa"/>
            <w:tcBorders/>
            <w:vAlign w:val="center"/>
          </w:tcPr>
          <w:p>
            <w:pPr>
              <w:pStyle w:val="TableContents"/>
              <w:bidi w:val="0"/>
              <w:spacing w:before="100" w:after="100"/>
              <w:ind w:hanging="0" w:left="0" w:right="0"/>
              <w:jc w:val="left"/>
              <w:rPr/>
            </w:pPr>
            <w:r>
              <w:rPr/>
              <w:t>New. The central result of the new section.</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NEW_fig_6_4b_captured_frames.png</w:t>
            </w:r>
          </w:p>
        </w:tc>
        <w:tc>
          <w:tcPr>
            <w:tcW w:w="1851" w:type="dxa"/>
            <w:tcBorders/>
            <w:vAlign w:val="center"/>
          </w:tcPr>
          <w:p>
            <w:pPr>
              <w:pStyle w:val="TableContents"/>
              <w:bidi w:val="0"/>
              <w:spacing w:before="100" w:after="100"/>
              <w:jc w:val="left"/>
              <w:rPr/>
            </w:pPr>
            <w:r>
              <w:rPr/>
              <w:t>§6.4 (new section)</w:t>
            </w:r>
          </w:p>
        </w:tc>
        <w:tc>
          <w:tcPr>
            <w:tcW w:w="5055" w:type="dxa"/>
            <w:tcBorders/>
            <w:vAlign w:val="center"/>
          </w:tcPr>
          <w:p>
            <w:pPr>
              <w:pStyle w:val="TableContents"/>
              <w:bidi w:val="0"/>
              <w:spacing w:before="100" w:after="100"/>
              <w:ind w:hanging="0" w:left="0" w:right="0"/>
              <w:jc w:val="left"/>
              <w:rPr/>
            </w:pPr>
            <w:r>
              <w:rPr/>
              <w:t>New. Shows what the captures actually contain.</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NEW_fig_7_1_confidence_vs_error.png</w:t>
            </w:r>
          </w:p>
        </w:tc>
        <w:tc>
          <w:tcPr>
            <w:tcW w:w="1851" w:type="dxa"/>
            <w:tcBorders/>
            <w:vAlign w:val="center"/>
          </w:tcPr>
          <w:p>
            <w:pPr>
              <w:pStyle w:val="TableContents"/>
              <w:bidi w:val="0"/>
              <w:spacing w:before="100" w:after="100"/>
              <w:jc w:val="left"/>
              <w:rPr/>
            </w:pPr>
            <w:r>
              <w:rPr/>
              <w:t>§7.1</w:t>
            </w:r>
          </w:p>
        </w:tc>
        <w:tc>
          <w:tcPr>
            <w:tcW w:w="5055" w:type="dxa"/>
            <w:tcBorders/>
            <w:vAlign w:val="center"/>
          </w:tcPr>
          <w:p>
            <w:pPr>
              <w:pStyle w:val="TableContents"/>
              <w:bidi w:val="0"/>
              <w:spacing w:before="100" w:after="100"/>
              <w:ind w:hanging="0" w:left="0" w:right="0"/>
              <w:jc w:val="left"/>
              <w:rPr/>
            </w:pPr>
            <w:r>
              <w:rPr/>
              <w:t>New. Evidence for the confidence-metric limitation.</w:t>
            </w:r>
          </w:p>
        </w:tc>
      </w:tr>
      <w:tr>
        <w:trPr/>
        <w:tc>
          <w:tcPr>
            <w:tcW w:w="4433" w:type="dxa"/>
            <w:tcBorders/>
            <w:vAlign w:val="center"/>
          </w:tcPr>
          <w:p>
            <w:pPr>
              <w:pStyle w:val="TableContents"/>
              <w:bidi w:val="0"/>
              <w:spacing w:before="100" w:after="100"/>
              <w:jc w:val="left"/>
              <w:rPr>
                <w:rFonts w:ascii="Liberation Mono;monospace" w:hAnsi="Liberation Mono;monospace"/>
                <w:b/>
                <w:color w:val="1A3D7C"/>
                <w:sz w:val="18"/>
              </w:rPr>
            </w:pPr>
            <w:r>
              <w:rPr>
                <w:rFonts w:ascii="Liberation Mono;monospace" w:hAnsi="Liberation Mono;monospace"/>
                <w:b/>
                <w:color w:val="1A3D7C"/>
                <w:sz w:val="18"/>
              </w:rPr>
              <w:t>NEW_fig_7_2_seasonal_solar_arcs.png</w:t>
            </w:r>
          </w:p>
        </w:tc>
        <w:tc>
          <w:tcPr>
            <w:tcW w:w="1851" w:type="dxa"/>
            <w:tcBorders/>
            <w:vAlign w:val="center"/>
          </w:tcPr>
          <w:p>
            <w:pPr>
              <w:pStyle w:val="TableContents"/>
              <w:bidi w:val="0"/>
              <w:spacing w:before="100" w:after="100"/>
              <w:jc w:val="left"/>
              <w:rPr/>
            </w:pPr>
            <w:r>
              <w:rPr/>
              <w:t>§7.2</w:t>
            </w:r>
          </w:p>
        </w:tc>
        <w:tc>
          <w:tcPr>
            <w:tcW w:w="5055" w:type="dxa"/>
            <w:tcBorders/>
            <w:vAlign w:val="center"/>
          </w:tcPr>
          <w:p>
            <w:pPr>
              <w:pStyle w:val="TableContents"/>
              <w:bidi w:val="0"/>
              <w:spacing w:before="100" w:after="100"/>
              <w:jc w:val="left"/>
              <w:rPr/>
            </w:pPr>
            <w:r>
              <w:rPr/>
              <w:t>New. Supports the October discussion.</w:t>
            </w:r>
          </w:p>
        </w:tc>
      </w:tr>
    </w:tbl>
    <w:p>
      <w:pPr>
        <w:pStyle w:val="HorizontalLine"/>
        <w:bidi w:val="0"/>
        <w:jc w:val="left"/>
        <w:rPr/>
      </w:pPr>
      <w:r>
        <w:rPr/>
      </w:r>
    </w:p>
    <w:p>
      <w:pPr>
        <w:pStyle w:val="Heading2"/>
        <w:bidi w:val="0"/>
        <w:jc w:val="left"/>
        <w:rPr/>
      </w:pPr>
      <w:r>
        <w:rPr/>
        <w:t>C. Section by section through the thesis</w:t>
      </w:r>
    </w:p>
    <w:p>
      <w:pPr>
        <w:pStyle w:val="Heading3"/>
        <w:bidi w:val="0"/>
        <w:jc w:val="left"/>
        <w:rPr/>
      </w:pPr>
      <w:r>
        <w:rPr/>
        <w:t>Front matter</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Four placeholders an examiner sees before any content.</w:t>
      </w:r>
      <w:r>
        <w:rPr>
          <w:sz w:val="20"/>
          <w:bdr w:val="single" w:sz="24" w:space="9" w:color="B3261E"/>
          <w:shd w:fill="FDECEB" w:val="clear"/>
        </w:rPr>
        <w:t xml:space="preserve"> </w:t>
      </w:r>
    </w:p>
    <w:p>
      <w:pPr>
        <w:pStyle w:val="BodyText"/>
        <w:numPr>
          <w:ilvl w:val="0"/>
          <w:numId w:val="1"/>
        </w:numPr>
        <w:tabs>
          <w:tab w:val="clear" w:pos="1134"/>
          <w:tab w:val="left" w:pos="869" w:leader="none"/>
        </w:tabs>
        <w:bidi w:val="0"/>
        <w:spacing w:before="160" w:after="160"/>
        <w:ind w:hanging="283" w:left="869" w:right="160"/>
        <w:jc w:val="left"/>
        <w:rPr>
          <w:sz w:val="20"/>
          <w:bdr w:val="single" w:sz="24" w:space="9" w:color="B3261E"/>
          <w:shd w:fill="FDECEB" w:val="clear"/>
        </w:rPr>
      </w:pPr>
      <w:r>
        <w:rPr>
          <w:b/>
          <w:sz w:val="20"/>
          <w:bdr w:val="single" w:sz="24" w:space="9" w:color="B3261E"/>
          <w:shd w:fill="FDECEB" w:val="clear"/>
        </w:rPr>
        <w:t>Abstract</w:t>
      </w:r>
      <w:r>
        <w:rPr>
          <w:sz w:val="20"/>
          <w:bdr w:val="single" w:sz="24" w:space="9" w:color="B3261E"/>
          <w:shd w:fill="FDECEB" w:val="clear"/>
        </w:rPr>
        <w:t xml:space="preserve"> is the literal string "Something here, maybe 3 paragraphs." </w:t>
      </w:r>
    </w:p>
    <w:p>
      <w:pPr>
        <w:pStyle w:val="BodyText"/>
        <w:numPr>
          <w:ilvl w:val="0"/>
          <w:numId w:val="1"/>
        </w:numPr>
        <w:tabs>
          <w:tab w:val="clear" w:pos="1134"/>
          <w:tab w:val="left" w:pos="869" w:leader="none"/>
        </w:tabs>
        <w:bidi w:val="0"/>
        <w:spacing w:before="160" w:after="160"/>
        <w:ind w:hanging="283" w:left="869" w:right="160"/>
        <w:jc w:val="left"/>
        <w:rPr>
          <w:sz w:val="20"/>
          <w:bdr w:val="single" w:sz="24" w:space="9" w:color="B3261E"/>
          <w:shd w:fill="FDECEB" w:val="clear"/>
        </w:rPr>
      </w:pPr>
      <w:r>
        <w:rPr>
          <w:b/>
          <w:sz w:val="20"/>
          <w:bdr w:val="single" w:sz="24" w:space="9" w:color="B3261E"/>
          <w:shd w:fill="FDECEB" w:val="clear"/>
        </w:rPr>
        <w:t>Keywords</w:t>
      </w:r>
      <w:r>
        <w:rPr>
          <w:sz w:val="20"/>
          <w:bdr w:val="single" w:sz="24" w:space="9" w:color="B3261E"/>
          <w:shd w:fill="FDECEB" w:val="clear"/>
        </w:rPr>
        <w:t xml:space="preserve"> are from a different thesis: "large language models, ChatGPT, computing education, learning analytics, object-oriented programming". Replace with: sky compass, polarised skylight, celestial navigation, GNSS-denied navigation, fisheye camera, bio-inspired robotics, dorsal rim area, high-latitude operation. </w:t>
      </w:r>
    </w:p>
    <w:p>
      <w:pPr>
        <w:pStyle w:val="BodyText"/>
        <w:numPr>
          <w:ilvl w:val="0"/>
          <w:numId w:val="1"/>
        </w:numPr>
        <w:tabs>
          <w:tab w:val="clear" w:pos="1134"/>
          <w:tab w:val="left" w:pos="869" w:leader="none"/>
        </w:tabs>
        <w:bidi w:val="0"/>
        <w:spacing w:before="160" w:after="160"/>
        <w:ind w:hanging="283" w:left="869" w:right="160"/>
        <w:jc w:val="left"/>
        <w:rPr>
          <w:sz w:val="20"/>
          <w:bdr w:val="single" w:sz="24" w:space="9" w:color="B3261E"/>
          <w:shd w:fill="FDECEB" w:val="clear"/>
        </w:rPr>
      </w:pPr>
      <w:r>
        <w:rPr>
          <w:b/>
          <w:sz w:val="20"/>
          <w:bdr w:val="single" w:sz="24" w:space="9" w:color="B3261E"/>
          <w:shd w:fill="FDECEB" w:val="clear"/>
        </w:rPr>
        <w:t>AI declaration</w:t>
      </w:r>
      <w:r>
        <w:rPr>
          <w:sz w:val="20"/>
          <w:bdr w:val="single" w:sz="24" w:space="9" w:color="B3261E"/>
          <w:shd w:fill="FDECEB" w:val="clear"/>
        </w:rPr>
        <w:t xml:space="preserve"> still reads "[Tool Name, e.g., Grammarly]" and "[Tool Name, e.g., ChatGPT v4.0]". Name the tools you used. </w:t>
      </w:r>
    </w:p>
    <w:p>
      <w:pPr>
        <w:pStyle w:val="BodyText"/>
        <w:numPr>
          <w:ilvl w:val="0"/>
          <w:numId w:val="1"/>
        </w:numPr>
        <w:tabs>
          <w:tab w:val="clear" w:pos="1134"/>
          <w:tab w:val="left" w:pos="869" w:leader="none"/>
        </w:tabs>
        <w:bidi w:val="0"/>
        <w:spacing w:before="160" w:after="160"/>
        <w:ind w:hanging="283" w:left="869" w:right="160"/>
        <w:jc w:val="left"/>
        <w:rPr>
          <w:sz w:val="20"/>
          <w:bdr w:val="single" w:sz="24" w:space="9" w:color="B3261E"/>
          <w:shd w:fill="FDECEB" w:val="clear"/>
        </w:rPr>
      </w:pPr>
      <w:r>
        <w:rPr>
          <w:b/>
          <w:sz w:val="20"/>
          <w:bdr w:val="single" w:sz="24" w:space="9" w:color="B3261E"/>
          <w:shd w:fill="FDECEB" w:val="clear"/>
        </w:rPr>
        <w:t>"45 p., 1 app. p."</w:t>
      </w:r>
      <w:r>
        <w:rPr>
          <w:sz w:val="20"/>
          <w:bdr w:val="single" w:sz="24" w:space="9" w:color="B3261E"/>
          <w:shd w:fill="FDECEB" w:val="clear"/>
        </w:rPr>
        <w:t xml:space="preserve"> on the title page. Recount once Chapter 8 and the appendix exist. </w:t>
      </w:r>
    </w:p>
    <w:p>
      <w:pPr>
        <w:pStyle w:val="Heading3"/>
        <w:bidi w:val="0"/>
        <w:ind w:hanging="0"/>
        <w:jc w:val="left"/>
        <w:rPr/>
      </w:pPr>
      <w:r>
        <w:rPr/>
        <w:t>Chapter 1, Introduction</w:t>
      </w:r>
    </w:p>
    <w:p>
      <w:pPr>
        <w:pStyle w:val="BodyText"/>
        <w:numPr>
          <w:ilvl w:val="0"/>
          <w:numId w:val="2"/>
        </w:numPr>
        <w:tabs>
          <w:tab w:val="clear" w:pos="1134"/>
          <w:tab w:val="left" w:pos="809" w:leader="none"/>
        </w:tabs>
        <w:bidi w:val="0"/>
        <w:spacing w:before="100" w:after="0"/>
        <w:ind w:hanging="283" w:left="809"/>
        <w:jc w:val="left"/>
        <w:rPr/>
      </w:pPr>
      <w:r>
        <w:rPr/>
        <w:t xml:space="preserve">delete A duplicated paragraph. Lines 450 to 460 and 462 to 484 both explain the sky compass and the dorsal rim area. Keep the second, which has the sunglasses analogy, and delete the first. </w:t>
      </w:r>
    </w:p>
    <w:p>
      <w:pPr>
        <w:pStyle w:val="BodyText"/>
        <w:numPr>
          <w:ilvl w:val="0"/>
          <w:numId w:val="2"/>
        </w:numPr>
        <w:tabs>
          <w:tab w:val="clear" w:pos="1134"/>
          <w:tab w:val="left" w:pos="709" w:leader="none"/>
        </w:tabs>
        <w:bidi w:val="0"/>
        <w:spacing w:before="100" w:after="0"/>
        <w:ind w:hanging="283" w:left="709" w:right="100"/>
        <w:jc w:val="left"/>
        <w:rPr/>
      </w:pPr>
      <w:r>
        <w:rPr>
          <w:rFonts w:ascii="sans-serif" w:hAnsi="sans-serif"/>
          <w:color w:val="FFFFFF"/>
          <w:sz w:val="16"/>
          <w:shd w:fill="1A3D7C" w:val="clear"/>
        </w:rPr>
        <w:t>typos</w:t>
      </w:r>
      <w:r>
        <w:rPr/>
        <w:t xml:space="preserve"> "environemental" to "environmental"; "Animals use a variety of changes such as visually sited landmarks" to "cues such as visual landmarks"; "However, Navigation without a satellite fix" lowercase; missing full stop at "from just one direction in the sky This distributed sensing"; "navigated from very small distances to a difference terrain" needs rewriting. </w:t>
      </w:r>
    </w:p>
    <w:p>
      <w:pPr>
        <w:pStyle w:val="BodyText"/>
        <w:numPr>
          <w:ilvl w:val="0"/>
          <w:numId w:val="2"/>
        </w:numPr>
        <w:tabs>
          <w:tab w:val="clear" w:pos="1134"/>
          <w:tab w:val="left" w:pos="809" w:leader="none"/>
        </w:tabs>
        <w:bidi w:val="0"/>
        <w:ind w:hanging="283" w:left="809"/>
        <w:jc w:val="left"/>
        <w:rPr/>
      </w:pPr>
      <w:r>
        <w:rPr/>
        <w:t xml:space="preserve">cite The claim that Finnish platforms suffer GPS degradation during geomagnetic storms is stated flatly with no source. Cite it or soften to "are reported to". </w:t>
      </w:r>
    </w:p>
    <w:p>
      <w:pPr>
        <w:pStyle w:val="Heading3"/>
        <w:bidi w:val="0"/>
        <w:jc w:val="left"/>
        <w:rPr/>
      </w:pPr>
      <w:r>
        <w:rPr/>
        <w:t>Chapter 2, Literature Review</w:t>
      </w:r>
    </w:p>
    <w:p>
      <w:pPr>
        <w:pStyle w:val="BodyText"/>
        <w:numPr>
          <w:ilvl w:val="0"/>
          <w:numId w:val="3"/>
        </w:numPr>
        <w:tabs>
          <w:tab w:val="clear" w:pos="1134"/>
          <w:tab w:val="left" w:pos="809" w:leader="none"/>
        </w:tabs>
        <w:bidi w:val="0"/>
        <w:spacing w:before="100" w:after="0"/>
        <w:ind w:hanging="283" w:left="809"/>
        <w:jc w:val="left"/>
        <w:rPr/>
      </w:pPr>
      <w:r>
        <w:rPr/>
        <w:t xml:space="preserve">fix Line 807: "The table 2.3 shows" should be "Table 2.1 compares". There is no Table 2.3. </w:t>
      </w:r>
    </w:p>
    <w:p>
      <w:pPr>
        <w:pStyle w:val="BodyText"/>
        <w:numPr>
          <w:ilvl w:val="0"/>
          <w:numId w:val="3"/>
        </w:numPr>
        <w:tabs>
          <w:tab w:val="clear" w:pos="1134"/>
          <w:tab w:val="left" w:pos="809" w:leader="none"/>
        </w:tabs>
        <w:bidi w:val="0"/>
        <w:spacing w:before="100" w:after="0"/>
        <w:ind w:hanging="283" w:left="809"/>
        <w:jc w:val="left"/>
        <w:rPr/>
      </w:pPr>
      <w:r>
        <w:rPr/>
        <w:t xml:space="preserve">fix Table 2.1, your own row, reads </w:t>
      </w:r>
      <w:r>
        <w:rPr>
          <w:b/>
        </w:rPr>
        <w:t>"Reported in Chapter ??"</w:t>
      </w:r>
      <w:r>
        <w:rPr/>
        <w:t xml:space="preserve">. Fill it, but note that every other row reports a </w:t>
      </w:r>
      <w:r>
        <w:rPr>
          <w:i/>
        </w:rPr>
        <w:t>field-measured</w:t>
      </w:r>
      <w:r>
        <w:rPr/>
        <w:t xml:space="preserve"> accuracy while yours is </w:t>
      </w:r>
      <w:r>
        <w:rPr>
          <w:i/>
        </w:rPr>
        <w:t>simulation</w:t>
      </w:r>
      <w:r>
        <w:rPr/>
        <w:t xml:space="preserve">. Suggested cell: "Simulation only at time of writing: median absolute azimuth error 0.08 deg clear sky, 0.78 deg thin cloud, 4.10 deg heavy cloud (Table 6.1). Not directly comparable with the field results above." </w:t>
      </w:r>
    </w:p>
    <w:p>
      <w:pPr>
        <w:pStyle w:val="BodyText"/>
        <w:numPr>
          <w:ilvl w:val="0"/>
          <w:numId w:val="3"/>
        </w:numPr>
        <w:tabs>
          <w:tab w:val="clear" w:pos="1134"/>
          <w:tab w:val="left" w:pos="709" w:leader="none"/>
        </w:tabs>
        <w:bidi w:val="0"/>
        <w:spacing w:before="100" w:after="0"/>
        <w:ind w:hanging="283" w:left="709" w:right="100"/>
        <w:jc w:val="left"/>
        <w:rPr/>
      </w:pPr>
      <w:r>
        <w:rPr>
          <w:rFonts w:ascii="sans-serif" w:hAnsi="sans-serif"/>
          <w:color w:val="FFFFFF"/>
          <w:sz w:val="16"/>
          <w:shd w:fill="1A3D7C" w:val="clear"/>
        </w:rPr>
        <w:t>refs</w:t>
      </w:r>
      <w:r>
        <w:rPr/>
        <w:t xml:space="preserve"> [7] and [8] are the same Wehner 2003 paper. Merge and renumber. </w:t>
      </w:r>
    </w:p>
    <w:p>
      <w:pPr>
        <w:pStyle w:val="BodyText"/>
        <w:numPr>
          <w:ilvl w:val="0"/>
          <w:numId w:val="3"/>
        </w:numPr>
        <w:tabs>
          <w:tab w:val="clear" w:pos="1134"/>
          <w:tab w:val="left" w:pos="809" w:leader="none"/>
        </w:tabs>
        <w:bidi w:val="0"/>
        <w:ind w:hanging="283" w:left="809"/>
        <w:jc w:val="left"/>
        <w:rPr/>
      </w:pPr>
      <w:r>
        <w:rPr/>
        <w:t xml:space="preserve">check [15] and [16] are flagged in your own text as unverified. Confirm against the published versions or drop them. </w:t>
      </w:r>
    </w:p>
    <w:p>
      <w:pPr>
        <w:pStyle w:val="Heading3"/>
        <w:bidi w:val="0"/>
        <w:jc w:val="left"/>
        <w:rPr/>
      </w:pPr>
      <w:r>
        <w:rPr/>
        <w:t>Chapter 3, Theoretical Background</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at the end of §3.1</w:t>
      </w:r>
      <w:r>
        <w:rPr>
          <w:sz w:val="20"/>
          <w:bdr w:val="single" w:sz="24" w:space="9" w:color="1A7F45"/>
          <w:shd w:fill="EAF7EF" w:val="clear"/>
        </w:rPr>
        <w:t>, after the paragraph beginning "One point of convention should be recorded here".</w:t>
        <w:br/>
      </w:r>
      <w:r>
        <w:rPr>
          <w:b/>
          <w:sz w:val="20"/>
          <w:bdr w:val="single" w:sz="24" w:space="9" w:color="1A7F45"/>
          <w:shd w:fill="EAF7EF" w:val="clear"/>
        </w:rPr>
        <w:t>Caption:</w:t>
      </w:r>
      <w:r>
        <w:rPr>
          <w:sz w:val="20"/>
          <w:bdr w:val="single" w:sz="24" w:space="9" w:color="1A7F45"/>
          <w:shd w:fill="EAF7EF" w:val="clear"/>
        </w:rPr>
        <w:t xml:space="preserve"> The two azimuth conventions used in this thesis, shown for a single physical sun direction. The derivation of Section 3.1 measures azimuth from South toward West, while every heading reported from Chapter 4 onward is measured clockwise from North. The two differ by a fixed rotation of 180 degrees.</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3429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2"/>
                    <a:stretch>
                      <a:fillRect/>
                    </a:stretch>
                  </pic:blipFill>
                  <pic:spPr bwMode="auto">
                    <a:xfrm>
                      <a:off x="0" y="0"/>
                      <a:ext cx="6096000" cy="342900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NEW_fig_3_1_azimuth_conventions.png</w:t>
      </w:r>
      <w:r>
        <w:rPr>
          <w:color w:val="444444"/>
          <w:sz w:val="18"/>
          <w:bdr w:val="single" w:sz="2" w:space="8" w:color="D5DEEC"/>
          <w:shd w:fill="FBFCFE" w:val="clear"/>
        </w:rPr>
        <w:t> </w:t>
      </w:r>
    </w:p>
    <w:p>
      <w:pPr>
        <w:pStyle w:val="BodyText"/>
        <w:numPr>
          <w:ilvl w:val="0"/>
          <w:numId w:val="4"/>
        </w:numPr>
        <w:tabs>
          <w:tab w:val="clear" w:pos="1134"/>
          <w:tab w:val="left" w:pos="809" w:leader="none"/>
        </w:tabs>
        <w:bidi w:val="0"/>
        <w:spacing w:before="100" w:after="0"/>
        <w:ind w:hanging="283" w:left="809"/>
        <w:jc w:val="left"/>
        <w:rPr/>
      </w:pPr>
      <w:r>
        <w:rPr/>
        <w:t xml:space="preserve">fix Line 1169 is garbled: "the sunrise elevation at local noon at the latitude changes by only about 47 degrees". Intended: </w:t>
      </w:r>
      <w:r>
        <w:rPr>
          <w:i/>
        </w:rPr>
        <w:t>the solar elevation at local noon varies by only about 47 degrees over the year, from roughly 6 degrees at the winter solstice to 53 degrees at the summer solstice.</w:t>
      </w:r>
      <w:r>
        <w:rPr/>
        <w:t xml:space="preserve"> </w:t>
      </w:r>
    </w:p>
    <w:p>
      <w:pPr>
        <w:pStyle w:val="BodyText"/>
        <w:numPr>
          <w:ilvl w:val="0"/>
          <w:numId w:val="4"/>
        </w:numPr>
        <w:tabs>
          <w:tab w:val="clear" w:pos="1134"/>
          <w:tab w:val="left" w:pos="809" w:leader="none"/>
        </w:tabs>
        <w:bidi w:val="0"/>
        <w:spacing w:before="100" w:after="0"/>
        <w:ind w:hanging="283" w:left="809"/>
        <w:jc w:val="left"/>
        <w:rPr/>
      </w:pPr>
      <w:r>
        <w:rPr/>
        <w:t xml:space="preserve">fix Line 1114 says the model returns "6.11 and 52.97". Your README and handoff both say 6.110 and 52.986 against analytic 6.108 and 52.988. The Figure 3.1 caption claims agreement within 0.01 degrees, which holds for 52.986 but not for 52.97. Re-run </w:t>
      </w:r>
      <w:r>
        <w:rPr>
          <w:rStyle w:val="SourceText"/>
        </w:rPr>
        <w:t>python3 turku_sun.py</w:t>
      </w:r>
      <w:r>
        <w:rPr/>
        <w:t xml:space="preserve"> and quote what it prints. </w:t>
      </w:r>
    </w:p>
    <w:p>
      <w:pPr>
        <w:pStyle w:val="BodyText"/>
        <w:numPr>
          <w:ilvl w:val="0"/>
          <w:numId w:val="4"/>
        </w:numPr>
        <w:tabs>
          <w:tab w:val="clear" w:pos="1134"/>
          <w:tab w:val="left" w:pos="809" w:leader="none"/>
        </w:tabs>
        <w:bidi w:val="0"/>
        <w:ind w:hanging="283" w:left="809"/>
        <w:jc w:val="left"/>
        <w:rPr/>
      </w:pPr>
      <w:r>
        <w:rPr/>
        <w:t xml:space="preserve">check The rotation matrix around line 1066 extracts as malformed, with a first row of 1 0 0 and a missing entry. Check it renders correctly in LaTeX. </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§3.3</w:t>
      </w:r>
      <w:r>
        <w:rPr>
          <w:sz w:val="20"/>
          <w:bdr w:val="single" w:sz="24" w:space="9" w:color="1A7F45"/>
          <w:shd w:fill="EAF7EF" w:val="clear"/>
        </w:rPr>
        <w:t>, immediately after the equation for DoP(gamma).</w:t>
        <w:br/>
      </w:r>
      <w:r>
        <w:rPr>
          <w:b/>
          <w:sz w:val="20"/>
          <w:bdr w:val="single" w:sz="24" w:space="9" w:color="1A7F45"/>
          <w:shd w:fill="EAF7EF" w:val="clear"/>
        </w:rPr>
        <w:t>Caption:</w:t>
      </w:r>
      <w:r>
        <w:rPr>
          <w:sz w:val="20"/>
          <w:bdr w:val="single" w:sz="24" w:space="9" w:color="1A7F45"/>
          <w:shd w:fill="EAF7EF" w:val="clear"/>
        </w:rPr>
        <w:t xml:space="preserve"> The Rayleigh degree of polarisation as a function of scattering angle, for the three values of the maximum degree of polarisation used in the simulation experiments of Chapter 6. The degree of polarisation vanishes toward the sun and the antisolar point and peaks along the band lying a quarter turn from the sun.</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33051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3"/>
                    <a:stretch>
                      <a:fillRect/>
                    </a:stretch>
                  </pic:blipFill>
                  <pic:spPr bwMode="auto">
                    <a:xfrm>
                      <a:off x="0" y="0"/>
                      <a:ext cx="6096000" cy="3305175"/>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NEW_fig_3_3_dop_vs_scattering_angle.png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Two factual errors in §3.3.</w:t>
      </w:r>
      <w:r>
        <w:rPr>
          <w:sz w:val="20"/>
          <w:bdr w:val="single" w:sz="24" w:space="9" w:color="B3261E"/>
          <w:shd w:fill="FDECEB" w:val="clear"/>
        </w:rPr>
        <w:t xml:space="preserve"> </w:t>
      </w:r>
    </w:p>
    <w:p>
      <w:pPr>
        <w:pStyle w:val="BodyText"/>
        <w:numPr>
          <w:ilvl w:val="0"/>
          <w:numId w:val="5"/>
        </w:numPr>
        <w:tabs>
          <w:tab w:val="clear" w:pos="1134"/>
          <w:tab w:val="left" w:pos="869" w:leader="none"/>
        </w:tabs>
        <w:bidi w:val="0"/>
        <w:spacing w:before="160" w:after="160"/>
        <w:ind w:hanging="283" w:left="869" w:right="160"/>
        <w:jc w:val="left"/>
        <w:rPr>
          <w:sz w:val="20"/>
          <w:bdr w:val="single" w:sz="24" w:space="9" w:color="B3261E"/>
          <w:shd w:fill="FDECEB" w:val="clear"/>
        </w:rPr>
      </w:pPr>
      <w:r>
        <w:rPr>
          <w:b/>
          <w:sz w:val="20"/>
          <w:bdr w:val="single" w:sz="24" w:space="9" w:color="B3261E"/>
          <w:shd w:fill="FDECEB" w:val="clear"/>
        </w:rPr>
        <w:t>Line 1342 is wrong:</w:t>
      </w:r>
      <w:r>
        <w:rPr>
          <w:sz w:val="20"/>
          <w:bdr w:val="single" w:sz="24" w:space="9" w:color="B3261E"/>
          <w:shd w:fill="FDECEB" w:val="clear"/>
        </w:rPr>
        <w:t xml:space="preserve"> "The iso-AoP contours therefore form concentric rings around the solar position." Rings around the sun are contours of constant </w:t>
      </w:r>
      <w:r>
        <w:rPr>
          <w:i/>
          <w:sz w:val="20"/>
          <w:bdr w:val="single" w:sz="24" w:space="9" w:color="B3261E"/>
          <w:shd w:fill="FDECEB" w:val="clear"/>
        </w:rPr>
        <w:t>scattering angle</w:t>
      </w:r>
      <w:r>
        <w:rPr>
          <w:sz w:val="20"/>
          <w:bdr w:val="single" w:sz="24" w:space="9" w:color="B3261E"/>
          <w:shd w:fill="FDECEB" w:val="clear"/>
        </w:rPr>
        <w:t xml:space="preserve">, and therefore of constant </w:t>
      </w:r>
      <w:r>
        <w:rPr>
          <w:i/>
          <w:sz w:val="20"/>
          <w:bdr w:val="single" w:sz="24" w:space="9" w:color="B3261E"/>
          <w:shd w:fill="FDECEB" w:val="clear"/>
        </w:rPr>
        <w:t>degree</w:t>
      </w:r>
      <w:r>
        <w:rPr>
          <w:sz w:val="20"/>
          <w:bdr w:val="single" w:sz="24" w:space="9" w:color="B3261E"/>
          <w:shd w:fill="FDECEB" w:val="clear"/>
        </w:rPr>
        <w:t xml:space="preserve"> of polarisation. The angle of polarisation is perpendicular to the great circle joining the point to the sun and its contours are not rings. Your own Figure 3.2 caption gets this right, so the text contradicts the figure. </w:t>
      </w:r>
    </w:p>
    <w:p>
      <w:pPr>
        <w:pStyle w:val="BodyText"/>
        <w:numPr>
          <w:ilvl w:val="0"/>
          <w:numId w:val="5"/>
        </w:numPr>
        <w:tabs>
          <w:tab w:val="clear" w:pos="1134"/>
          <w:tab w:val="left" w:pos="869" w:leader="none"/>
        </w:tabs>
        <w:bidi w:val="0"/>
        <w:spacing w:before="160" w:after="160"/>
        <w:ind w:hanging="283" w:left="869" w:right="160"/>
        <w:jc w:val="left"/>
        <w:rPr>
          <w:sz w:val="20"/>
          <w:bdr w:val="single" w:sz="24" w:space="9" w:color="B3261E"/>
          <w:shd w:fill="FDECEB" w:val="clear"/>
        </w:rPr>
      </w:pPr>
      <w:r>
        <w:rPr>
          <w:b/>
          <w:sz w:val="20"/>
          <w:bdr w:val="single" w:sz="24" w:space="9" w:color="B3261E"/>
          <w:shd w:fill="FDECEB" w:val="clear"/>
        </w:rPr>
        <w:t>The dark band claim</w:t>
      </w:r>
      <w:r>
        <w:rPr>
          <w:sz w:val="20"/>
          <w:bdr w:val="single" w:sz="24" w:space="9" w:color="B3261E"/>
          <w:shd w:fill="FDECEB" w:val="clear"/>
        </w:rPr>
        <w:t xml:space="preserve"> at line 1488: the radial dome does </w:t>
      </w:r>
      <w:r>
        <w:rPr>
          <w:i/>
          <w:sz w:val="20"/>
          <w:bdr w:val="single" w:sz="24" w:space="9" w:color="B3261E"/>
          <w:shd w:fill="FDECEB" w:val="clear"/>
        </w:rPr>
        <w:t>not</w:t>
      </w:r>
      <w:r>
        <w:rPr>
          <w:sz w:val="20"/>
          <w:bdr w:val="single" w:sz="24" w:space="9" w:color="B3261E"/>
          <w:shd w:fill="FDECEB" w:val="clear"/>
        </w:rPr>
        <w:t xml:space="preserve"> put the band on the sun. See §6.2 below for the measurement and the replacement wording. </w:t>
      </w:r>
    </w:p>
    <w:p>
      <w:pPr>
        <w:pStyle w:val="BodyText"/>
        <w:numPr>
          <w:ilvl w:val="0"/>
          <w:numId w:val="6"/>
        </w:numPr>
        <w:tabs>
          <w:tab w:val="clear" w:pos="1134"/>
          <w:tab w:val="left" w:pos="809" w:leader="none"/>
        </w:tabs>
        <w:bidi w:val="0"/>
        <w:spacing w:before="100" w:after="0"/>
        <w:ind w:hanging="283" w:left="809"/>
        <w:jc w:val="left"/>
        <w:rPr/>
      </w:pPr>
      <w:r>
        <w:rPr/>
        <w:t xml:space="preserve">refs Line 1441 cites "Gkanias et al. [5]", but [5] is Steinhoff and Schiele on dead reckoning. Should be </w:t>
      </w:r>
      <w:r>
        <w:rPr>
          <w:b/>
        </w:rPr>
        <w:t>[13]</w:t>
      </w:r>
      <w:r>
        <w:rPr/>
        <w:t xml:space="preserve">. </w:t>
      </w:r>
    </w:p>
    <w:p>
      <w:pPr>
        <w:pStyle w:val="BodyText"/>
        <w:numPr>
          <w:ilvl w:val="0"/>
          <w:numId w:val="6"/>
        </w:numPr>
        <w:tabs>
          <w:tab w:val="clear" w:pos="1134"/>
          <w:tab w:val="left" w:pos="809" w:leader="none"/>
        </w:tabs>
        <w:bidi w:val="0"/>
        <w:spacing w:before="100" w:after="0"/>
        <w:ind w:hanging="283" w:left="809"/>
        <w:jc w:val="left"/>
        <w:rPr/>
      </w:pPr>
      <w:r>
        <w:rPr/>
        <w:t xml:space="preserve">refs Line 1501 cites "Gkanias et al. [2]", but [2] is Muheim on migratory birds. Should be </w:t>
      </w:r>
      <w:r>
        <w:rPr>
          <w:b/>
        </w:rPr>
        <w:t>[10]</w:t>
      </w:r>
      <w:r>
        <w:rPr/>
        <w:t xml:space="preserve">. </w:t>
      </w:r>
    </w:p>
    <w:p>
      <w:pPr>
        <w:pStyle w:val="BodyText"/>
        <w:numPr>
          <w:ilvl w:val="0"/>
          <w:numId w:val="6"/>
        </w:numPr>
        <w:tabs>
          <w:tab w:val="clear" w:pos="1134"/>
          <w:tab w:val="left" w:pos="809" w:leader="none"/>
        </w:tabs>
        <w:bidi w:val="0"/>
        <w:ind w:hanging="283" w:left="809"/>
        <w:jc w:val="left"/>
        <w:rPr/>
      </w:pPr>
      <w:r>
        <w:rPr/>
        <w:t xml:space="preserve">delete Lines 1340 to 1350 and 1370 to 1378 repeat the same explanation of the e-vector and the rigid rotation. Merge them. </w:t>
      </w:r>
    </w:p>
    <w:p>
      <w:pPr>
        <w:pStyle w:val="Heading3"/>
        <w:bidi w:val="0"/>
        <w:jc w:val="left"/>
        <w:rPr/>
      </w:pPr>
      <w:r>
        <w:rPr/>
        <w:t>Chapter 4, System Design</w:t>
      </w:r>
    </w:p>
    <w:p>
      <w:pPr>
        <w:pStyle w:val="BodyText"/>
        <w:bidi w:val="0"/>
        <w:spacing w:before="160" w:after="160"/>
        <w:ind w:hanging="0" w:left="160" w:right="160"/>
        <w:jc w:val="left"/>
        <w:rPr/>
      </w:pPr>
      <w:r>
        <w:rPr>
          <w:b/>
          <w:sz w:val="20"/>
          <w:bdr w:val="single" w:sz="24" w:space="9" w:color="B3261E"/>
          <w:shd w:fill="FDECEB" w:val="clear"/>
        </w:rPr>
        <w:t>Section 4.2 describes a dome you did not build.</w:t>
      </w:r>
      <w:r>
        <w:rPr>
          <w:sz w:val="20"/>
          <w:bdr w:val="single" w:sz="24" w:space="9" w:color="B3261E"/>
          <w:shd w:fill="FDECEB" w:val="clear"/>
        </w:rPr>
        <w:t xml:space="preserve"> The draft specifies R = 9 cm with gores 14.1 cm long and 7.1 cm wide, two per sheet across four sheets. That is the superseded </w:t>
      </w:r>
      <w:r>
        <w:rPr>
          <w:rStyle w:val="SourceText"/>
          <w:sz w:val="20"/>
          <w:bdr w:val="single" w:sz="24" w:space="9" w:color="B3261E"/>
          <w:shd w:fill="FDECEB" w:val="clear"/>
        </w:rPr>
        <w:t>dome_cutting_guide.html</w:t>
      </w:r>
      <w:r>
        <w:rPr>
          <w:sz w:val="20"/>
          <w:bdr w:val="single" w:sz="24" w:space="9" w:color="B3261E"/>
          <w:shd w:fill="FDECEB" w:val="clear"/>
        </w:rPr>
        <w:t xml:space="preserve">. The dome you built follows </w:t>
      </w:r>
      <w:r>
        <w:rPr>
          <w:rStyle w:val="SourceText"/>
          <w:sz w:val="20"/>
          <w:bdr w:val="single" w:sz="24" w:space="9" w:color="B3261E"/>
          <w:shd w:fill="FDECEB" w:val="clear"/>
        </w:rPr>
        <w:t>dome_cutting_guide_FINAL_CONFIRMED.pdf</w:t>
      </w:r>
      <w:r>
        <w:rPr>
          <w:sz w:val="20"/>
          <w:bdr w:val="single" w:sz="24" w:space="9" w:color="B3261E"/>
          <w:shd w:fill="FDECEB" w:val="clear"/>
        </w:rPr>
        <w:t xml:space="preserve">. </w:t>
      </w:r>
    </w:p>
    <w:tbl>
      <w:tblPr>
        <w:tblW w:w="11019" w:type="dxa"/>
        <w:jc w:val="left"/>
        <w:tblInd w:w="188" w:type="dxa"/>
        <w:tblLayout w:type="fixed"/>
        <w:tblCellMar>
          <w:top w:w="28" w:type="dxa"/>
          <w:left w:w="28" w:type="dxa"/>
          <w:bottom w:w="28" w:type="dxa"/>
          <w:right w:w="28" w:type="dxa"/>
        </w:tblCellMar>
      </w:tblPr>
      <w:tblGrid>
        <w:gridCol w:w="2212"/>
        <w:gridCol w:w="2410"/>
        <w:gridCol w:w="6397"/>
      </w:tblGrid>
      <w:tr>
        <w:trPr/>
        <w:tc>
          <w:tcPr>
            <w:tcW w:w="2212" w:type="dxa"/>
            <w:tcBorders/>
            <w:vAlign w:val="center"/>
          </w:tcPr>
          <w:p>
            <w:pPr>
              <w:pStyle w:val="TableHeading"/>
              <w:suppressLineNumbers/>
              <w:shd w:fill="1A3D7C" w:val="clear"/>
              <w:bidi w:val="0"/>
              <w:spacing w:before="100" w:after="100"/>
              <w:jc w:val="left"/>
              <w:rPr/>
            </w:pPr>
            <w:r>
              <w:rPr/>
              <w:t>Quantity</w:t>
            </w:r>
          </w:p>
        </w:tc>
        <w:tc>
          <w:tcPr>
            <w:tcW w:w="2410" w:type="dxa"/>
            <w:tcBorders/>
            <w:vAlign w:val="center"/>
          </w:tcPr>
          <w:p>
            <w:pPr>
              <w:pStyle w:val="TableHeading"/>
              <w:suppressLineNumbers/>
              <w:shd w:fill="1A3D7C" w:val="clear"/>
              <w:bidi w:val="0"/>
              <w:spacing w:before="100" w:after="100"/>
              <w:jc w:val="left"/>
              <w:rPr/>
            </w:pPr>
            <w:r>
              <w:rPr/>
              <w:t>Draft says</w:t>
            </w:r>
          </w:p>
        </w:tc>
        <w:tc>
          <w:tcPr>
            <w:tcW w:w="6397" w:type="dxa"/>
            <w:tcBorders/>
            <w:vAlign w:val="center"/>
          </w:tcPr>
          <w:p>
            <w:pPr>
              <w:pStyle w:val="TableHeading"/>
              <w:suppressLineNumbers/>
              <w:shd w:fill="1A3D7C" w:val="clear"/>
              <w:bidi w:val="0"/>
              <w:spacing w:before="100" w:after="100"/>
              <w:jc w:val="left"/>
              <w:rPr/>
            </w:pPr>
            <w:r>
              <w:rPr/>
              <w:t>Built dome</w:t>
            </w:r>
          </w:p>
        </w:tc>
      </w:tr>
      <w:tr>
        <w:trPr/>
        <w:tc>
          <w:tcPr>
            <w:tcW w:w="2212" w:type="dxa"/>
            <w:tcBorders/>
            <w:vAlign w:val="center"/>
          </w:tcPr>
          <w:p>
            <w:pPr>
              <w:pStyle w:val="TableContents"/>
              <w:bidi w:val="0"/>
              <w:spacing w:before="100" w:after="100"/>
              <w:jc w:val="left"/>
              <w:rPr/>
            </w:pPr>
            <w:r>
              <w:rPr/>
              <w:t>dome radius R</w:t>
            </w:r>
          </w:p>
        </w:tc>
        <w:tc>
          <w:tcPr>
            <w:tcW w:w="2410" w:type="dxa"/>
            <w:tcBorders/>
            <w:vAlign w:val="center"/>
          </w:tcPr>
          <w:p>
            <w:pPr>
              <w:pStyle w:val="TableContents"/>
              <w:bidi w:val="0"/>
              <w:spacing w:before="100" w:after="100"/>
              <w:jc w:val="left"/>
              <w:rPr/>
            </w:pPr>
            <w:r>
              <w:rPr/>
              <w:t>9 cm</w:t>
            </w:r>
          </w:p>
        </w:tc>
        <w:tc>
          <w:tcPr>
            <w:tcW w:w="6397" w:type="dxa"/>
            <w:tcBorders/>
            <w:vAlign w:val="center"/>
          </w:tcPr>
          <w:p>
            <w:pPr>
              <w:pStyle w:val="TableContents"/>
              <w:bidi w:val="0"/>
              <w:spacing w:before="100" w:after="100"/>
              <w:jc w:val="left"/>
              <w:rPr>
                <w:b/>
              </w:rPr>
            </w:pPr>
            <w:r>
              <w:rPr>
                <w:b/>
              </w:rPr>
              <w:t>40.0 mm</w:t>
            </w:r>
          </w:p>
        </w:tc>
      </w:tr>
      <w:tr>
        <w:trPr/>
        <w:tc>
          <w:tcPr>
            <w:tcW w:w="2212" w:type="dxa"/>
            <w:tcBorders/>
            <w:vAlign w:val="center"/>
          </w:tcPr>
          <w:p>
            <w:pPr>
              <w:pStyle w:val="TableContents"/>
              <w:bidi w:val="0"/>
              <w:spacing w:before="100" w:after="100"/>
              <w:jc w:val="left"/>
              <w:rPr/>
            </w:pPr>
            <w:r>
              <w:rPr/>
              <w:t>gore length L = pi R / 2</w:t>
            </w:r>
          </w:p>
        </w:tc>
        <w:tc>
          <w:tcPr>
            <w:tcW w:w="2410" w:type="dxa"/>
            <w:tcBorders/>
            <w:vAlign w:val="center"/>
          </w:tcPr>
          <w:p>
            <w:pPr>
              <w:pStyle w:val="TableContents"/>
              <w:bidi w:val="0"/>
              <w:spacing w:before="100" w:after="100"/>
              <w:jc w:val="left"/>
              <w:rPr/>
            </w:pPr>
            <w:r>
              <w:rPr/>
              <w:t>14.1 cm</w:t>
            </w:r>
          </w:p>
        </w:tc>
        <w:tc>
          <w:tcPr>
            <w:tcW w:w="6397" w:type="dxa"/>
            <w:tcBorders/>
            <w:vAlign w:val="center"/>
          </w:tcPr>
          <w:p>
            <w:pPr>
              <w:pStyle w:val="TableContents"/>
              <w:bidi w:val="0"/>
              <w:spacing w:before="100" w:after="100"/>
              <w:jc w:val="left"/>
              <w:rPr>
                <w:b/>
              </w:rPr>
            </w:pPr>
            <w:r>
              <w:rPr>
                <w:b/>
              </w:rPr>
              <w:t>62.83 mm</w:t>
            </w:r>
          </w:p>
        </w:tc>
      </w:tr>
      <w:tr>
        <w:trPr/>
        <w:tc>
          <w:tcPr>
            <w:tcW w:w="2212" w:type="dxa"/>
            <w:tcBorders/>
            <w:vAlign w:val="center"/>
          </w:tcPr>
          <w:p>
            <w:pPr>
              <w:pStyle w:val="TableContents"/>
              <w:bidi w:val="0"/>
              <w:spacing w:before="100" w:after="100"/>
              <w:jc w:val="left"/>
              <w:rPr/>
            </w:pPr>
            <w:r>
              <w:rPr/>
              <w:t>gore base width W = 2 pi R / N</w:t>
            </w:r>
          </w:p>
        </w:tc>
        <w:tc>
          <w:tcPr>
            <w:tcW w:w="2410" w:type="dxa"/>
            <w:tcBorders/>
            <w:vAlign w:val="center"/>
          </w:tcPr>
          <w:p>
            <w:pPr>
              <w:pStyle w:val="TableContents"/>
              <w:bidi w:val="0"/>
              <w:spacing w:before="100" w:after="100"/>
              <w:jc w:val="left"/>
              <w:rPr/>
            </w:pPr>
            <w:r>
              <w:rPr/>
              <w:t>7.1 cm</w:t>
            </w:r>
          </w:p>
        </w:tc>
        <w:tc>
          <w:tcPr>
            <w:tcW w:w="6397" w:type="dxa"/>
            <w:tcBorders/>
            <w:vAlign w:val="center"/>
          </w:tcPr>
          <w:p>
            <w:pPr>
              <w:pStyle w:val="TableContents"/>
              <w:bidi w:val="0"/>
              <w:spacing w:before="100" w:after="100"/>
              <w:jc w:val="left"/>
              <w:rPr>
                <w:b/>
              </w:rPr>
            </w:pPr>
            <w:r>
              <w:rPr>
                <w:b/>
              </w:rPr>
              <w:t>31.42 mm</w:t>
            </w:r>
          </w:p>
        </w:tc>
      </w:tr>
      <w:tr>
        <w:trPr/>
        <w:tc>
          <w:tcPr>
            <w:tcW w:w="2212" w:type="dxa"/>
            <w:tcBorders/>
            <w:vAlign w:val="center"/>
          </w:tcPr>
          <w:p>
            <w:pPr>
              <w:pStyle w:val="TableContents"/>
              <w:bidi w:val="0"/>
              <w:spacing w:before="100" w:after="100"/>
              <w:jc w:val="left"/>
              <w:rPr/>
            </w:pPr>
            <w:r>
              <w:rPr/>
              <w:t>sheets of film</w:t>
            </w:r>
          </w:p>
        </w:tc>
        <w:tc>
          <w:tcPr>
            <w:tcW w:w="2410" w:type="dxa"/>
            <w:tcBorders/>
            <w:vAlign w:val="center"/>
          </w:tcPr>
          <w:p>
            <w:pPr>
              <w:pStyle w:val="TableContents"/>
              <w:bidi w:val="0"/>
              <w:spacing w:before="100" w:after="100"/>
              <w:jc w:val="left"/>
              <w:rPr/>
            </w:pPr>
            <w:r>
              <w:rPr/>
              <w:t>4, two gores each</w:t>
            </w:r>
          </w:p>
        </w:tc>
        <w:tc>
          <w:tcPr>
            <w:tcW w:w="6397" w:type="dxa"/>
            <w:tcBorders/>
            <w:vAlign w:val="center"/>
          </w:tcPr>
          <w:p>
            <w:pPr>
              <w:pStyle w:val="TableContents"/>
              <w:bidi w:val="0"/>
              <w:spacing w:before="100" w:after="100"/>
              <w:jc w:val="left"/>
              <w:rPr>
                <w:b/>
              </w:rPr>
            </w:pPr>
            <w:r>
              <w:rPr>
                <w:b/>
              </w:rPr>
              <w:t>1 of 4, all eight gores, three spare</w:t>
            </w:r>
          </w:p>
        </w:tc>
      </w:tr>
      <w:tr>
        <w:trPr/>
        <w:tc>
          <w:tcPr>
            <w:tcW w:w="2212" w:type="dxa"/>
            <w:tcBorders/>
            <w:vAlign w:val="center"/>
          </w:tcPr>
          <w:p>
            <w:pPr>
              <w:pStyle w:val="TableContents"/>
              <w:bidi w:val="0"/>
              <w:spacing w:before="100" w:after="100"/>
              <w:jc w:val="left"/>
              <w:rPr/>
            </w:pPr>
            <w:r>
              <w:rPr/>
              <w:t>mount</w:t>
            </w:r>
          </w:p>
        </w:tc>
        <w:tc>
          <w:tcPr>
            <w:tcW w:w="2410" w:type="dxa"/>
            <w:tcBorders/>
            <w:vAlign w:val="center"/>
          </w:tcPr>
          <w:p>
            <w:pPr>
              <w:pStyle w:val="TableContents"/>
              <w:bidi w:val="0"/>
              <w:spacing w:before="100" w:after="100"/>
              <w:jc w:val="left"/>
              <w:rPr/>
            </w:pPr>
            <w:r>
              <w:rPr/>
              <w:t>"a flat ring holds the base circle open"</w:t>
            </w:r>
          </w:p>
        </w:tc>
        <w:tc>
          <w:tcPr>
            <w:tcW w:w="6397" w:type="dxa"/>
            <w:tcBorders/>
            <w:vAlign w:val="center"/>
          </w:tcPr>
          <w:p>
            <w:pPr>
              <w:pStyle w:val="TableContents"/>
              <w:bidi w:val="0"/>
              <w:spacing w:before="100" w:after="100"/>
              <w:jc w:val="left"/>
              <w:rPr>
                <w:b/>
              </w:rPr>
            </w:pPr>
            <w:r>
              <w:rPr>
                <w:b/>
              </w:rPr>
              <w:t>octagonal box-lid, circumradius 40.0 mm, edge 30.61 mm, inradius 36.96 mm, eight slits, 8 x 28 mm tabs</w:t>
            </w:r>
          </w:p>
        </w:tc>
      </w:tr>
    </w:tbl>
    <w:p>
      <w:pPr>
        <w:pStyle w:val="BodyText"/>
        <w:bidi w:val="0"/>
        <w:spacing w:before="160" w:after="160"/>
        <w:ind w:hanging="0" w:left="160" w:right="160"/>
        <w:jc w:val="left"/>
        <w:rPr>
          <w:sz w:val="20"/>
          <w:bdr w:val="single" w:sz="24" w:space="9" w:color="B3261E"/>
          <w:shd w:fill="FDECEB" w:val="clear"/>
        </w:rPr>
      </w:pPr>
      <w:r>
        <w:rPr>
          <w:sz w:val="20"/>
          <w:bdr w:val="single" w:sz="24" w:space="9" w:color="B3261E"/>
          <w:shd w:fill="FDECEB" w:val="clear"/>
        </w:rPr>
        <w:t>The formulas stay. Every number derived from them changes.</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Replaces the existing Figure 4.2 in §4.2.</w:t>
      </w:r>
      <w:r>
        <w:rPr>
          <w:sz w:val="20"/>
          <w:bdr w:val="single" w:sz="24" w:space="9" w:color="1A7F45"/>
          <w:shd w:fill="EAF7EF" w:val="clear"/>
        </w:rPr>
        <w:br/>
      </w:r>
      <w:r>
        <w:rPr>
          <w:b/>
          <w:sz w:val="20"/>
          <w:bdr w:val="single" w:sz="24" w:space="9" w:color="1A7F45"/>
          <w:shd w:fill="EAF7EF" w:val="clear"/>
        </w:rPr>
        <w:t>Caption:</w:t>
      </w:r>
      <w:r>
        <w:rPr>
          <w:sz w:val="20"/>
          <w:bdr w:val="single" w:sz="24" w:space="9" w:color="1A7F45"/>
          <w:shd w:fill="EAF7EF" w:val="clear"/>
        </w:rPr>
        <w:t xml:space="preserve"> Fabrication geometry of the polarising dome. The hemisphere of radius 40 mm is covered by eight identical gores, each of length 62.83 mm and base width 31.42 mm, whose half-width at a distance s from the apex follows (pi R / N) sin(s / R). All eight gores are cut from a single 200 by 150 mm sheet with the transmission axis running from apex to base, so that in the assembled dome the axes fan radially outward. The base tabs fold through eight slits cut along the edges of a regular octagon of circumradius 40 mm.</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6479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link="rId4"/>
                    <a:stretch>
                      <a:fillRect/>
                    </a:stretch>
                  </pic:blipFill>
                  <pic:spPr bwMode="auto">
                    <a:xfrm>
                      <a:off x="0" y="0"/>
                      <a:ext cx="6096000" cy="264795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NEW_fig_4_1_gore_template_R40.png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Also rewrite the axis-determination paragraph.</w:t>
      </w:r>
      <w:r>
        <w:rPr>
          <w:sz w:val="20"/>
          <w:bdr w:val="single" w:sz="24" w:space="9" w:color="D99100"/>
          <w:shd w:fill="FFF8E6" w:val="clear"/>
        </w:rPr>
        <w:t xml:space="preserve"> The draft says the axis was found "with a simple crossed polarizer test". That test leaves a 90 degree ambiguity between the pass axis and the block axis, and you resolved it with three independent observations: glare off a horizontal surface, an LCD display, and polarising sunglasses with a known axis. All three agreed that the axis runs parallel to the long 200 mm edge. Write that up; it is a much stronger methods paragraph and you have the photographs.</w:t>
      </w:r>
    </w:p>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Figure numbering collides three ways in Chapter 4.</w:t>
      </w:r>
      <w:r>
        <w:rPr>
          <w:sz w:val="20"/>
          <w:bdr w:val="single" w:sz="24" w:space="9" w:color="D99100"/>
          <w:shd w:fill="FFF8E6" w:val="clear"/>
        </w:rPr>
        <w:t xml:space="preserve"> The caption at line 1611 is "Figure 4.1: Image of constructed dome", an inline placeholder at 1619 calls the gore template "Figure 4.1", the caption at 1647 calls it "Figure 4.2", and §4.4 calls the pipeline "Figure 4.2" as well. Proposed clean set: </w:t>
      </w:r>
      <w:r>
        <w:rPr>
          <w:b/>
          <w:sz w:val="20"/>
          <w:bdr w:val="single" w:sz="24" w:space="9" w:color="D99100"/>
          <w:shd w:fill="FFF8E6" w:val="clear"/>
        </w:rPr>
        <w:t>4.1</w:t>
      </w:r>
      <w:r>
        <w:rPr>
          <w:sz w:val="20"/>
          <w:bdr w:val="single" w:sz="24" w:space="9" w:color="D99100"/>
          <w:shd w:fill="FFF8E6" w:val="clear"/>
        </w:rPr>
        <w:t xml:space="preserve"> gore template (above), </w:t>
      </w:r>
      <w:r>
        <w:rPr>
          <w:b/>
          <w:sz w:val="20"/>
          <w:bdr w:val="single" w:sz="24" w:space="9" w:color="D99100"/>
          <w:shd w:fill="FFF8E6" w:val="clear"/>
        </w:rPr>
        <w:t>4.2</w:t>
      </w:r>
      <w:r>
        <w:rPr>
          <w:sz w:val="20"/>
          <w:bdr w:val="single" w:sz="24" w:space="9" w:color="D99100"/>
          <w:shd w:fill="FFF8E6" w:val="clear"/>
        </w:rPr>
        <w:t xml:space="preserve"> film axis confirmation photograph, </w:t>
      </w:r>
      <w:r>
        <w:rPr>
          <w:b/>
          <w:sz w:val="20"/>
          <w:bdr w:val="single" w:sz="24" w:space="9" w:color="D99100"/>
          <w:shd w:fill="FFF8E6" w:val="clear"/>
        </w:rPr>
        <w:t>4.3</w:t>
      </w:r>
      <w:r>
        <w:rPr>
          <w:sz w:val="20"/>
          <w:bdr w:val="single" w:sz="24" w:space="9" w:color="D99100"/>
          <w:shd w:fill="FFF8E6" w:val="clear"/>
        </w:rPr>
        <w:t xml:space="preserve"> assembled dome on its mount, </w:t>
      </w:r>
      <w:r>
        <w:rPr>
          <w:b/>
          <w:sz w:val="20"/>
          <w:bdr w:val="single" w:sz="24" w:space="9" w:color="D99100"/>
          <w:shd w:fill="FFF8E6" w:val="clear"/>
        </w:rPr>
        <w:t>4.4</w:t>
      </w:r>
      <w:r>
        <w:rPr>
          <w:sz w:val="20"/>
          <w:bdr w:val="single" w:sz="24" w:space="9" w:color="D99100"/>
          <w:shd w:fill="FFF8E6" w:val="clear"/>
        </w:rPr>
        <w:t xml:space="preserve"> mounted rig outdoors, </w:t>
      </w:r>
      <w:r>
        <w:rPr>
          <w:b/>
          <w:sz w:val="20"/>
          <w:bdr w:val="single" w:sz="24" w:space="9" w:color="D99100"/>
          <w:shd w:fill="FFF8E6" w:val="clear"/>
        </w:rPr>
        <w:t>4.5</w:t>
      </w:r>
      <w:r>
        <w:rPr>
          <w:sz w:val="20"/>
          <w:bdr w:val="single" w:sz="24" w:space="9" w:color="D99100"/>
          <w:shd w:fill="FFF8E6" w:val="clear"/>
        </w:rPr>
        <w:t xml:space="preserve"> processing pipeline.</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Fills the placeholder in §4.4</w:t>
      </w:r>
      <w:r>
        <w:rPr>
          <w:sz w:val="20"/>
          <w:bdr w:val="single" w:sz="24" w:space="9" w:color="1A7F45"/>
          <w:shd w:fill="EAF7EF" w:val="clear"/>
        </w:rPr>
        <w:t>, "[ Figure 4.2: processing pipeline ]".</w:t>
        <w:br/>
      </w:r>
      <w:r>
        <w:rPr>
          <w:b/>
          <w:sz w:val="20"/>
          <w:bdr w:val="single" w:sz="24" w:space="9" w:color="1A7F45"/>
          <w:shd w:fill="EAF7EF" w:val="clear"/>
        </w:rPr>
        <w:t>Caption:</w:t>
      </w:r>
      <w:r>
        <w:rPr>
          <w:sz w:val="20"/>
          <w:bdr w:val="single" w:sz="24" w:space="9" w:color="1A7F45"/>
          <w:shd w:fill="EAF7EF" w:val="clear"/>
        </w:rPr>
        <w:t xml:space="preserve"> The processing pipeline. A frame is captured through the dome at fixed exposure and white balance and named with its coordinated universal time, the sky region is isolated and each retained pixel associated with a sky direction, the observed pattern is compared against a family of rendered patterns to yield an azimuth and a confidence, and the result is validated against the solar azimuth computed for the time and place of capture.</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152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link="rId5"/>
                    <a:stretch>
                      <a:fillRect/>
                    </a:stretch>
                  </pic:blipFill>
                  <pic:spPr bwMode="auto">
                    <a:xfrm>
                      <a:off x="0" y="0"/>
                      <a:ext cx="6096000" cy="152400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NEW_fig_4_4_processing_pipeline.png</w:t>
      </w:r>
      <w:r>
        <w:rPr>
          <w:color w:val="444444"/>
          <w:sz w:val="18"/>
          <w:bdr w:val="single" w:sz="2" w:space="8" w:color="D5DEEC"/>
          <w:shd w:fill="FBFCFE" w:val="clear"/>
        </w:rPr>
        <w:t> </w:t>
      </w:r>
    </w:p>
    <w:p>
      <w:pPr>
        <w:pStyle w:val="BodyText"/>
        <w:numPr>
          <w:ilvl w:val="0"/>
          <w:numId w:val="7"/>
        </w:numPr>
        <w:tabs>
          <w:tab w:val="clear" w:pos="1134"/>
          <w:tab w:val="left" w:pos="709" w:leader="none"/>
        </w:tabs>
        <w:bidi w:val="0"/>
        <w:spacing w:before="100" w:after="0"/>
        <w:ind w:hanging="283" w:left="709" w:right="100"/>
        <w:jc w:val="left"/>
        <w:rPr/>
      </w:pPr>
      <w:r>
        <w:rPr>
          <w:rFonts w:ascii="sans-serif" w:hAnsi="sans-serif"/>
          <w:color w:val="FFFFFF"/>
          <w:sz w:val="16"/>
          <w:shd w:fill="1A3D7C" w:val="clear"/>
        </w:rPr>
        <w:t>typos</w:t>
      </w:r>
      <w:r>
        <w:rPr/>
        <w:t xml:space="preserve"> §4.3: "PiCam 360" to "PiCam360"; "computer vison" to "computer vision". </w:t>
      </w:r>
    </w:p>
    <w:p>
      <w:pPr>
        <w:pStyle w:val="BodyText"/>
        <w:numPr>
          <w:ilvl w:val="0"/>
          <w:numId w:val="7"/>
        </w:numPr>
        <w:tabs>
          <w:tab w:val="clear" w:pos="1134"/>
          <w:tab w:val="left" w:pos="809" w:leader="none"/>
        </w:tabs>
        <w:bidi w:val="0"/>
        <w:ind w:hanging="283" w:left="809"/>
        <w:jc w:val="left"/>
        <w:rPr/>
      </w:pPr>
      <w:r>
        <w:rPr/>
        <w:t xml:space="preserve">honesty §4.3 describes a mount you do not have. It is a shipping box lid with slits, levelled with a phone level. Say so; the photograph will show it anyway. </w:t>
      </w:r>
    </w:p>
    <w:p>
      <w:pPr>
        <w:pStyle w:val="Heading3"/>
        <w:bidi w:val="0"/>
        <w:jc w:val="left"/>
        <w:rPr/>
      </w:pPr>
      <w:r>
        <w:rPr/>
        <w:t>Chapter 5, Methods</w:t>
      </w:r>
    </w:p>
    <w:p>
      <w:pPr>
        <w:pStyle w:val="BodyText"/>
        <w:bidi w:val="0"/>
        <w:spacing w:before="160" w:after="160"/>
        <w:ind w:hanging="0" w:left="160" w:right="160"/>
        <w:jc w:val="left"/>
        <w:rPr/>
      </w:pPr>
      <w:r>
        <w:rPr>
          <w:b/>
          <w:sz w:val="20"/>
          <w:bdr w:val="single" w:sz="24" w:space="9" w:color="D99100"/>
          <w:shd w:fill="FFF8E6" w:val="clear"/>
        </w:rPr>
        <w:t xml:space="preserve">§5.1, fill the NOTE with the values from </w:t>
      </w:r>
      <w:r>
        <w:rPr>
          <w:rStyle w:val="SourceText"/>
          <w:b/>
          <w:sz w:val="20"/>
          <w:bdr w:val="single" w:sz="24" w:space="9" w:color="D99100"/>
          <w:shd w:fill="FFF8E6" w:val="clear"/>
        </w:rPr>
        <w:t>captures/*/session.json</w:t>
      </w:r>
      <w:r>
        <w:rPr>
          <w:b/>
          <w:sz w:val="20"/>
          <w:bdr w:val="single" w:sz="24" w:space="9" w:color="D99100"/>
          <w:shd w:fill="FFF8E6" w:val="clear"/>
        </w:rPr>
        <w:t>:</w:t>
      </w:r>
      <w:r>
        <w:rPr>
          <w:sz w:val="20"/>
          <w:bdr w:val="single" w:sz="24" w:space="9" w:color="D99100"/>
          <w:shd w:fill="FFF8E6" w:val="clear"/>
        </w:rPr>
        <w:t xml:space="preserve"> device </w:t>
      </w:r>
      <w:r>
        <w:rPr>
          <w:rStyle w:val="SourceText"/>
          <w:sz w:val="20"/>
          <w:bdr w:val="single" w:sz="24" w:space="9" w:color="D99100"/>
          <w:shd w:fill="FFF8E6" w:val="clear"/>
        </w:rPr>
        <w:t>/dev/video4</w:t>
      </w:r>
      <w:r>
        <w:rPr>
          <w:sz w:val="20"/>
          <w:bdr w:val="single" w:sz="24" w:space="9" w:color="D99100"/>
          <w:shd w:fill="FFF8E6" w:val="clear"/>
        </w:rPr>
        <w:t xml:space="preserve">, 1600 x 1200, YUYV, </w:t>
      </w:r>
      <w:r>
        <w:rPr>
          <w:rStyle w:val="SourceText"/>
          <w:sz w:val="20"/>
          <w:bdr w:val="single" w:sz="24" w:space="9" w:color="D99100"/>
          <w:shd w:fill="FFF8E6" w:val="clear"/>
        </w:rPr>
        <w:t>gain</w:t>
      </w:r>
      <w:r>
        <w:rPr>
          <w:sz w:val="20"/>
          <w:bdr w:val="single" w:sz="24" w:space="9" w:color="D99100"/>
          <w:shd w:fill="FFF8E6" w:val="clear"/>
        </w:rPr>
        <w:t xml:space="preserve"> 0, </w:t>
      </w:r>
      <w:r>
        <w:rPr>
          <w:rStyle w:val="SourceText"/>
          <w:sz w:val="20"/>
          <w:bdr w:val="single" w:sz="24" w:space="9" w:color="D99100"/>
          <w:shd w:fill="FFF8E6" w:val="clear"/>
        </w:rPr>
        <w:t>white_balance_temperature</w:t>
      </w:r>
      <w:r>
        <w:rPr>
          <w:sz w:val="20"/>
          <w:bdr w:val="single" w:sz="24" w:space="9" w:color="D99100"/>
          <w:shd w:fill="FFF8E6" w:val="clear"/>
        </w:rPr>
        <w:t xml:space="preserve"> 5000 K, </w:t>
      </w:r>
      <w:r>
        <w:rPr>
          <w:rStyle w:val="SourceText"/>
          <w:sz w:val="20"/>
          <w:bdr w:val="single" w:sz="24" w:space="9" w:color="D99100"/>
          <w:shd w:fill="FFF8E6" w:val="clear"/>
        </w:rPr>
        <w:t>gamma</w:t>
      </w:r>
      <w:r>
        <w:rPr>
          <w:sz w:val="20"/>
          <w:bdr w:val="single" w:sz="24" w:space="9" w:color="D99100"/>
          <w:shd w:fill="FFF8E6" w:val="clear"/>
        </w:rPr>
        <w:t xml:space="preserve"> 100, automatic exposure and white balance disabled, a fixed number of initial frames discarded, and </w:t>
      </w:r>
      <w:r>
        <w:rPr>
          <w:rStyle w:val="SourceText"/>
          <w:sz w:val="20"/>
          <w:bdr w:val="single" w:sz="24" w:space="9" w:color="D99100"/>
          <w:shd w:fill="FFF8E6" w:val="clear"/>
        </w:rPr>
        <w:t>exposure_time_absolute</w:t>
      </w:r>
      <w:r>
        <w:rPr>
          <w:sz w:val="20"/>
          <w:bdr w:val="single" w:sz="24" w:space="9" w:color="D99100"/>
          <w:shd w:fill="FFF8E6" w:val="clear"/>
        </w:rPr>
        <w:t xml:space="preserve"> bracketed over 1, 5, 20, 50, 100 and 300. State which value you settled on.</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§5.1</w:t>
      </w:r>
      <w:r>
        <w:rPr>
          <w:sz w:val="20"/>
          <w:bdr w:val="single" w:sz="24" w:space="9" w:color="1A7F45"/>
          <w:shd w:fill="EAF7EF" w:val="clear"/>
        </w:rPr>
        <w:t xml:space="preserve"> with the exposure discussion.</w:t>
        <w:br/>
      </w:r>
      <w:r>
        <w:rPr>
          <w:b/>
          <w:sz w:val="20"/>
          <w:bdr w:val="single" w:sz="24" w:space="9" w:color="1A7F45"/>
          <w:shd w:fill="EAF7EF" w:val="clear"/>
        </w:rPr>
        <w:t>Caption:</w:t>
      </w:r>
      <w:r>
        <w:rPr>
          <w:sz w:val="20"/>
          <w:bdr w:val="single" w:sz="24" w:space="9" w:color="1A7F45"/>
          <w:shd w:fill="EAF7EF" w:val="clear"/>
        </w:rPr>
        <w:t xml:space="preserve"> Exposure bracket through the bare fisheye lens, measured inside the fitted disc. The response is not monotonic, because the first frame of each short session is captured before the manual controls take effect, which is the settling behaviour described in the text.</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3276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link="rId6"/>
                    <a:stretch>
                      <a:fillRect/>
                    </a:stretch>
                  </pic:blipFill>
                  <pic:spPr bwMode="auto">
                    <a:xfrm>
                      <a:off x="0" y="0"/>
                      <a:ext cx="6096000" cy="327660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NEW_fig_5_1_exposure_bracket.png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Two quantitative claims in §5.1 that do not reproduce.</w:t>
      </w:r>
      <w:r>
        <w:rPr>
          <w:sz w:val="20"/>
          <w:bdr w:val="single" w:sz="24" w:space="9" w:color="B3261E"/>
          <w:shd w:fill="FDECEB" w:val="clear"/>
        </w:rPr>
        <w:t xml:space="preserve"> </w:t>
      </w:r>
    </w:p>
    <w:p>
      <w:pPr>
        <w:pStyle w:val="BodyText"/>
        <w:numPr>
          <w:ilvl w:val="0"/>
          <w:numId w:val="8"/>
        </w:numPr>
        <w:tabs>
          <w:tab w:val="clear" w:pos="1134"/>
          <w:tab w:val="left" w:pos="869" w:leader="none"/>
        </w:tabs>
        <w:bidi w:val="0"/>
        <w:spacing w:before="160" w:after="160"/>
        <w:ind w:hanging="283" w:left="869" w:right="160"/>
        <w:jc w:val="left"/>
        <w:rPr>
          <w:sz w:val="20"/>
          <w:bdr w:val="single" w:sz="24" w:space="9" w:color="B3261E"/>
          <w:shd w:fill="FDECEB" w:val="clear"/>
        </w:rPr>
      </w:pPr>
      <w:r>
        <w:rPr>
          <w:sz w:val="20"/>
          <w:bdr w:val="single" w:sz="24" w:space="9" w:color="B3261E"/>
          <w:shd w:fill="FDECEB" w:val="clear"/>
        </w:rPr>
        <w:t xml:space="preserve">Lines 1854 to 1858 state the sky region of Figure 5.1 has "an average intensity of 220 and about 1/3 of the sky pixels being 250 or higher". Measuring inside the fitted disc of that frame gives a mean of </w:t>
      </w:r>
      <w:r>
        <w:rPr>
          <w:b/>
          <w:sz w:val="20"/>
          <w:bdr w:val="single" w:sz="24" w:space="9" w:color="B3261E"/>
          <w:shd w:fill="FDECEB" w:val="clear"/>
        </w:rPr>
        <w:t>158.5</w:t>
      </w:r>
      <w:r>
        <w:rPr>
          <w:sz w:val="20"/>
          <w:bdr w:val="single" w:sz="24" w:space="9" w:color="B3261E"/>
          <w:shd w:fill="FDECEB" w:val="clear"/>
        </w:rPr>
        <w:t xml:space="preserve"> and </w:t>
      </w:r>
      <w:r>
        <w:rPr>
          <w:b/>
          <w:sz w:val="20"/>
          <w:bdr w:val="single" w:sz="24" w:space="9" w:color="B3261E"/>
          <w:shd w:fill="FDECEB" w:val="clear"/>
        </w:rPr>
        <w:t>27.6 per cent</w:t>
      </w:r>
      <w:r>
        <w:rPr>
          <w:sz w:val="20"/>
          <w:bdr w:val="single" w:sz="24" w:space="9" w:color="B3261E"/>
          <w:shd w:fill="FDECEB" w:val="clear"/>
        </w:rPr>
        <w:t xml:space="preserve"> at 250 or above. The one-third figure is close; the mean is not. State the exact region you measured or re-measure. </w:t>
      </w:r>
    </w:p>
    <w:p>
      <w:pPr>
        <w:pStyle w:val="BodyText"/>
        <w:numPr>
          <w:ilvl w:val="0"/>
          <w:numId w:val="8"/>
        </w:numPr>
        <w:tabs>
          <w:tab w:val="clear" w:pos="1134"/>
          <w:tab w:val="left" w:pos="869" w:leader="none"/>
        </w:tabs>
        <w:bidi w:val="0"/>
        <w:spacing w:before="160" w:after="160"/>
        <w:ind w:hanging="283" w:left="869" w:right="160"/>
        <w:jc w:val="left"/>
        <w:rPr>
          <w:sz w:val="20"/>
          <w:bdr w:val="single" w:sz="24" w:space="9" w:color="B3261E"/>
          <w:shd w:fill="FDECEB" w:val="clear"/>
        </w:rPr>
      </w:pPr>
      <w:r>
        <w:rPr>
          <w:sz w:val="20"/>
          <w:bdr w:val="single" w:sz="24" w:space="9" w:color="B3261E"/>
          <w:shd w:fill="FDECEB" w:val="clear"/>
        </w:rPr>
        <w:t xml:space="preserve">Line 1900: "the difference in intensity between frames taken 3 seconds apart was about 2.6". 2.6 what? Say "a factor of about 2.6", and quote the two means. The clearest instance in your data is the 26 July pair, where the mean fell from 152.0 to 68.3 across two seconds, a factor of 2.2. </w:t>
      </w:r>
    </w:p>
    <w:p>
      <w:pPr>
        <w:pStyle w:val="BodyText"/>
        <w:numPr>
          <w:ilvl w:val="0"/>
          <w:numId w:val="9"/>
        </w:numPr>
        <w:tabs>
          <w:tab w:val="clear" w:pos="1134"/>
          <w:tab w:val="left" w:pos="809" w:leader="none"/>
        </w:tabs>
        <w:bidi w:val="0"/>
        <w:spacing w:before="100" w:after="0"/>
        <w:ind w:hanging="283" w:left="809"/>
        <w:jc w:val="left"/>
        <w:rPr/>
      </w:pPr>
      <w:r>
        <w:rPr/>
        <w:t xml:space="preserve">retitle §5.2 is called "Sun detection and pixel to azimuth mapping" and opens "The sun is not found by looking for its disk." Retitle to </w:t>
      </w:r>
      <w:r>
        <w:rPr>
          <w:b/>
        </w:rPr>
        <w:t>"Pixel to sky direction mapping and heading convention"</w:t>
      </w:r>
      <w:r>
        <w:rPr/>
        <w:t xml:space="preserve">. </w:t>
      </w:r>
    </w:p>
    <w:p>
      <w:pPr>
        <w:pStyle w:val="BodyText"/>
        <w:numPr>
          <w:ilvl w:val="0"/>
          <w:numId w:val="9"/>
        </w:numPr>
        <w:tabs>
          <w:tab w:val="clear" w:pos="1134"/>
          <w:tab w:val="left" w:pos="809" w:leader="none"/>
        </w:tabs>
        <w:bidi w:val="0"/>
        <w:spacing w:before="100" w:after="0"/>
        <w:ind w:hanging="283" w:left="809"/>
        <w:jc w:val="left"/>
        <w:rPr/>
      </w:pPr>
      <w:r>
        <w:rPr/>
        <w:t xml:space="preserve">add §5.3 never defines the confidence metric, yet Chapter 7 criticises it. Define it: the height of the correlation peak above the mean of the correlation curve, in units of the standard deviation of that curve. Also state the search resolution: a 2 degree sweep over the full circle, then a 0.25 degree refinement within plus or minus 2 degrees. </w:t>
      </w:r>
    </w:p>
    <w:p>
      <w:pPr>
        <w:pStyle w:val="BodyText"/>
        <w:numPr>
          <w:ilvl w:val="0"/>
          <w:numId w:val="9"/>
        </w:numPr>
        <w:tabs>
          <w:tab w:val="clear" w:pos="1134"/>
          <w:tab w:val="left" w:pos="809" w:leader="none"/>
        </w:tabs>
        <w:bidi w:val="0"/>
        <w:spacing w:before="100" w:after="0"/>
        <w:ind w:hanging="283" w:left="809"/>
        <w:jc w:val="left"/>
        <w:rPr/>
      </w:pPr>
      <w:r>
        <w:rPr/>
        <w:t xml:space="preserve">move §5.3 promises "A learned regressor trained on synthetic images is also considered". There are no results for it. Move the sentence to §7.3. </w:t>
      </w:r>
    </w:p>
    <w:p>
      <w:pPr>
        <w:pStyle w:val="BodyText"/>
        <w:numPr>
          <w:ilvl w:val="0"/>
          <w:numId w:val="9"/>
        </w:numPr>
        <w:tabs>
          <w:tab w:val="clear" w:pos="1134"/>
          <w:tab w:val="left" w:pos="809" w:leader="none"/>
        </w:tabs>
        <w:bidi w:val="0"/>
        <w:ind w:hanging="283" w:left="809"/>
        <w:jc w:val="left"/>
        <w:rPr/>
      </w:pPr>
      <w:r>
        <w:rPr/>
        <w:t xml:space="preserve">add Move the "true by construction" caveat from Chapter 7 into §5.3, where the reader first meets the estimator. </w:t>
      </w:r>
    </w:p>
    <w:p>
      <w:pPr>
        <w:pStyle w:val="BodyText"/>
        <w:bidi w:val="0"/>
        <w:spacing w:before="160" w:after="160"/>
        <w:ind w:hanging="0" w:left="160" w:right="160"/>
        <w:jc w:val="left"/>
        <w:rPr/>
      </w:pPr>
      <w:r>
        <w:rPr>
          <w:b/>
          <w:sz w:val="20"/>
          <w:bdr w:val="single" w:sz="24" w:space="9" w:color="B3261E"/>
          <w:shd w:fill="FDECEB" w:val="clear"/>
        </w:rPr>
        <w:t>§5.4 claims something the code does not do.</w:t>
      </w:r>
      <w:r>
        <w:rPr>
          <w:sz w:val="20"/>
          <w:bdr w:val="single" w:sz="24" w:space="9" w:color="B3261E"/>
          <w:shd w:fill="FDECEB" w:val="clear"/>
        </w:rPr>
        <w:t xml:space="preserve"> The section says the generator is driven by sun positions "taken from the real record of the sun over Turku". That is true of </w:t>
      </w:r>
      <w:r>
        <w:rPr>
          <w:rStyle w:val="SourceText"/>
          <w:sz w:val="20"/>
          <w:bdr w:val="single" w:sz="24" w:space="9" w:color="B3261E"/>
          <w:shd w:fill="FDECEB" w:val="clear"/>
        </w:rPr>
        <w:t>evaluate.py</w:t>
      </w:r>
      <w:r>
        <w:rPr>
          <w:sz w:val="20"/>
          <w:bdr w:val="single" w:sz="24" w:space="9" w:color="B3261E"/>
          <w:shd w:fill="FDECEB" w:val="clear"/>
        </w:rPr>
        <w:t xml:space="preserve">. It is </w:t>
      </w:r>
      <w:r>
        <w:rPr>
          <w:b/>
          <w:sz w:val="20"/>
          <w:bdr w:val="single" w:sz="24" w:space="9" w:color="B3261E"/>
          <w:shd w:fill="FDECEB" w:val="clear"/>
        </w:rPr>
        <w:t>not</w:t>
      </w:r>
      <w:r>
        <w:rPr>
          <w:sz w:val="20"/>
          <w:bdr w:val="single" w:sz="24" w:space="9" w:color="B3261E"/>
          <w:shd w:fill="FDECEB" w:val="clear"/>
        </w:rPr>
        <w:t xml:space="preserve"> true of </w:t>
      </w:r>
      <w:r>
        <w:rPr>
          <w:rStyle w:val="SourceText"/>
          <w:sz w:val="20"/>
          <w:bdr w:val="single" w:sz="24" w:space="9" w:color="B3261E"/>
          <w:shd w:fill="FDECEB" w:val="clear"/>
        </w:rPr>
        <w:t>generate_dataset()</w:t>
      </w:r>
      <w:r>
        <w:rPr>
          <w:sz w:val="20"/>
          <w:bdr w:val="single" w:sz="24" w:space="9" w:color="B3261E"/>
          <w:shd w:fill="FDECEB" w:val="clear"/>
        </w:rPr>
        <w:t xml:space="preserve">, which samples azimuth uniformly over 0 to 360 degrees. Running it confirms this: labels span 0.1 to 359.8 degrees, including roughly 100 degrees of azimuth the sun never occupies at Turku. </w:t>
        <w:br/>
        <w:br/>
        <w:t xml:space="preserve">Two corrected datasets have been generated for you: </w:t>
      </w:r>
      <w:r>
        <w:rPr>
          <w:rStyle w:val="SourceText"/>
          <w:sz w:val="20"/>
          <w:bdr w:val="single" w:sz="24" w:space="9" w:color="B3261E"/>
          <w:shd w:fill="FDECEB" w:val="clear"/>
        </w:rPr>
        <w:t>outputs/dataset_turku_flat/</w:t>
      </w:r>
      <w:r>
        <w:rPr>
          <w:sz w:val="20"/>
          <w:bdr w:val="single" w:sz="24" w:space="9" w:color="B3261E"/>
          <w:shd w:fill="FDECEB" w:val="clear"/>
        </w:rPr>
        <w:t xml:space="preserve"> and </w:t>
      </w:r>
      <w:r>
        <w:rPr>
          <w:rStyle w:val="SourceText"/>
          <w:sz w:val="20"/>
          <w:bdr w:val="single" w:sz="24" w:space="9" w:color="B3261E"/>
          <w:shd w:fill="FDECEB" w:val="clear"/>
        </w:rPr>
        <w:t>outputs/dataset_turku_radial/</w:t>
      </w:r>
      <w:r>
        <w:rPr>
          <w:sz w:val="20"/>
          <w:bdr w:val="single" w:sz="24" w:space="9" w:color="B3261E"/>
          <w:shd w:fill="FDECEB" w:val="clear"/>
        </w:rPr>
        <w:t xml:space="preserve">, each 2000 frames drawn from the 5972 real daylight positions, spanning azimuth </w:t>
      </w:r>
      <w:r>
        <w:rPr>
          <w:b/>
          <w:sz w:val="20"/>
          <w:bdr w:val="single" w:sz="24" w:space="9" w:color="B3261E"/>
          <w:shd w:fill="FDECEB" w:val="clear"/>
        </w:rPr>
        <w:t>50.2 to 310.7 degrees</w:t>
      </w:r>
      <w:r>
        <w:rPr>
          <w:sz w:val="20"/>
          <w:bdr w:val="single" w:sz="24" w:space="9" w:color="B3261E"/>
          <w:shd w:fill="FDECEB" w:val="clear"/>
        </w:rPr>
        <w:t xml:space="preserve"> and elevation 5.0 to 53.0 degrees, with the UTC timestamp kept as a label column. Use these and delete </w:t>
      </w:r>
      <w:r>
        <w:rPr>
          <w:rStyle w:val="SourceText"/>
          <w:sz w:val="20"/>
          <w:bdr w:val="single" w:sz="24" w:space="9" w:color="B3261E"/>
          <w:shd w:fill="FDECEB" w:val="clear"/>
        </w:rPr>
        <w:t>outputs/dataset_flat/</w:t>
      </w:r>
      <w:r>
        <w:rPr>
          <w:sz w:val="20"/>
          <w:bdr w:val="single" w:sz="24" w:space="9" w:color="B3261E"/>
          <w:shd w:fill="FDECEB" w:val="clear"/>
        </w:rPr>
        <w:t>.</w:t>
      </w:r>
    </w:p>
    <w:p>
      <w:pPr>
        <w:pStyle w:val="Heading3"/>
        <w:bidi w:val="0"/>
        <w:jc w:val="left"/>
        <w:rPr/>
      </w:pPr>
      <w:r>
        <w:rPr/>
        <w:t>Chapter 6, Results</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§6.1 mixes two datasets in one passage.</w:t>
      </w:r>
      <w:r>
        <w:rPr>
          <w:sz w:val="20"/>
          <w:bdr w:val="single" w:sz="24" w:space="9" w:color="B3261E"/>
          <w:shd w:fill="FDECEB" w:val="clear"/>
        </w:rPr>
        <w:t xml:space="preserve"> It quotes azimuth "35 to 325 degrees" and "5972 daylight solar positions" together. These are different populations: </w:t>
      </w:r>
    </w:p>
    <w:tbl>
      <w:tblPr>
        <w:tblW w:w="6300" w:type="dxa"/>
        <w:jc w:val="left"/>
        <w:tblInd w:w="188" w:type="dxa"/>
        <w:tblLayout w:type="fixed"/>
        <w:tblCellMar>
          <w:top w:w="28" w:type="dxa"/>
          <w:left w:w="28" w:type="dxa"/>
          <w:bottom w:w="28" w:type="dxa"/>
          <w:right w:w="28" w:type="dxa"/>
        </w:tblCellMar>
      </w:tblPr>
      <w:tblGrid>
        <w:gridCol w:w="3801"/>
        <w:gridCol w:w="806"/>
        <w:gridCol w:w="1693"/>
      </w:tblGrid>
      <w:tr>
        <w:trPr/>
        <w:tc>
          <w:tcPr>
            <w:tcW w:w="3801" w:type="dxa"/>
            <w:tcBorders/>
            <w:vAlign w:val="center"/>
          </w:tcPr>
          <w:p>
            <w:pPr>
              <w:pStyle w:val="TableHeading"/>
              <w:suppressLineNumbers/>
              <w:shd w:fill="1A3D7C" w:val="clear"/>
              <w:bidi w:val="0"/>
              <w:spacing w:before="100" w:after="100"/>
              <w:jc w:val="left"/>
              <w:rPr/>
            </w:pPr>
            <w:r>
              <w:rPr/>
              <w:t>Set</w:t>
            </w:r>
          </w:p>
        </w:tc>
        <w:tc>
          <w:tcPr>
            <w:tcW w:w="806" w:type="dxa"/>
            <w:tcBorders/>
            <w:vAlign w:val="center"/>
          </w:tcPr>
          <w:p>
            <w:pPr>
              <w:pStyle w:val="TableHeading"/>
              <w:suppressLineNumbers/>
              <w:shd w:fill="1A3D7C" w:val="clear"/>
              <w:bidi w:val="0"/>
              <w:spacing w:before="100" w:after="100"/>
              <w:jc w:val="left"/>
              <w:rPr/>
            </w:pPr>
            <w:r>
              <w:rPr/>
              <w:t>Count</w:t>
            </w:r>
          </w:p>
        </w:tc>
        <w:tc>
          <w:tcPr>
            <w:tcW w:w="1693" w:type="dxa"/>
            <w:tcBorders/>
            <w:vAlign w:val="center"/>
          </w:tcPr>
          <w:p>
            <w:pPr>
              <w:pStyle w:val="TableHeading"/>
              <w:suppressLineNumbers/>
              <w:shd w:fill="1A3D7C" w:val="clear"/>
              <w:bidi w:val="0"/>
              <w:spacing w:before="100" w:after="100"/>
              <w:jc w:val="left"/>
              <w:rPr/>
            </w:pPr>
            <w:r>
              <w:rPr/>
              <w:t>Azimuth range</w:t>
            </w:r>
          </w:p>
        </w:tc>
      </w:tr>
      <w:tr>
        <w:trPr/>
        <w:tc>
          <w:tcPr>
            <w:tcW w:w="3801" w:type="dxa"/>
            <w:tcBorders/>
            <w:vAlign w:val="center"/>
          </w:tcPr>
          <w:p>
            <w:pPr>
              <w:pStyle w:val="TableContents"/>
              <w:bidi w:val="0"/>
              <w:spacing w:before="100" w:after="100"/>
              <w:jc w:val="left"/>
              <w:rPr/>
            </w:pPr>
            <w:r>
              <w:rPr/>
              <w:t>elevation ≥ 0 deg, plotted in Figure 6.1</w:t>
            </w:r>
          </w:p>
        </w:tc>
        <w:tc>
          <w:tcPr>
            <w:tcW w:w="806" w:type="dxa"/>
            <w:tcBorders/>
            <w:vAlign w:val="center"/>
          </w:tcPr>
          <w:p>
            <w:pPr>
              <w:pStyle w:val="TableContents"/>
              <w:bidi w:val="0"/>
              <w:spacing w:before="100" w:after="100"/>
              <w:jc w:val="left"/>
              <w:rPr/>
            </w:pPr>
            <w:r>
              <w:rPr/>
              <w:t>6740</w:t>
            </w:r>
          </w:p>
        </w:tc>
        <w:tc>
          <w:tcPr>
            <w:tcW w:w="1693" w:type="dxa"/>
            <w:tcBorders/>
            <w:vAlign w:val="center"/>
          </w:tcPr>
          <w:p>
            <w:pPr>
              <w:pStyle w:val="TableContents"/>
              <w:bidi w:val="0"/>
              <w:spacing w:before="100" w:after="100"/>
              <w:jc w:val="left"/>
              <w:rPr/>
            </w:pPr>
            <w:r>
              <w:rPr/>
              <w:t>35 to 325 deg</w:t>
            </w:r>
          </w:p>
        </w:tc>
      </w:tr>
      <w:tr>
        <w:trPr/>
        <w:tc>
          <w:tcPr>
            <w:tcW w:w="3801" w:type="dxa"/>
            <w:tcBorders/>
            <w:vAlign w:val="center"/>
          </w:tcPr>
          <w:p>
            <w:pPr>
              <w:pStyle w:val="TableContents"/>
              <w:bidi w:val="0"/>
              <w:spacing w:before="100" w:after="100"/>
              <w:jc w:val="left"/>
              <w:rPr/>
            </w:pPr>
            <w:r>
              <w:rPr/>
              <w:t>elevation ≥ 5 deg, used by the estimator</w:t>
            </w:r>
          </w:p>
        </w:tc>
        <w:tc>
          <w:tcPr>
            <w:tcW w:w="806" w:type="dxa"/>
            <w:tcBorders/>
            <w:vAlign w:val="center"/>
          </w:tcPr>
          <w:p>
            <w:pPr>
              <w:pStyle w:val="TableContents"/>
              <w:bidi w:val="0"/>
              <w:spacing w:before="100" w:after="100"/>
              <w:jc w:val="left"/>
              <w:rPr>
                <w:b/>
              </w:rPr>
            </w:pPr>
            <w:r>
              <w:rPr>
                <w:b/>
              </w:rPr>
              <w:t>5972</w:t>
            </w:r>
          </w:p>
        </w:tc>
        <w:tc>
          <w:tcPr>
            <w:tcW w:w="1693" w:type="dxa"/>
            <w:tcBorders/>
            <w:vAlign w:val="center"/>
          </w:tcPr>
          <w:p>
            <w:pPr>
              <w:pStyle w:val="TableContents"/>
              <w:bidi w:val="0"/>
              <w:spacing w:before="100" w:after="100"/>
              <w:jc w:val="left"/>
              <w:rPr>
                <w:b/>
              </w:rPr>
            </w:pPr>
            <w:r>
              <w:rPr>
                <w:b/>
              </w:rPr>
              <w:t>50 to 311 deg</w:t>
            </w:r>
          </w:p>
        </w:tc>
      </w:tr>
    </w:tbl>
    <w:p>
      <w:pPr>
        <w:pStyle w:val="BodyText"/>
        <w:bidi w:val="0"/>
        <w:spacing w:before="160" w:after="160"/>
        <w:ind w:hanging="0" w:left="160" w:right="160"/>
        <w:jc w:val="left"/>
        <w:rPr>
          <w:sz w:val="20"/>
          <w:bdr w:val="single" w:sz="24" w:space="9" w:color="B3261E"/>
          <w:shd w:fill="FDECEB" w:val="clear"/>
        </w:rPr>
      </w:pPr>
      <w:r>
        <w:rPr>
          <w:sz w:val="20"/>
          <w:bdr w:val="single" w:sz="24" w:space="9" w:color="B3261E"/>
          <w:shd w:fill="FDECEB" w:val="clear"/>
        </w:rPr>
        <w:t>State both explicitly and explain the 5 degree floor. Separately, the window 14 May to 14 July is called "the two months leading up to the capture campaign", but the campaign ran 26 to 30 July. Reword, or shift to 31 May to 31 July, which gives n = 5965 with identical ranges.</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§6.2 asserts something the figure contradicts.</w:t>
      </w:r>
      <w:r>
        <w:rPr>
          <w:sz w:val="20"/>
          <w:bdr w:val="single" w:sz="24" w:space="9" w:color="B3261E"/>
          <w:shd w:fill="FDECEB" w:val="clear"/>
        </w:rPr>
        <w:t xml:space="preserve"> The draft says the radial dome "places the band so that it points toward the sun", in §3.3, §4.1 and §6.2. Measurement: binning the rendered image into azimuth wedges puts the darkest wedge at the </w:t>
      </w:r>
      <w:r>
        <w:rPr>
          <w:b/>
          <w:sz w:val="20"/>
          <w:bdr w:val="single" w:sz="24" w:space="9" w:color="B3261E"/>
          <w:shd w:fill="FDECEB" w:val="clear"/>
        </w:rPr>
        <w:t>antisolar</w:t>
      </w:r>
      <w:r>
        <w:rPr>
          <w:sz w:val="20"/>
          <w:bdr w:val="single" w:sz="24" w:space="9" w:color="B3261E"/>
          <w:shd w:fill="FDECEB" w:val="clear"/>
        </w:rPr>
        <w:t xml:space="preserve"> azimuth every time (sun 0 to dark 180, 90 to 270, 135 to 315, 225 to 45), across elevations of 10, 30 and 50 degrees. Mean intensity toward the sun is 0.489 against 0.293 toward the antisolar point. </w:t>
        <w:br/>
        <w:br/>
      </w:r>
      <w:r>
        <w:rPr>
          <w:b/>
          <w:sz w:val="20"/>
          <w:bdr w:val="single" w:sz="24" w:space="9" w:color="B3261E"/>
          <w:shd w:fill="FDECEB" w:val="clear"/>
        </w:rPr>
        <w:t>The correct statement:</w:t>
      </w:r>
      <w:r>
        <w:rPr>
          <w:sz w:val="20"/>
          <w:bdr w:val="single" w:sz="24" w:space="9" w:color="B3261E"/>
          <w:shd w:fill="FDECEB" w:val="clear"/>
        </w:rPr>
        <w:t xml:space="preserve"> the radial arrangement aligns the dark axis with the solar meridian, because there the sky e-vector is tangential while the analyser axis is radial. Both ends darken, and the antisolar end darkens more because the degree of polarisation is low near the sun. The brightness asymmetry between the two ends is what identifies which end holds the sun, and it is why the ambiguity returns once cloud flattens the pattern.</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§6.2, after the existing Figure 6.2.</w:t>
      </w:r>
      <w:r>
        <w:rPr>
          <w:sz w:val="20"/>
          <w:bdr w:val="single" w:sz="24" w:space="9" w:color="1A7F45"/>
          <w:shd w:fill="EAF7EF" w:val="clear"/>
        </w:rPr>
        <w:br/>
      </w:r>
      <w:r>
        <w:rPr>
          <w:b/>
          <w:sz w:val="20"/>
          <w:bdr w:val="single" w:sz="24" w:space="9" w:color="1A7F45"/>
          <w:shd w:fill="EAF7EF" w:val="clear"/>
        </w:rPr>
        <w:t>Caption:</w:t>
      </w:r>
      <w:r>
        <w:rPr>
          <w:sz w:val="20"/>
          <w:bdr w:val="single" w:sz="24" w:space="9" w:color="1A7F45"/>
          <w:shd w:fill="EAF7EF" w:val="clear"/>
        </w:rPr>
        <w:t xml:space="preserve"> Mean transmitted intensity in five degree azimuth wedges between 0.25 and 0.95 of the disc radius, for a sun at azimuth 135 degrees and elevation 30 degrees. The flat filter produces two minima fixed by the film axis and unrelated to the sun. The radial dome produces a single deep minimum at the antisolar azimuth of 315 degrees together with a shallower one toward the sun, so the dark axis marks the solar meridian while the asymmetry between its ends resolves which end holds the sun.</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30194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link="rId7"/>
                    <a:stretch>
                      <a:fillRect/>
                    </a:stretch>
                  </pic:blipFill>
                  <pic:spPr bwMode="auto">
                    <a:xfrm>
                      <a:off x="0" y="0"/>
                      <a:ext cx="6096000" cy="3019425"/>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NEW_fig_6_2_azimuth_profile.png</w:t>
      </w:r>
      <w:r>
        <w:rPr>
          <w:color w:val="444444"/>
          <w:sz w:val="18"/>
          <w:bdr w:val="single" w:sz="2" w:space="8" w:color="D5DEEC"/>
          <w:shd w:fill="FBFCFE" w:val="clear"/>
        </w:rPr>
        <w:t> </w:t>
      </w:r>
    </w:p>
    <w:p>
      <w:pPr>
        <w:pStyle w:val="BodyText"/>
        <w:bidi w:val="0"/>
        <w:spacing w:before="160" w:after="160"/>
        <w:ind w:hanging="0" w:left="160" w:right="160"/>
        <w:jc w:val="left"/>
        <w:rPr/>
      </w:pPr>
      <w:r>
        <w:rPr>
          <w:b/>
          <w:sz w:val="20"/>
          <w:bdr w:val="single" w:sz="24" w:space="9" w:color="D99100"/>
          <w:shd w:fill="FFF8E6" w:val="clear"/>
        </w:rPr>
        <w:t xml:space="preserve">Also re-insert </w:t>
      </w:r>
      <w:r>
        <w:rPr>
          <w:rStyle w:val="SourceText"/>
          <w:b/>
          <w:sz w:val="20"/>
          <w:bdr w:val="single" w:sz="24" w:space="9" w:color="D99100"/>
          <w:shd w:fill="FFF8E6" w:val="clear"/>
        </w:rPr>
        <w:t>outputs/polarizer_band_demo.png</w:t>
      </w:r>
      <w:r>
        <w:rPr>
          <w:b/>
          <w:sz w:val="20"/>
          <w:bdr w:val="single" w:sz="24" w:space="9" w:color="D99100"/>
          <w:shd w:fill="FFF8E6" w:val="clear"/>
        </w:rPr>
        <w:t>.</w:t>
      </w:r>
      <w:r>
        <w:rPr>
          <w:sz w:val="20"/>
          <w:bdr w:val="single" w:sz="24" w:space="9" w:color="D99100"/>
          <w:shd w:fill="FFF8E6" w:val="clear"/>
        </w:rPr>
        <w:t xml:space="preserve"> The version in your current draft has the false claim printed </w:t>
      </w:r>
      <w:r>
        <w:rPr>
          <w:i/>
          <w:sz w:val="20"/>
          <w:bdr w:val="single" w:sz="24" w:space="9" w:color="D99100"/>
          <w:shd w:fill="FFF8E6" w:val="clear"/>
        </w:rPr>
        <w:t>inside</w:t>
      </w:r>
      <w:r>
        <w:rPr>
          <w:sz w:val="20"/>
          <w:bdr w:val="single" w:sz="24" w:space="9" w:color="D99100"/>
          <w:shd w:fill="FFF8E6" w:val="clear"/>
        </w:rPr>
        <w:t xml:space="preserve"> the image, where an examiner reads it straight off the figure. The regenerated file corrects the caption and adds the solar meridian as a cyan diameter, solid toward the sun and dashed toward the antisolar azimuth, so the claim is visible rather than merely asserted. Note in the caption that the antisolar </w:t>
      </w:r>
      <w:r>
        <w:rPr>
          <w:i/>
          <w:sz w:val="20"/>
          <w:bdr w:val="single" w:sz="24" w:space="9" w:color="D99100"/>
          <w:shd w:fill="FFF8E6" w:val="clear"/>
        </w:rPr>
        <w:t>point</w:t>
      </w:r>
      <w:r>
        <w:rPr>
          <w:sz w:val="20"/>
          <w:bdr w:val="single" w:sz="24" w:space="9" w:color="D99100"/>
          <w:shd w:fill="FFF8E6" w:val="clear"/>
        </w:rPr>
        <w:t xml:space="preserve"> lies below the horizon and is not in the image; what is marked is the antisolar </w:t>
      </w:r>
      <w:r>
        <w:rPr>
          <w:i/>
          <w:sz w:val="20"/>
          <w:bdr w:val="single" w:sz="24" w:space="9" w:color="D99100"/>
          <w:shd w:fill="FFF8E6" w:val="clear"/>
        </w:rPr>
        <w:t>azimuth</w:t>
      </w:r>
      <w:r>
        <w:rPr>
          <w:sz w:val="20"/>
          <w:bdr w:val="single" w:sz="24" w:space="9" w:color="D99100"/>
          <w:shd w:fill="FFF8E6" w:val="clear"/>
        </w:rPr>
        <w:t xml:space="preserve"> at the disc edge.</w:t>
      </w:r>
    </w:p>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§6.3, replace Table 6.1 entirely.</w:t>
      </w:r>
      <w:r>
        <w:rPr>
          <w:sz w:val="20"/>
          <w:bdr w:val="single" w:sz="24" w:space="9" w:color="D99100"/>
          <w:shd w:fill="FFF8E6" w:val="clear"/>
        </w:rPr>
        <w:t xml:space="preserve"> The draft has four of six cells at n = 60. The full matrix has been run at n = 200: </w:t>
      </w:r>
    </w:p>
    <w:tbl>
      <w:tblPr>
        <w:tblW w:w="8751" w:type="dxa"/>
        <w:jc w:val="left"/>
        <w:tblInd w:w="188" w:type="dxa"/>
        <w:tblLayout w:type="fixed"/>
        <w:tblCellMar>
          <w:top w:w="28" w:type="dxa"/>
          <w:left w:w="28" w:type="dxa"/>
          <w:bottom w:w="28" w:type="dxa"/>
          <w:right w:w="28" w:type="dxa"/>
        </w:tblCellMar>
      </w:tblPr>
      <w:tblGrid>
        <w:gridCol w:w="1313"/>
        <w:gridCol w:w="743"/>
        <w:gridCol w:w="824"/>
        <w:gridCol w:w="943"/>
        <w:gridCol w:w="937"/>
        <w:gridCol w:w="937"/>
        <w:gridCol w:w="1442"/>
        <w:gridCol w:w="737"/>
        <w:gridCol w:w="875"/>
      </w:tblGrid>
      <w:tr>
        <w:trPr/>
        <w:tc>
          <w:tcPr>
            <w:tcW w:w="1313" w:type="dxa"/>
            <w:tcBorders/>
            <w:vAlign w:val="center"/>
          </w:tcPr>
          <w:p>
            <w:pPr>
              <w:pStyle w:val="TableHeading"/>
              <w:suppressLineNumbers/>
              <w:shd w:fill="1A3D7C" w:val="clear"/>
              <w:bidi w:val="0"/>
              <w:spacing w:before="100" w:after="100"/>
              <w:jc w:val="left"/>
              <w:rPr/>
            </w:pPr>
            <w:r>
              <w:rPr/>
              <w:t>Condition</w:t>
            </w:r>
          </w:p>
        </w:tc>
        <w:tc>
          <w:tcPr>
            <w:tcW w:w="743" w:type="dxa"/>
            <w:tcBorders/>
            <w:vAlign w:val="center"/>
          </w:tcPr>
          <w:p>
            <w:pPr>
              <w:pStyle w:val="TableHeading"/>
              <w:suppressLineNumbers/>
              <w:shd w:fill="1A3D7C" w:val="clear"/>
              <w:bidi w:val="0"/>
              <w:spacing w:before="100" w:after="100"/>
              <w:jc w:val="left"/>
              <w:rPr/>
            </w:pPr>
            <w:r>
              <w:rPr/>
              <w:t>Optic</w:t>
            </w:r>
          </w:p>
        </w:tc>
        <w:tc>
          <w:tcPr>
            <w:tcW w:w="824" w:type="dxa"/>
            <w:tcBorders/>
            <w:vAlign w:val="center"/>
          </w:tcPr>
          <w:p>
            <w:pPr>
              <w:pStyle w:val="TableHeading"/>
              <w:suppressLineNumbers/>
              <w:shd w:fill="1A3D7C" w:val="clear"/>
              <w:bidi w:val="0"/>
              <w:spacing w:before="100" w:after="100"/>
              <w:jc w:val="left"/>
              <w:rPr/>
            </w:pPr>
            <w:r>
              <w:rPr/>
              <w:t>Mean</w:t>
            </w:r>
          </w:p>
        </w:tc>
        <w:tc>
          <w:tcPr>
            <w:tcW w:w="943" w:type="dxa"/>
            <w:tcBorders/>
            <w:vAlign w:val="center"/>
          </w:tcPr>
          <w:p>
            <w:pPr>
              <w:pStyle w:val="TableHeading"/>
              <w:suppressLineNumbers/>
              <w:shd w:fill="1A3D7C" w:val="clear"/>
              <w:bidi w:val="0"/>
              <w:spacing w:before="100" w:after="100"/>
              <w:jc w:val="left"/>
              <w:rPr/>
            </w:pPr>
            <w:r>
              <w:rPr/>
              <w:t>Median</w:t>
            </w:r>
          </w:p>
        </w:tc>
        <w:tc>
          <w:tcPr>
            <w:tcW w:w="937" w:type="dxa"/>
            <w:tcBorders/>
            <w:vAlign w:val="center"/>
          </w:tcPr>
          <w:p>
            <w:pPr>
              <w:pStyle w:val="TableHeading"/>
              <w:suppressLineNumbers/>
              <w:shd w:fill="1A3D7C" w:val="clear"/>
              <w:bidi w:val="0"/>
              <w:spacing w:before="100" w:after="100"/>
              <w:jc w:val="left"/>
              <w:rPr/>
            </w:pPr>
            <w:r>
              <w:rPr/>
              <w:t>P90</w:t>
            </w:r>
          </w:p>
        </w:tc>
        <w:tc>
          <w:tcPr>
            <w:tcW w:w="937" w:type="dxa"/>
            <w:tcBorders/>
            <w:vAlign w:val="center"/>
          </w:tcPr>
          <w:p>
            <w:pPr>
              <w:pStyle w:val="TableHeading"/>
              <w:suppressLineNumbers/>
              <w:shd w:fill="1A3D7C" w:val="clear"/>
              <w:bidi w:val="0"/>
              <w:spacing w:before="100" w:after="100"/>
              <w:jc w:val="left"/>
              <w:rPr/>
            </w:pPr>
            <w:r>
              <w:rPr/>
              <w:t>Max</w:t>
            </w:r>
          </w:p>
        </w:tc>
        <w:tc>
          <w:tcPr>
            <w:tcW w:w="1442" w:type="dxa"/>
            <w:tcBorders/>
            <w:vAlign w:val="center"/>
          </w:tcPr>
          <w:p>
            <w:pPr>
              <w:pStyle w:val="TableHeading"/>
              <w:suppressLineNumbers/>
              <w:shd w:fill="1A3D7C" w:val="clear"/>
              <w:bidi w:val="0"/>
              <w:spacing w:before="100" w:after="100"/>
              <w:jc w:val="left"/>
              <w:rPr/>
            </w:pPr>
            <w:r>
              <w:rPr/>
              <w:t>Within 5 deg</w:t>
            </w:r>
          </w:p>
        </w:tc>
        <w:tc>
          <w:tcPr>
            <w:tcW w:w="737" w:type="dxa"/>
            <w:tcBorders/>
            <w:vAlign w:val="center"/>
          </w:tcPr>
          <w:p>
            <w:pPr>
              <w:pStyle w:val="TableHeading"/>
              <w:suppressLineNumbers/>
              <w:shd w:fill="1A3D7C" w:val="clear"/>
              <w:bidi w:val="0"/>
              <w:spacing w:before="100" w:after="100"/>
              <w:jc w:val="left"/>
              <w:rPr/>
            </w:pPr>
            <w:r>
              <w:rPr/>
              <w:t>Conf.</w:t>
            </w:r>
          </w:p>
        </w:tc>
        <w:tc>
          <w:tcPr>
            <w:tcW w:w="875" w:type="dxa"/>
            <w:tcBorders/>
            <w:vAlign w:val="center"/>
          </w:tcPr>
          <w:p>
            <w:pPr>
              <w:pStyle w:val="TableHeading"/>
              <w:suppressLineNumbers/>
              <w:shd w:fill="1A3D7C" w:val="clear"/>
              <w:bidi w:val="0"/>
              <w:spacing w:before="100" w:after="100"/>
              <w:jc w:val="left"/>
              <w:rPr/>
            </w:pPr>
            <w:r>
              <w:rPr/>
              <w:t>Gross</w:t>
            </w:r>
          </w:p>
        </w:tc>
      </w:tr>
      <w:tr>
        <w:trPr/>
        <w:tc>
          <w:tcPr>
            <w:tcW w:w="1313" w:type="dxa"/>
            <w:tcBorders/>
            <w:vAlign w:val="center"/>
          </w:tcPr>
          <w:p>
            <w:pPr>
              <w:pStyle w:val="TableContents"/>
              <w:bidi w:val="0"/>
              <w:spacing w:before="100" w:after="100"/>
              <w:jc w:val="left"/>
              <w:rPr/>
            </w:pPr>
            <w:r>
              <w:rPr/>
              <w:t>clear</w:t>
            </w:r>
          </w:p>
        </w:tc>
        <w:tc>
          <w:tcPr>
            <w:tcW w:w="743" w:type="dxa"/>
            <w:tcBorders/>
            <w:vAlign w:val="center"/>
          </w:tcPr>
          <w:p>
            <w:pPr>
              <w:pStyle w:val="TableContents"/>
              <w:bidi w:val="0"/>
              <w:spacing w:before="100" w:after="100"/>
              <w:jc w:val="left"/>
              <w:rPr/>
            </w:pPr>
            <w:r>
              <w:rPr/>
              <w:t>flat</w:t>
            </w:r>
          </w:p>
        </w:tc>
        <w:tc>
          <w:tcPr>
            <w:tcW w:w="824" w:type="dxa"/>
            <w:tcBorders/>
            <w:vAlign w:val="center"/>
          </w:tcPr>
          <w:p>
            <w:pPr>
              <w:pStyle w:val="TableContents"/>
              <w:bidi w:val="0"/>
              <w:spacing w:before="100" w:after="100"/>
              <w:jc w:val="left"/>
              <w:rPr/>
            </w:pPr>
            <w:r>
              <w:rPr/>
              <w:t>0.078</w:t>
            </w:r>
          </w:p>
        </w:tc>
        <w:tc>
          <w:tcPr>
            <w:tcW w:w="943" w:type="dxa"/>
            <w:tcBorders/>
            <w:vAlign w:val="center"/>
          </w:tcPr>
          <w:p>
            <w:pPr>
              <w:pStyle w:val="TableContents"/>
              <w:bidi w:val="0"/>
              <w:spacing w:before="100" w:after="100"/>
              <w:jc w:val="left"/>
              <w:rPr/>
            </w:pPr>
            <w:r>
              <w:rPr/>
              <w:t>0.075</w:t>
            </w:r>
          </w:p>
        </w:tc>
        <w:tc>
          <w:tcPr>
            <w:tcW w:w="937" w:type="dxa"/>
            <w:tcBorders/>
            <w:vAlign w:val="center"/>
          </w:tcPr>
          <w:p>
            <w:pPr>
              <w:pStyle w:val="TableContents"/>
              <w:bidi w:val="0"/>
              <w:spacing w:before="100" w:after="100"/>
              <w:jc w:val="left"/>
              <w:rPr/>
            </w:pPr>
            <w:r>
              <w:rPr/>
              <w:t>0.138</w:t>
            </w:r>
          </w:p>
        </w:tc>
        <w:tc>
          <w:tcPr>
            <w:tcW w:w="937" w:type="dxa"/>
            <w:tcBorders/>
            <w:vAlign w:val="center"/>
          </w:tcPr>
          <w:p>
            <w:pPr>
              <w:pStyle w:val="TableContents"/>
              <w:bidi w:val="0"/>
              <w:spacing w:before="100" w:after="100"/>
              <w:jc w:val="left"/>
              <w:rPr/>
            </w:pPr>
            <w:r>
              <w:rPr/>
              <w:t>0.272</w:t>
            </w:r>
          </w:p>
        </w:tc>
        <w:tc>
          <w:tcPr>
            <w:tcW w:w="1442" w:type="dxa"/>
            <w:tcBorders/>
            <w:vAlign w:val="center"/>
          </w:tcPr>
          <w:p>
            <w:pPr>
              <w:pStyle w:val="TableContents"/>
              <w:bidi w:val="0"/>
              <w:spacing w:before="100" w:after="100"/>
              <w:jc w:val="left"/>
              <w:rPr/>
            </w:pPr>
            <w:r>
              <w:rPr/>
              <w:t>100.0 %</w:t>
            </w:r>
          </w:p>
        </w:tc>
        <w:tc>
          <w:tcPr>
            <w:tcW w:w="737" w:type="dxa"/>
            <w:tcBorders/>
            <w:vAlign w:val="center"/>
          </w:tcPr>
          <w:p>
            <w:pPr>
              <w:pStyle w:val="TableContents"/>
              <w:bidi w:val="0"/>
              <w:spacing w:before="100" w:after="100"/>
              <w:jc w:val="left"/>
              <w:rPr/>
            </w:pPr>
            <w:r>
              <w:rPr/>
              <w:t>1.80</w:t>
            </w:r>
          </w:p>
        </w:tc>
        <w:tc>
          <w:tcPr>
            <w:tcW w:w="875" w:type="dxa"/>
            <w:tcBorders/>
            <w:vAlign w:val="center"/>
          </w:tcPr>
          <w:p>
            <w:pPr>
              <w:pStyle w:val="TableContents"/>
              <w:bidi w:val="0"/>
              <w:spacing w:before="100" w:after="100"/>
              <w:jc w:val="left"/>
              <w:rPr/>
            </w:pPr>
            <w:r>
              <w:rPr/>
              <w:t>0</w:t>
            </w:r>
          </w:p>
        </w:tc>
      </w:tr>
      <w:tr>
        <w:trPr/>
        <w:tc>
          <w:tcPr>
            <w:tcW w:w="1313" w:type="dxa"/>
            <w:tcBorders/>
            <w:vAlign w:val="center"/>
          </w:tcPr>
          <w:p>
            <w:pPr>
              <w:pStyle w:val="TableContents"/>
              <w:bidi w:val="0"/>
              <w:spacing w:before="100" w:after="100"/>
              <w:jc w:val="left"/>
              <w:rPr/>
            </w:pPr>
            <w:r>
              <w:rPr/>
              <w:t>thin cloud</w:t>
            </w:r>
          </w:p>
        </w:tc>
        <w:tc>
          <w:tcPr>
            <w:tcW w:w="743" w:type="dxa"/>
            <w:tcBorders/>
            <w:vAlign w:val="center"/>
          </w:tcPr>
          <w:p>
            <w:pPr>
              <w:pStyle w:val="TableContents"/>
              <w:bidi w:val="0"/>
              <w:spacing w:before="100" w:after="100"/>
              <w:jc w:val="left"/>
              <w:rPr/>
            </w:pPr>
            <w:r>
              <w:rPr/>
              <w:t>flat</w:t>
            </w:r>
          </w:p>
        </w:tc>
        <w:tc>
          <w:tcPr>
            <w:tcW w:w="824" w:type="dxa"/>
            <w:tcBorders/>
            <w:vAlign w:val="center"/>
          </w:tcPr>
          <w:p>
            <w:pPr>
              <w:pStyle w:val="TableContents"/>
              <w:bidi w:val="0"/>
              <w:spacing w:before="100" w:after="100"/>
              <w:jc w:val="left"/>
              <w:rPr/>
            </w:pPr>
            <w:r>
              <w:rPr/>
              <w:t>1.020</w:t>
            </w:r>
          </w:p>
        </w:tc>
        <w:tc>
          <w:tcPr>
            <w:tcW w:w="943" w:type="dxa"/>
            <w:tcBorders/>
            <w:vAlign w:val="center"/>
          </w:tcPr>
          <w:p>
            <w:pPr>
              <w:pStyle w:val="TableContents"/>
              <w:bidi w:val="0"/>
              <w:spacing w:before="100" w:after="100"/>
              <w:jc w:val="left"/>
              <w:rPr/>
            </w:pPr>
            <w:r>
              <w:rPr/>
              <w:t>0.777</w:t>
            </w:r>
          </w:p>
        </w:tc>
        <w:tc>
          <w:tcPr>
            <w:tcW w:w="937" w:type="dxa"/>
            <w:tcBorders/>
            <w:vAlign w:val="center"/>
          </w:tcPr>
          <w:p>
            <w:pPr>
              <w:pStyle w:val="TableContents"/>
              <w:bidi w:val="0"/>
              <w:spacing w:before="100" w:after="100"/>
              <w:jc w:val="left"/>
              <w:rPr/>
            </w:pPr>
            <w:r>
              <w:rPr/>
              <w:t>2.188</w:t>
            </w:r>
          </w:p>
        </w:tc>
        <w:tc>
          <w:tcPr>
            <w:tcW w:w="937" w:type="dxa"/>
            <w:tcBorders/>
            <w:vAlign w:val="center"/>
          </w:tcPr>
          <w:p>
            <w:pPr>
              <w:pStyle w:val="TableContents"/>
              <w:bidi w:val="0"/>
              <w:spacing w:before="100" w:after="100"/>
              <w:jc w:val="left"/>
              <w:rPr/>
            </w:pPr>
            <w:r>
              <w:rPr/>
              <w:t>4.224</w:t>
            </w:r>
          </w:p>
        </w:tc>
        <w:tc>
          <w:tcPr>
            <w:tcW w:w="1442" w:type="dxa"/>
            <w:tcBorders/>
            <w:vAlign w:val="center"/>
          </w:tcPr>
          <w:p>
            <w:pPr>
              <w:pStyle w:val="TableContents"/>
              <w:bidi w:val="0"/>
              <w:spacing w:before="100" w:after="100"/>
              <w:jc w:val="left"/>
              <w:rPr/>
            </w:pPr>
            <w:r>
              <w:rPr/>
              <w:t>100.0 %</w:t>
            </w:r>
          </w:p>
        </w:tc>
        <w:tc>
          <w:tcPr>
            <w:tcW w:w="737" w:type="dxa"/>
            <w:tcBorders/>
            <w:vAlign w:val="center"/>
          </w:tcPr>
          <w:p>
            <w:pPr>
              <w:pStyle w:val="TableContents"/>
              <w:bidi w:val="0"/>
              <w:spacing w:before="100" w:after="100"/>
              <w:jc w:val="left"/>
              <w:rPr/>
            </w:pPr>
            <w:r>
              <w:rPr/>
              <w:t>1.80</w:t>
            </w:r>
          </w:p>
        </w:tc>
        <w:tc>
          <w:tcPr>
            <w:tcW w:w="875" w:type="dxa"/>
            <w:tcBorders/>
            <w:vAlign w:val="center"/>
          </w:tcPr>
          <w:p>
            <w:pPr>
              <w:pStyle w:val="TableContents"/>
              <w:bidi w:val="0"/>
              <w:spacing w:before="100" w:after="100"/>
              <w:jc w:val="left"/>
              <w:rPr/>
            </w:pPr>
            <w:r>
              <w:rPr/>
              <w:t>0</w:t>
            </w:r>
          </w:p>
        </w:tc>
      </w:tr>
      <w:tr>
        <w:trPr/>
        <w:tc>
          <w:tcPr>
            <w:tcW w:w="1313" w:type="dxa"/>
            <w:tcBorders/>
            <w:vAlign w:val="center"/>
          </w:tcPr>
          <w:p>
            <w:pPr>
              <w:pStyle w:val="TableContents"/>
              <w:bidi w:val="0"/>
              <w:spacing w:before="100" w:after="100"/>
              <w:jc w:val="left"/>
              <w:rPr/>
            </w:pPr>
            <w:r>
              <w:rPr/>
              <w:t>heavy cloud</w:t>
            </w:r>
          </w:p>
        </w:tc>
        <w:tc>
          <w:tcPr>
            <w:tcW w:w="743" w:type="dxa"/>
            <w:tcBorders/>
            <w:vAlign w:val="center"/>
          </w:tcPr>
          <w:p>
            <w:pPr>
              <w:pStyle w:val="TableContents"/>
              <w:bidi w:val="0"/>
              <w:spacing w:before="100" w:after="100"/>
              <w:jc w:val="left"/>
              <w:rPr/>
            </w:pPr>
            <w:r>
              <w:rPr/>
              <w:t>flat</w:t>
            </w:r>
          </w:p>
        </w:tc>
        <w:tc>
          <w:tcPr>
            <w:tcW w:w="824" w:type="dxa"/>
            <w:tcBorders/>
            <w:vAlign w:val="center"/>
          </w:tcPr>
          <w:p>
            <w:pPr>
              <w:pStyle w:val="TableContents"/>
              <w:bidi w:val="0"/>
              <w:spacing w:before="100" w:after="100"/>
              <w:jc w:val="left"/>
              <w:rPr/>
            </w:pPr>
            <w:r>
              <w:rPr/>
              <w:t>17.972</w:t>
            </w:r>
          </w:p>
        </w:tc>
        <w:tc>
          <w:tcPr>
            <w:tcW w:w="943" w:type="dxa"/>
            <w:tcBorders/>
            <w:vAlign w:val="center"/>
          </w:tcPr>
          <w:p>
            <w:pPr>
              <w:pStyle w:val="TableContents"/>
              <w:bidi w:val="0"/>
              <w:spacing w:before="100" w:after="100"/>
              <w:jc w:val="left"/>
              <w:rPr/>
            </w:pPr>
            <w:r>
              <w:rPr/>
              <w:t>4.103</w:t>
            </w:r>
          </w:p>
        </w:tc>
        <w:tc>
          <w:tcPr>
            <w:tcW w:w="937" w:type="dxa"/>
            <w:tcBorders/>
            <w:vAlign w:val="center"/>
          </w:tcPr>
          <w:p>
            <w:pPr>
              <w:pStyle w:val="TableContents"/>
              <w:bidi w:val="0"/>
              <w:spacing w:before="100" w:after="100"/>
              <w:jc w:val="left"/>
              <w:rPr/>
            </w:pPr>
            <w:r>
              <w:rPr/>
              <w:t>15.639</w:t>
            </w:r>
          </w:p>
        </w:tc>
        <w:tc>
          <w:tcPr>
            <w:tcW w:w="937" w:type="dxa"/>
            <w:tcBorders/>
            <w:vAlign w:val="center"/>
          </w:tcPr>
          <w:p>
            <w:pPr>
              <w:pStyle w:val="TableContents"/>
              <w:bidi w:val="0"/>
              <w:spacing w:before="100" w:after="100"/>
              <w:jc w:val="left"/>
              <w:rPr/>
            </w:pPr>
            <w:r>
              <w:rPr/>
              <w:t>179.951</w:t>
            </w:r>
          </w:p>
        </w:tc>
        <w:tc>
          <w:tcPr>
            <w:tcW w:w="1442" w:type="dxa"/>
            <w:tcBorders/>
            <w:vAlign w:val="center"/>
          </w:tcPr>
          <w:p>
            <w:pPr>
              <w:pStyle w:val="TableContents"/>
              <w:bidi w:val="0"/>
              <w:spacing w:before="100" w:after="100"/>
              <w:jc w:val="left"/>
              <w:rPr/>
            </w:pPr>
            <w:r>
              <w:rPr/>
              <w:t>56.5 %</w:t>
            </w:r>
          </w:p>
        </w:tc>
        <w:tc>
          <w:tcPr>
            <w:tcW w:w="737" w:type="dxa"/>
            <w:tcBorders/>
            <w:vAlign w:val="center"/>
          </w:tcPr>
          <w:p>
            <w:pPr>
              <w:pStyle w:val="TableContents"/>
              <w:bidi w:val="0"/>
              <w:spacing w:before="100" w:after="100"/>
              <w:jc w:val="left"/>
              <w:rPr/>
            </w:pPr>
            <w:r>
              <w:rPr/>
              <w:t>1.75</w:t>
            </w:r>
          </w:p>
        </w:tc>
        <w:tc>
          <w:tcPr>
            <w:tcW w:w="875" w:type="dxa"/>
            <w:tcBorders/>
            <w:vAlign w:val="center"/>
          </w:tcPr>
          <w:p>
            <w:pPr>
              <w:pStyle w:val="TableContents"/>
              <w:bidi w:val="0"/>
              <w:spacing w:before="100" w:after="100"/>
              <w:jc w:val="left"/>
              <w:rPr/>
            </w:pPr>
            <w:r>
              <w:rPr/>
              <w:t>15/200</w:t>
            </w:r>
          </w:p>
        </w:tc>
      </w:tr>
      <w:tr>
        <w:trPr/>
        <w:tc>
          <w:tcPr>
            <w:tcW w:w="1313" w:type="dxa"/>
            <w:tcBorders/>
            <w:vAlign w:val="center"/>
          </w:tcPr>
          <w:p>
            <w:pPr>
              <w:pStyle w:val="TableContents"/>
              <w:bidi w:val="0"/>
              <w:spacing w:before="100" w:after="100"/>
              <w:jc w:val="left"/>
              <w:rPr/>
            </w:pPr>
            <w:r>
              <w:rPr/>
              <w:t>clear</w:t>
            </w:r>
          </w:p>
        </w:tc>
        <w:tc>
          <w:tcPr>
            <w:tcW w:w="743" w:type="dxa"/>
            <w:tcBorders/>
            <w:vAlign w:val="center"/>
          </w:tcPr>
          <w:p>
            <w:pPr>
              <w:pStyle w:val="TableContents"/>
              <w:bidi w:val="0"/>
              <w:spacing w:before="100" w:after="100"/>
              <w:jc w:val="left"/>
              <w:rPr/>
            </w:pPr>
            <w:r>
              <w:rPr/>
              <w:t>radial</w:t>
            </w:r>
          </w:p>
        </w:tc>
        <w:tc>
          <w:tcPr>
            <w:tcW w:w="824" w:type="dxa"/>
            <w:tcBorders/>
            <w:vAlign w:val="center"/>
          </w:tcPr>
          <w:p>
            <w:pPr>
              <w:pStyle w:val="TableContents"/>
              <w:bidi w:val="0"/>
              <w:spacing w:before="100" w:after="100"/>
              <w:jc w:val="left"/>
              <w:rPr/>
            </w:pPr>
            <w:r>
              <w:rPr/>
              <w:t>0.079</w:t>
            </w:r>
          </w:p>
        </w:tc>
        <w:tc>
          <w:tcPr>
            <w:tcW w:w="943" w:type="dxa"/>
            <w:tcBorders/>
            <w:vAlign w:val="center"/>
          </w:tcPr>
          <w:p>
            <w:pPr>
              <w:pStyle w:val="TableContents"/>
              <w:bidi w:val="0"/>
              <w:spacing w:before="100" w:after="100"/>
              <w:jc w:val="left"/>
              <w:rPr/>
            </w:pPr>
            <w:r>
              <w:rPr/>
              <w:t>0.075</w:t>
            </w:r>
          </w:p>
        </w:tc>
        <w:tc>
          <w:tcPr>
            <w:tcW w:w="937" w:type="dxa"/>
            <w:tcBorders/>
            <w:vAlign w:val="center"/>
          </w:tcPr>
          <w:p>
            <w:pPr>
              <w:pStyle w:val="TableContents"/>
              <w:bidi w:val="0"/>
              <w:spacing w:before="100" w:after="100"/>
              <w:jc w:val="left"/>
              <w:rPr/>
            </w:pPr>
            <w:r>
              <w:rPr/>
              <w:t>0.142</w:t>
            </w:r>
          </w:p>
        </w:tc>
        <w:tc>
          <w:tcPr>
            <w:tcW w:w="937" w:type="dxa"/>
            <w:tcBorders/>
            <w:vAlign w:val="center"/>
          </w:tcPr>
          <w:p>
            <w:pPr>
              <w:pStyle w:val="TableContents"/>
              <w:bidi w:val="0"/>
              <w:spacing w:before="100" w:after="100"/>
              <w:jc w:val="left"/>
              <w:rPr/>
            </w:pPr>
            <w:r>
              <w:rPr/>
              <w:t>0.269</w:t>
            </w:r>
          </w:p>
        </w:tc>
        <w:tc>
          <w:tcPr>
            <w:tcW w:w="1442" w:type="dxa"/>
            <w:tcBorders/>
            <w:vAlign w:val="center"/>
          </w:tcPr>
          <w:p>
            <w:pPr>
              <w:pStyle w:val="TableContents"/>
              <w:bidi w:val="0"/>
              <w:spacing w:before="100" w:after="100"/>
              <w:jc w:val="left"/>
              <w:rPr/>
            </w:pPr>
            <w:r>
              <w:rPr/>
              <w:t>100.0 %</w:t>
            </w:r>
          </w:p>
        </w:tc>
        <w:tc>
          <w:tcPr>
            <w:tcW w:w="737" w:type="dxa"/>
            <w:tcBorders/>
            <w:vAlign w:val="center"/>
          </w:tcPr>
          <w:p>
            <w:pPr>
              <w:pStyle w:val="TableContents"/>
              <w:bidi w:val="0"/>
              <w:spacing w:before="100" w:after="100"/>
              <w:jc w:val="left"/>
              <w:rPr/>
            </w:pPr>
            <w:r>
              <w:rPr/>
              <w:t>1.78</w:t>
            </w:r>
          </w:p>
        </w:tc>
        <w:tc>
          <w:tcPr>
            <w:tcW w:w="875" w:type="dxa"/>
            <w:tcBorders/>
            <w:vAlign w:val="center"/>
          </w:tcPr>
          <w:p>
            <w:pPr>
              <w:pStyle w:val="TableContents"/>
              <w:bidi w:val="0"/>
              <w:spacing w:before="100" w:after="100"/>
              <w:jc w:val="left"/>
              <w:rPr/>
            </w:pPr>
            <w:r>
              <w:rPr/>
              <w:t>0</w:t>
            </w:r>
          </w:p>
        </w:tc>
      </w:tr>
      <w:tr>
        <w:trPr/>
        <w:tc>
          <w:tcPr>
            <w:tcW w:w="1313" w:type="dxa"/>
            <w:tcBorders/>
            <w:vAlign w:val="center"/>
          </w:tcPr>
          <w:p>
            <w:pPr>
              <w:pStyle w:val="TableContents"/>
              <w:bidi w:val="0"/>
              <w:spacing w:before="100" w:after="100"/>
              <w:jc w:val="left"/>
              <w:rPr/>
            </w:pPr>
            <w:r>
              <w:rPr/>
              <w:t>thin cloud</w:t>
            </w:r>
          </w:p>
        </w:tc>
        <w:tc>
          <w:tcPr>
            <w:tcW w:w="743" w:type="dxa"/>
            <w:tcBorders/>
            <w:vAlign w:val="center"/>
          </w:tcPr>
          <w:p>
            <w:pPr>
              <w:pStyle w:val="TableContents"/>
              <w:bidi w:val="0"/>
              <w:spacing w:before="100" w:after="100"/>
              <w:jc w:val="left"/>
              <w:rPr/>
            </w:pPr>
            <w:r>
              <w:rPr/>
              <w:t>radial</w:t>
            </w:r>
          </w:p>
        </w:tc>
        <w:tc>
          <w:tcPr>
            <w:tcW w:w="824" w:type="dxa"/>
            <w:tcBorders/>
            <w:vAlign w:val="center"/>
          </w:tcPr>
          <w:p>
            <w:pPr>
              <w:pStyle w:val="TableContents"/>
              <w:bidi w:val="0"/>
              <w:spacing w:before="100" w:after="100"/>
              <w:jc w:val="left"/>
              <w:rPr/>
            </w:pPr>
            <w:r>
              <w:rPr/>
              <w:t>5.687</w:t>
            </w:r>
          </w:p>
        </w:tc>
        <w:tc>
          <w:tcPr>
            <w:tcW w:w="943" w:type="dxa"/>
            <w:tcBorders/>
            <w:vAlign w:val="center"/>
          </w:tcPr>
          <w:p>
            <w:pPr>
              <w:pStyle w:val="TableContents"/>
              <w:bidi w:val="0"/>
              <w:spacing w:before="100" w:after="100"/>
              <w:jc w:val="left"/>
              <w:rPr/>
            </w:pPr>
            <w:r>
              <w:rPr/>
              <w:t>2.120</w:t>
            </w:r>
          </w:p>
        </w:tc>
        <w:tc>
          <w:tcPr>
            <w:tcW w:w="937" w:type="dxa"/>
            <w:tcBorders/>
            <w:vAlign w:val="center"/>
          </w:tcPr>
          <w:p>
            <w:pPr>
              <w:pStyle w:val="TableContents"/>
              <w:bidi w:val="0"/>
              <w:spacing w:before="100" w:after="100"/>
              <w:jc w:val="left"/>
              <w:rPr/>
            </w:pPr>
            <w:r>
              <w:rPr/>
              <w:t>8.432</w:t>
            </w:r>
          </w:p>
        </w:tc>
        <w:tc>
          <w:tcPr>
            <w:tcW w:w="937" w:type="dxa"/>
            <w:tcBorders/>
            <w:vAlign w:val="center"/>
          </w:tcPr>
          <w:p>
            <w:pPr>
              <w:pStyle w:val="TableContents"/>
              <w:bidi w:val="0"/>
              <w:spacing w:before="100" w:after="100"/>
              <w:jc w:val="left"/>
              <w:rPr/>
            </w:pPr>
            <w:r>
              <w:rPr/>
              <w:t>179.911</w:t>
            </w:r>
          </w:p>
        </w:tc>
        <w:tc>
          <w:tcPr>
            <w:tcW w:w="1442" w:type="dxa"/>
            <w:tcBorders/>
            <w:vAlign w:val="center"/>
          </w:tcPr>
          <w:p>
            <w:pPr>
              <w:pStyle w:val="TableContents"/>
              <w:bidi w:val="0"/>
              <w:spacing w:before="100" w:after="100"/>
              <w:jc w:val="left"/>
              <w:rPr/>
            </w:pPr>
            <w:r>
              <w:rPr/>
              <w:t>75.0 %</w:t>
            </w:r>
          </w:p>
        </w:tc>
        <w:tc>
          <w:tcPr>
            <w:tcW w:w="737" w:type="dxa"/>
            <w:tcBorders/>
            <w:vAlign w:val="center"/>
          </w:tcPr>
          <w:p>
            <w:pPr>
              <w:pStyle w:val="TableContents"/>
              <w:bidi w:val="0"/>
              <w:spacing w:before="100" w:after="100"/>
              <w:jc w:val="left"/>
              <w:rPr/>
            </w:pPr>
            <w:r>
              <w:rPr/>
              <w:t>1.74</w:t>
            </w:r>
          </w:p>
        </w:tc>
        <w:tc>
          <w:tcPr>
            <w:tcW w:w="875" w:type="dxa"/>
            <w:tcBorders/>
            <w:vAlign w:val="center"/>
          </w:tcPr>
          <w:p>
            <w:pPr>
              <w:pStyle w:val="TableContents"/>
              <w:bidi w:val="0"/>
              <w:spacing w:before="100" w:after="100"/>
              <w:jc w:val="left"/>
              <w:rPr/>
            </w:pPr>
            <w:r>
              <w:rPr/>
              <w:t>3/200</w:t>
            </w:r>
          </w:p>
        </w:tc>
      </w:tr>
      <w:tr>
        <w:trPr/>
        <w:tc>
          <w:tcPr>
            <w:tcW w:w="1313" w:type="dxa"/>
            <w:tcBorders/>
            <w:vAlign w:val="center"/>
          </w:tcPr>
          <w:p>
            <w:pPr>
              <w:pStyle w:val="TableContents"/>
              <w:bidi w:val="0"/>
              <w:spacing w:before="100" w:after="100"/>
              <w:jc w:val="left"/>
              <w:rPr/>
            </w:pPr>
            <w:r>
              <w:rPr/>
              <w:t>heavy cloud</w:t>
            </w:r>
          </w:p>
        </w:tc>
        <w:tc>
          <w:tcPr>
            <w:tcW w:w="743" w:type="dxa"/>
            <w:tcBorders/>
            <w:vAlign w:val="center"/>
          </w:tcPr>
          <w:p>
            <w:pPr>
              <w:pStyle w:val="TableContents"/>
              <w:bidi w:val="0"/>
              <w:spacing w:before="100" w:after="100"/>
              <w:jc w:val="left"/>
              <w:rPr/>
            </w:pPr>
            <w:r>
              <w:rPr/>
              <w:t>radial</w:t>
            </w:r>
          </w:p>
        </w:tc>
        <w:tc>
          <w:tcPr>
            <w:tcW w:w="824" w:type="dxa"/>
            <w:tcBorders/>
            <w:vAlign w:val="center"/>
          </w:tcPr>
          <w:p>
            <w:pPr>
              <w:pStyle w:val="TableContents"/>
              <w:bidi w:val="0"/>
              <w:spacing w:before="100" w:after="100"/>
              <w:jc w:val="left"/>
              <w:rPr/>
            </w:pPr>
            <w:r>
              <w:rPr/>
              <w:t>65.634</w:t>
            </w:r>
          </w:p>
        </w:tc>
        <w:tc>
          <w:tcPr>
            <w:tcW w:w="943" w:type="dxa"/>
            <w:tcBorders/>
            <w:vAlign w:val="center"/>
          </w:tcPr>
          <w:p>
            <w:pPr>
              <w:pStyle w:val="TableContents"/>
              <w:bidi w:val="0"/>
              <w:spacing w:before="100" w:after="100"/>
              <w:jc w:val="left"/>
              <w:rPr/>
            </w:pPr>
            <w:r>
              <w:rPr/>
              <w:t>20.783</w:t>
            </w:r>
          </w:p>
        </w:tc>
        <w:tc>
          <w:tcPr>
            <w:tcW w:w="937" w:type="dxa"/>
            <w:tcBorders/>
            <w:vAlign w:val="center"/>
          </w:tcPr>
          <w:p>
            <w:pPr>
              <w:pStyle w:val="TableContents"/>
              <w:bidi w:val="0"/>
              <w:spacing w:before="100" w:after="100"/>
              <w:jc w:val="left"/>
              <w:rPr/>
            </w:pPr>
            <w:r>
              <w:rPr/>
              <w:t>177.324</w:t>
            </w:r>
          </w:p>
        </w:tc>
        <w:tc>
          <w:tcPr>
            <w:tcW w:w="937" w:type="dxa"/>
            <w:tcBorders/>
            <w:vAlign w:val="center"/>
          </w:tcPr>
          <w:p>
            <w:pPr>
              <w:pStyle w:val="TableContents"/>
              <w:bidi w:val="0"/>
              <w:spacing w:before="100" w:after="100"/>
              <w:jc w:val="left"/>
              <w:rPr/>
            </w:pPr>
            <w:r>
              <w:rPr/>
              <w:t>179.839</w:t>
            </w:r>
          </w:p>
        </w:tc>
        <w:tc>
          <w:tcPr>
            <w:tcW w:w="1442" w:type="dxa"/>
            <w:tcBorders/>
            <w:vAlign w:val="center"/>
          </w:tcPr>
          <w:p>
            <w:pPr>
              <w:pStyle w:val="TableContents"/>
              <w:bidi w:val="0"/>
              <w:spacing w:before="100" w:after="100"/>
              <w:jc w:val="left"/>
              <w:rPr/>
            </w:pPr>
            <w:r>
              <w:rPr/>
              <w:t>18.5 %</w:t>
            </w:r>
          </w:p>
        </w:tc>
        <w:tc>
          <w:tcPr>
            <w:tcW w:w="737" w:type="dxa"/>
            <w:tcBorders/>
            <w:vAlign w:val="center"/>
          </w:tcPr>
          <w:p>
            <w:pPr>
              <w:pStyle w:val="TableContents"/>
              <w:bidi w:val="0"/>
              <w:spacing w:before="100" w:after="100"/>
              <w:jc w:val="left"/>
              <w:rPr/>
            </w:pPr>
            <w:r>
              <w:rPr/>
              <w:t>1.53</w:t>
            </w:r>
          </w:p>
        </w:tc>
        <w:tc>
          <w:tcPr>
            <w:tcW w:w="875" w:type="dxa"/>
            <w:tcBorders/>
            <w:vAlign w:val="center"/>
          </w:tcPr>
          <w:p>
            <w:pPr>
              <w:pStyle w:val="TableContents"/>
              <w:bidi w:val="0"/>
              <w:spacing w:before="100" w:after="100"/>
              <w:jc w:val="left"/>
              <w:rPr/>
            </w:pPr>
            <w:r>
              <w:rPr/>
              <w:t>75/200</w:t>
            </w:r>
          </w:p>
        </w:tc>
      </w:tr>
    </w:tbl>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Report the median as the primary statistic.</w:t>
      </w:r>
      <w:r>
        <w:rPr>
          <w:sz w:val="20"/>
          <w:bdr w:val="single" w:sz="24" w:space="9" w:color="D99100"/>
          <w:shd w:fill="FFF8E6" w:val="clear"/>
        </w:rPr>
        <w:t xml:space="preserve"> At n = 60 the radial thin cloud mean was 11.59 degrees; at n = 200 it is 5.69, while the median held at 2.12 in both. The mean is hostage to a handful of near-180 degree failures and is not stable at small n. This also explains the rows where the 90th percentile is smaller than the mean.</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§6.3, before Table 6.1.</w:t>
      </w:r>
      <w:r>
        <w:rPr>
          <w:sz w:val="20"/>
          <w:bdr w:val="single" w:sz="24" w:space="9" w:color="1A7F45"/>
          <w:shd w:fill="EAF7EF" w:val="clear"/>
        </w:rPr>
        <w:br/>
      </w:r>
      <w:r>
        <w:rPr>
          <w:b/>
          <w:sz w:val="20"/>
          <w:bdr w:val="single" w:sz="24" w:space="9" w:color="1A7F45"/>
          <w:shd w:fill="EAF7EF" w:val="clear"/>
        </w:rPr>
        <w:t>Caption:</w:t>
      </w:r>
      <w:r>
        <w:rPr>
          <w:sz w:val="20"/>
          <w:bdr w:val="single" w:sz="24" w:space="9" w:color="1A7F45"/>
          <w:shd w:fill="EAF7EF" w:val="clear"/>
        </w:rPr>
        <w:t xml:space="preserve"> Absolute azimuth error over 200 sun positions drawn from the real Turku daylight record, for the two optical arrangements under three sky conditions. Bars show the median and the mean on a logarithmic scale. The mean exceeds the median wherever near-180 degree failures occur, and the count of such failures is given above each affected condition.</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9337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link="rId8"/>
                    <a:stretch>
                      <a:fillRect/>
                    </a:stretch>
                  </pic:blipFill>
                  <pic:spPr bwMode="auto">
                    <a:xfrm>
                      <a:off x="0" y="0"/>
                      <a:ext cx="6096000" cy="293370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NEW_fig_6_3a_error_by_condition.png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§6.3, after Table 6.1.</w:t>
      </w:r>
      <w:r>
        <w:rPr>
          <w:sz w:val="20"/>
          <w:bdr w:val="single" w:sz="24" w:space="9" w:color="1A7F45"/>
          <w:shd w:fill="EAF7EF" w:val="clear"/>
        </w:rPr>
        <w:br/>
      </w:r>
      <w:r>
        <w:rPr>
          <w:b/>
          <w:sz w:val="20"/>
          <w:bdr w:val="single" w:sz="24" w:space="9" w:color="1A7F45"/>
          <w:shd w:fill="EAF7EF" w:val="clear"/>
        </w:rPr>
        <w:t>Caption:</w:t>
      </w:r>
      <w:r>
        <w:rPr>
          <w:sz w:val="20"/>
          <w:bdr w:val="single" w:sz="24" w:space="9" w:color="1A7F45"/>
          <w:shd w:fill="EAF7EF" w:val="clear"/>
        </w:rPr>
        <w:t xml:space="preserve"> Distribution of the absolute azimuth error in each condition. The vertical scale is logarithmic. Under a clear sky the error is tightly concentrated below a tenth of a degree, while under cloud the distribution becomes bimodal, with most frames accurate and a minority failing by close to 180 degrees, which is the solar and antisolar ambiguity discussed in Section 7.1.</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31146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link="rId9"/>
                    <a:stretch>
                      <a:fillRect/>
                    </a:stretch>
                  </pic:blipFill>
                  <pic:spPr bwMode="auto">
                    <a:xfrm>
                      <a:off x="0" y="0"/>
                      <a:ext cx="6096000" cy="3114675"/>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NEW_fig_6_3b_error_distributions.png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Optional, §6.3.</w:t>
      </w:r>
      <w:r>
        <w:rPr>
          <w:sz w:val="20"/>
          <w:bdr w:val="single" w:sz="24" w:space="9" w:color="1A7F45"/>
          <w:shd w:fill="EAF7EF" w:val="clear"/>
        </w:rPr>
        <w:t xml:space="preserve"> Include if you have room; it ties the accuracy to the high-latitude geometry.</w:t>
        <w:br/>
      </w:r>
      <w:r>
        <w:rPr>
          <w:b/>
          <w:sz w:val="20"/>
          <w:bdr w:val="single" w:sz="24" w:space="9" w:color="1A7F45"/>
          <w:shd w:fill="EAF7EF" w:val="clear"/>
        </w:rPr>
        <w:t>Caption:</w:t>
      </w:r>
      <w:r>
        <w:rPr>
          <w:sz w:val="20"/>
          <w:bdr w:val="single" w:sz="24" w:space="9" w:color="1A7F45"/>
          <w:shd w:fill="EAF7EF" w:val="clear"/>
        </w:rPr>
        <w:t xml:space="preserve"> Absolute azimuth error against sun elevation. At Turku the elevation never exceeds 53 degrees, so the estimator is never tested against a sun near the zenith. Failures under cloud are spread across the elevation range rather than concentrated at low sun.</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3336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link="rId10"/>
                    <a:stretch>
                      <a:fillRect/>
                    </a:stretch>
                  </pic:blipFill>
                  <pic:spPr bwMode="auto">
                    <a:xfrm>
                      <a:off x="0" y="0"/>
                      <a:ext cx="6096000" cy="2333625"/>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NEW_fig_6_3c_error_vs_elevation.png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The radial dome result must be discussed, not buried.</w:t>
      </w:r>
      <w:r>
        <w:rPr>
          <w:sz w:val="20"/>
          <w:bdr w:val="single" w:sz="24" w:space="9" w:color="D99100"/>
          <w:shd w:fill="FFF8E6" w:val="clear"/>
        </w:rPr>
        <w:t xml:space="preserve"> Under a clear sky the two optics are indistinguishable. Under cloud the radial dome is consistently worse, with 75 gross failures against 15 for the flat filter under heavy cloud. The cause is measurable: the radial pattern's contrast is 0.79 against the flat filter's 1.18, so it drowns in clutter sooner. This qualifies the design argument rather than destroying it, and reporting it plainly is far stronger than leaving it out.</w:t>
      </w:r>
    </w:p>
    <w:p>
      <w:pPr>
        <w:pStyle w:val="Heading3"/>
        <w:bidi w:val="0"/>
        <w:jc w:val="left"/>
        <w:rPr/>
      </w:pPr>
      <w:r>
        <w:rPr/>
        <w:t>Chapter 6.4, a new section</w:t>
      </w:r>
    </w:p>
    <w:p>
      <w:pPr>
        <w:pStyle w:val="BodyText"/>
        <w:bidi w:val="0"/>
        <w:spacing w:before="160" w:after="160"/>
        <w:ind w:hanging="0" w:left="160" w:right="160"/>
        <w:jc w:val="left"/>
        <w:rPr/>
      </w:pPr>
      <w:r>
        <w:rPr>
          <w:b/>
          <w:sz w:val="20"/>
          <w:bdr w:val="single" w:sz="24" w:space="9" w:color="B3261E"/>
          <w:shd w:fill="FDECEB" w:val="clear"/>
        </w:rPr>
        <w:t>Chapter 7 refers to "the captured image validation of Section 6.4", but no Section 6.4 exists.</w:t>
      </w:r>
      <w:r>
        <w:rPr>
          <w:sz w:val="20"/>
          <w:bdr w:val="single" w:sz="24" w:space="9" w:color="B3261E"/>
          <w:shd w:fill="FDECEB" w:val="clear"/>
        </w:rPr>
        <w:t xml:space="preserve"> A full draft is in </w:t>
      </w:r>
      <w:r>
        <w:rPr>
          <w:rStyle w:val="SourceText"/>
          <w:sz w:val="20"/>
          <w:bdr w:val="single" w:sz="24" w:space="9" w:color="B3261E"/>
          <w:shd w:fill="FDECEB" w:val="clear"/>
        </w:rPr>
        <w:t>SECTION_6_4_DRAFT.md</w:t>
      </w:r>
      <w:r>
        <w:rPr>
          <w:sz w:val="20"/>
          <w:bdr w:val="single" w:sz="24" w:space="9" w:color="B3261E"/>
          <w:shd w:fill="FDECEB" w:val="clear"/>
        </w:rPr>
        <w:t xml:space="preserve">, about three pages, written in the thesis style. Measuring all 32 stored frames established that </w:t>
      </w:r>
      <w:r>
        <w:rPr>
          <w:b/>
          <w:sz w:val="20"/>
          <w:bdr w:val="single" w:sz="24" w:space="9" w:color="B3261E"/>
          <w:shd w:fill="FDECEB" w:val="clear"/>
        </w:rPr>
        <w:t>none of them is a sky-compass measurement</w:t>
      </w:r>
      <w:r>
        <w:rPr>
          <w:sz w:val="20"/>
          <w:bdr w:val="single" w:sz="24" w:space="9" w:color="B3261E"/>
          <w:shd w:fill="FDECEB" w:val="clear"/>
        </w:rPr>
        <w:t>: the polarising optic is not fitted in any session, the optical axis is not vertical, and the camera was hand held. The section therefore reports what the captures do establish, which is the acquisition chain and the radiometric conditions a real measurement will need.</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§6.4.</w:t>
      </w:r>
      <w:r>
        <w:rPr>
          <w:sz w:val="20"/>
          <w:bdr w:val="single" w:sz="24" w:space="9" w:color="1A7F45"/>
          <w:shd w:fill="EAF7EF" w:val="clear"/>
        </w:rPr>
        <w:br/>
      </w:r>
      <w:r>
        <w:rPr>
          <w:b/>
          <w:sz w:val="20"/>
          <w:bdr w:val="single" w:sz="24" w:space="9" w:color="1A7F45"/>
          <w:shd w:fill="EAF7EF" w:val="clear"/>
        </w:rPr>
        <w:t>Caption:</w:t>
      </w:r>
      <w:r>
        <w:rPr>
          <w:sz w:val="20"/>
          <w:bdr w:val="single" w:sz="24" w:space="9" w:color="1A7F45"/>
          <w:shd w:fill="EAF7EF" w:val="clear"/>
        </w:rPr>
        <w:t xml:space="preserve"> Radiometric limit on the stored captures. Each point is one of the 31 outdoor frames. The fitted disc radius depends strongly on exposure, falling to 378 pixels when underexposure truncates the dim outer annulus and rising to 967 pixels when bloom around a saturated sky inflates it. A usable frame must show the whole hemisphere and leave the sky below saturation, and no captured frame satisfies both conditions.</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3431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link="rId11"/>
                    <a:stretch>
                      <a:fillRect/>
                    </a:stretch>
                  </pic:blipFill>
                  <pic:spPr bwMode="auto">
                    <a:xfrm>
                      <a:off x="0" y="0"/>
                      <a:ext cx="6096000" cy="234315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NEW_fig_6_4a_exposure_disc_tradeoff.png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§6.4.</w:t>
      </w:r>
      <w:r>
        <w:rPr>
          <w:sz w:val="20"/>
          <w:bdr w:val="single" w:sz="24" w:space="9" w:color="1A7F45"/>
          <w:shd w:fill="EAF7EF" w:val="clear"/>
        </w:rPr>
        <w:br/>
      </w:r>
      <w:r>
        <w:rPr>
          <w:b/>
          <w:sz w:val="20"/>
          <w:bdr w:val="single" w:sz="24" w:space="9" w:color="1A7F45"/>
          <w:shd w:fill="EAF7EF" w:val="clear"/>
        </w:rPr>
        <w:t>Caption:</w:t>
      </w:r>
      <w:r>
        <w:rPr>
          <w:sz w:val="20"/>
          <w:bdr w:val="single" w:sz="24" w:space="9" w:color="1A7F45"/>
          <w:shd w:fill="EAF7EF" w:val="clear"/>
        </w:rPr>
        <w:t xml:space="preserve"> Three captured frames with the fitted disc overlaid in cyan, showing the underexposed, correctly exposed and clipped regimes. The polarising optic is not fitted and the optical axis is not vertical, so the ground, a building and the operator occupy much of the field and the usable sky is confined to a wedge.</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4288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link="rId12"/>
                    <a:stretch>
                      <a:fillRect/>
                    </a:stretch>
                  </pic:blipFill>
                  <pic:spPr bwMode="auto">
                    <a:xfrm>
                      <a:off x="0" y="0"/>
                      <a:ext cx="6096000" cy="2428875"/>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NEW_fig_6_4b_captured_frames.png</w:t>
      </w:r>
      <w:r>
        <w:rPr>
          <w:color w:val="444444"/>
          <w:sz w:val="18"/>
          <w:bdr w:val="single" w:sz="2" w:space="8" w:color="D5DEEC"/>
          <w:shd w:fill="FBFCFE" w:val="clear"/>
        </w:rPr>
        <w:t> </w:t>
      </w:r>
    </w:p>
    <w:p>
      <w:pPr>
        <w:pStyle w:val="BodyText"/>
        <w:bidi w:val="0"/>
        <w:spacing w:before="160" w:after="160"/>
        <w:ind w:hanging="0" w:left="160" w:right="160"/>
        <w:jc w:val="left"/>
        <w:rPr/>
      </w:pPr>
      <w:r>
        <w:rPr>
          <w:b/>
          <w:sz w:val="20"/>
          <w:bdr w:val="single" w:sz="24" w:space="9" w:color="D99100"/>
          <w:shd w:fill="FFF8E6" w:val="clear"/>
        </w:rPr>
        <w:t>Confirm two things before submitting.</w:t>
      </w:r>
      <w:r>
        <w:rPr>
          <w:sz w:val="20"/>
          <w:bdr w:val="single" w:sz="24" w:space="9" w:color="D99100"/>
          <w:shd w:fill="FFF8E6" w:val="clear"/>
        </w:rPr>
        <w:t xml:space="preserve"> First, that the polarising optic really was absent from every session; this is read off the images, since no session recorded it. Second, whether </w:t>
      </w:r>
      <w:r>
        <w:rPr>
          <w:rStyle w:val="SourceText"/>
          <w:sz w:val="20"/>
          <w:bdr w:val="single" w:sz="24" w:space="9" w:color="D99100"/>
          <w:shd w:fill="FFF8E6" w:val="clear"/>
        </w:rPr>
        <w:t>image_up_heading_deg_from_north: 0.0</w:t>
      </w:r>
      <w:r>
        <w:rPr>
          <w:sz w:val="20"/>
          <w:bdr w:val="single" w:sz="24" w:space="9" w:color="D99100"/>
          <w:shd w:fill="FFF8E6" w:val="clear"/>
        </w:rPr>
        <w:t xml:space="preserve"> in the 30 July session is a compass reading or the script default. The draft treats it as a default. </w:t>
        <w:br/>
        <w:br/>
      </w:r>
      <w:r>
        <w:rPr>
          <w:b/>
          <w:sz w:val="20"/>
          <w:bdr w:val="single" w:sz="24" w:space="9" w:color="D99100"/>
          <w:shd w:fill="FFF8E6" w:val="clear"/>
        </w:rPr>
        <w:t>Consequential edit:</w:t>
      </w:r>
      <w:r>
        <w:rPr>
          <w:sz w:val="20"/>
          <w:bdr w:val="single" w:sz="24" w:space="9" w:color="D99100"/>
          <w:shd w:fill="FFF8E6" w:val="clear"/>
        </w:rPr>
        <w:t xml:space="preserve"> line 2353 of Chapter 7 says "only the captured image validation of Section 6.4 tests the latter". Reword, since 6.4 no longer validates against the sky.</w:t>
      </w:r>
    </w:p>
    <w:p>
      <w:pPr>
        <w:pStyle w:val="Heading3"/>
        <w:bidi w:val="0"/>
        <w:jc w:val="left"/>
        <w:rPr/>
      </w:pPr>
      <w:r>
        <w:rPr/>
        <w:t>Chapter 7, Discussion</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§7.1</w:t>
      </w:r>
      <w:r>
        <w:rPr>
          <w:sz w:val="20"/>
          <w:bdr w:val="single" w:sz="24" w:space="9" w:color="1A7F45"/>
          <w:shd w:fill="EAF7EF" w:val="clear"/>
        </w:rPr>
        <w:t>, with the confidence-metric limitation.</w:t>
        <w:br/>
      </w:r>
      <w:r>
        <w:rPr>
          <w:b/>
          <w:sz w:val="20"/>
          <w:bdr w:val="single" w:sz="24" w:space="9" w:color="1A7F45"/>
          <w:shd w:fill="EAF7EF" w:val="clear"/>
        </w:rPr>
        <w:t>Caption:</w:t>
      </w:r>
      <w:r>
        <w:rPr>
          <w:sz w:val="20"/>
          <w:bdr w:val="single" w:sz="24" w:space="9" w:color="1A7F45"/>
          <w:shd w:fill="EAF7EF" w:val="clear"/>
        </w:rPr>
        <w:t xml:space="preserve"> The confidence metric fails to separate reliable estimates from failed ones. Across conditions whose mean error spans nearly three orders of magnitude the mean confidence varies by about fifteen per cent, and the distributions of confidence for accurate and for failed frames overlap across most of the range. Since the purpose of the value was to weight a heading within a fusion filter and to reject solar and antisolar failures, neither is possible until the metric is redefined.</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4288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link="rId13"/>
                    <a:stretch>
                      <a:fillRect/>
                    </a:stretch>
                  </pic:blipFill>
                  <pic:spPr bwMode="auto">
                    <a:xfrm>
                      <a:off x="0" y="0"/>
                      <a:ext cx="6096000" cy="2428875"/>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NEW_fig_7_1_confidence_vs_error.png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Numbers for the §7.1 text.</w:t>
      </w:r>
      <w:r>
        <w:rPr>
          <w:sz w:val="20"/>
          <w:bdr w:val="single" w:sz="24" w:space="9" w:color="D99100"/>
          <w:shd w:fill="FFF8E6" w:val="clear"/>
        </w:rPr>
        <w:t xml:space="preserve"> Mean confidence by condition: 1.80, 1.80, 1.75, 1.78, 1.74, 1.53, against mean errors from 0.078 to 65.6 degrees. Per frame, estimates within 5 degrees have confidence 1.773 plus or minus 0.179 and those beyond 5 degrees have 1.620 plus or minus 0.227, so the two populations overlap across 61 per cent of the range. </w:t>
      </w:r>
      <w:r>
        <w:rPr>
          <w:b/>
          <w:sz w:val="20"/>
          <w:bdr w:val="single" w:sz="24" w:space="9" w:color="D99100"/>
          <w:shd w:fill="FFF8E6" w:val="clear"/>
        </w:rPr>
        <w:t>Route forward to offer:</w:t>
      </w:r>
      <w:r>
        <w:rPr>
          <w:sz w:val="20"/>
          <w:bdr w:val="single" w:sz="24" w:space="9" w:color="D99100"/>
          <w:shd w:fill="FFF8E6" w:val="clear"/>
        </w:rPr>
        <w:t xml:space="preserve"> the ratio of the primary peak to the second highest local maximum would measure the solar and antisolar ambiguity directly, which is the failure that actually occurs, whereas peak height above the mean does not.</w:t>
      </w:r>
    </w:p>
    <w:p>
      <w:pPr>
        <w:pStyle w:val="BodyText"/>
        <w:bidi w:val="0"/>
        <w:spacing w:before="160" w:after="160"/>
        <w:ind w:hanging="0" w:left="160" w:right="160"/>
        <w:jc w:val="left"/>
        <w:rPr>
          <w:sz w:val="20"/>
          <w:bdr w:val="single" w:sz="24" w:space="9" w:color="1A7F45"/>
          <w:shd w:fill="EAF7EF" w:val="clear"/>
        </w:rPr>
      </w:pPr>
      <w:r>
        <w:rPr>
          <w:b/>
          <w:sz w:val="20"/>
          <w:bdr w:val="single" w:sz="24" w:space="9" w:color="1A7F45"/>
          <w:shd w:fill="EAF7EF" w:val="clear"/>
        </w:rPr>
        <w:t>Insert in §7.2</w:t>
      </w:r>
      <w:r>
        <w:rPr>
          <w:sz w:val="20"/>
          <w:bdr w:val="single" w:sz="24" w:space="9" w:color="1A7F45"/>
          <w:shd w:fill="EAF7EF" w:val="clear"/>
        </w:rPr>
        <w:t>, with the October discussion.</w:t>
        <w:br/>
      </w:r>
      <w:r>
        <w:rPr>
          <w:b/>
          <w:sz w:val="20"/>
          <w:bdr w:val="single" w:sz="24" w:space="9" w:color="1A7F45"/>
          <w:shd w:fill="EAF7EF" w:val="clear"/>
        </w:rPr>
        <w:t>Caption:</w:t>
      </w:r>
      <w:r>
        <w:rPr>
          <w:sz w:val="20"/>
          <w:bdr w:val="single" w:sz="24" w:space="9" w:color="1A7F45"/>
          <w:shd w:fill="EAF7EF" w:val="clear"/>
        </w:rPr>
        <w:t xml:space="preserve"> Seasonal change in the sun geometry at Turku. In October the sun rises later and further south, reaches a noon elevation near 20 degrees rather than 53, and sweeps a much narrower range of azimuths, which moves the polarisation pattern toward the horizon where the analysis mask discards it. Repeating the experiments then would test the method against a second and quite different sun geometry at the same site.</w:t>
      </w:r>
    </w:p>
    <w:p>
      <w:pPr>
        <w:pStyle w:val="BodyText"/>
        <w:keepLines/>
        <w:bidi w:val="0"/>
        <w:spacing w:before="200" w:after="280"/>
        <w:ind w:hanging="0" w:left="200" w:right="200"/>
        <w:jc w:val="left"/>
        <w:rPr>
          <w:bdr w:val="single" w:sz="2" w:space="8" w:color="D5DEEC"/>
          <w:shd w:fill="FBFCFE" w:val="clear"/>
        </w:rPr>
      </w:pPr>
      <w:r>
        <w:rPr>
          <w:bdr w:val="single" w:sz="2" w:space="8" w:color="D5DEEC"/>
          <w:shd w:fill="FBFCFE" w:val="clear"/>
        </w:rPr>
        <w:drawing>
          <wp:inline distT="0" distB="0" distL="0" distR="0">
            <wp:extent cx="6096000" cy="26098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link="rId14"/>
                    <a:stretch>
                      <a:fillRect/>
                    </a:stretch>
                  </pic:blipFill>
                  <pic:spPr bwMode="auto">
                    <a:xfrm>
                      <a:off x="0" y="0"/>
                      <a:ext cx="6096000" cy="2609850"/>
                    </a:xfrm>
                    <a:prstGeom prst="rect">
                      <a:avLst/>
                    </a:prstGeom>
                    <a:noFill/>
                  </pic:spPr>
                </pic:pic>
              </a:graphicData>
            </a:graphic>
          </wp:inline>
        </w:drawing>
      </w:r>
      <w:r>
        <w:rPr>
          <w:bdr w:val="single" w:sz="2" w:space="8" w:color="D5DEEC"/>
          <w:shd w:fill="FBFCFE" w:val="clear"/>
        </w:rPr>
        <w:t xml:space="preserve"> </w:t>
      </w:r>
    </w:p>
    <w:p>
      <w:pPr>
        <w:pStyle w:val="BodyText"/>
        <w:keepLines/>
        <w:bidi w:val="0"/>
        <w:spacing w:before="100" w:after="100"/>
        <w:ind w:hanging="0" w:left="200" w:right="200"/>
        <w:jc w:val="left"/>
        <w:rPr>
          <w:color w:val="444444"/>
          <w:sz w:val="18"/>
          <w:bdr w:val="single" w:sz="2" w:space="8" w:color="D5DEEC"/>
          <w:shd w:fill="FBFCFE" w:val="clear"/>
        </w:rPr>
      </w:pPr>
      <w:r>
        <w:rPr>
          <w:rFonts w:ascii="Liberation Mono;monospace" w:hAnsi="Liberation Mono;monospace"/>
          <w:b/>
          <w:color w:val="1A3D7C"/>
          <w:sz w:val="18"/>
          <w:bdr w:val="single" w:sz="2" w:space="8" w:color="D5DEEC"/>
          <w:shd w:fill="FBFCFE" w:val="clear"/>
        </w:rPr>
        <w:t>NEW_fig_7_2_seasonal_solar_arcs.png</w:t>
      </w:r>
      <w:r>
        <w:rPr>
          <w:color w:val="444444"/>
          <w:sz w:val="18"/>
          <w:bdr w:val="single" w:sz="2" w:space="8" w:color="D5DEEC"/>
          <w:shd w:fill="FBFCFE" w:val="clear"/>
        </w:rPr>
        <w:t> </w:t>
      </w:r>
    </w:p>
    <w:p>
      <w:pPr>
        <w:pStyle w:val="BodyText"/>
        <w:bidi w:val="0"/>
        <w:spacing w:before="160" w:after="160"/>
        <w:ind w:hanging="0" w:left="160" w:right="160"/>
        <w:jc w:val="left"/>
        <w:rPr>
          <w:sz w:val="20"/>
          <w:bdr w:val="single" w:sz="24" w:space="9" w:color="B3261E"/>
          <w:shd w:fill="FDECEB" w:val="clear"/>
        </w:rPr>
      </w:pPr>
      <w:r>
        <w:rPr>
          <w:b/>
          <w:sz w:val="20"/>
          <w:bdr w:val="single" w:sz="24" w:space="9" w:color="B3261E"/>
          <w:shd w:fill="FDECEB" w:val="clear"/>
        </w:rPr>
        <w:t>Three more wrong citations in §7.3.</w:t>
      </w:r>
      <w:r>
        <w:rPr>
          <w:sz w:val="20"/>
          <w:bdr w:val="single" w:sz="24" w:space="9" w:color="B3261E"/>
          <w:shd w:fill="FDECEB" w:val="clear"/>
        </w:rPr>
        <w:t xml:space="preserve"> Line 2467 "Gkanias et al. [5]" should be </w:t>
      </w:r>
      <w:r>
        <w:rPr>
          <w:b/>
          <w:sz w:val="20"/>
          <w:bdr w:val="single" w:sz="24" w:space="9" w:color="B3261E"/>
          <w:shd w:fill="FDECEB" w:val="clear"/>
        </w:rPr>
        <w:t>[13]</w:t>
      </w:r>
      <w:r>
        <w:rPr>
          <w:sz w:val="20"/>
          <w:bdr w:val="single" w:sz="24" w:space="9" w:color="B3261E"/>
          <w:shd w:fill="FDECEB" w:val="clear"/>
        </w:rPr>
        <w:t xml:space="preserve">; line 2473 "Stürzl [3]" should be </w:t>
      </w:r>
      <w:r>
        <w:rPr>
          <w:b/>
          <w:sz w:val="20"/>
          <w:bdr w:val="single" w:sz="24" w:space="9" w:color="B3261E"/>
          <w:shd w:fill="FDECEB" w:val="clear"/>
        </w:rPr>
        <w:t>[11]</w:t>
      </w:r>
      <w:r>
        <w:rPr>
          <w:sz w:val="20"/>
          <w:bdr w:val="single" w:sz="24" w:space="9" w:color="B3261E"/>
          <w:shd w:fill="FDECEB" w:val="clear"/>
        </w:rPr>
        <w:t xml:space="preserve">; line 2479 "Gkanias and Webb [6]" should be </w:t>
      </w:r>
      <w:r>
        <w:rPr>
          <w:b/>
          <w:sz w:val="20"/>
          <w:bdr w:val="single" w:sz="24" w:space="9" w:color="B3261E"/>
          <w:shd w:fill="FDECEB" w:val="clear"/>
        </w:rPr>
        <w:t>[14]</w:t>
      </w:r>
      <w:r>
        <w:rPr>
          <w:sz w:val="20"/>
          <w:bdr w:val="single" w:sz="24" w:space="9" w:color="B3261E"/>
          <w:shd w:fill="FDECEB" w:val="clear"/>
        </w:rPr>
        <w:t xml:space="preserve">. As written they point to Steinhoff, to Sobel's </w:t>
      </w:r>
      <w:r>
        <w:rPr>
          <w:i/>
          <w:sz w:val="20"/>
          <w:bdr w:val="single" w:sz="24" w:space="9" w:color="B3261E"/>
          <w:shd w:fill="FDECEB" w:val="clear"/>
        </w:rPr>
        <w:t>Longitude</w:t>
      </w:r>
      <w:r>
        <w:rPr>
          <w:sz w:val="20"/>
          <w:bdr w:val="single" w:sz="24" w:space="9" w:color="B3261E"/>
          <w:shd w:fill="FDECEB" w:val="clear"/>
        </w:rPr>
        <w:t>, and to Thrun.</w:t>
      </w:r>
    </w:p>
    <w:p>
      <w:pPr>
        <w:pStyle w:val="BodyText"/>
        <w:bidi w:val="0"/>
        <w:spacing w:before="160" w:after="160"/>
        <w:ind w:hanging="0" w:left="160" w:right="160"/>
        <w:jc w:val="left"/>
        <w:rPr>
          <w:sz w:val="20"/>
          <w:bdr w:val="single" w:sz="24" w:space="9" w:color="D99100"/>
          <w:shd w:fill="FFF8E6" w:val="clear"/>
        </w:rPr>
      </w:pPr>
      <w:r>
        <w:rPr>
          <w:b/>
          <w:sz w:val="20"/>
          <w:bdr w:val="single" w:sz="24" w:space="9" w:color="D99100"/>
          <w:shd w:fill="FFF8E6" w:val="clear"/>
        </w:rPr>
        <w:t>§7.3, expand the rain note.</w:t>
      </w:r>
      <w:r>
        <w:rPr>
          <w:sz w:val="20"/>
          <w:bdr w:val="single" w:sz="24" w:space="9" w:color="D99100"/>
          <w:shd w:fill="FFF8E6" w:val="clear"/>
        </w:rPr>
        <w:t xml:space="preserve"> Water on the film and droplets in the air both scatter light through many events, and multiple scattering destroys the linear polarisation that single Rayleigh scattering produces, so rain removes the quantity being measured rather than merely dimming it.</w:t>
      </w:r>
    </w:p>
    <w:p>
      <w:pPr>
        <w:pStyle w:val="Heading3"/>
        <w:bidi w:val="0"/>
        <w:jc w:val="left"/>
        <w:rPr/>
      </w:pPr>
      <w:r>
        <w:rPr/>
        <w:t>Chapter 8 and the appendix</w:t>
      </w:r>
    </w:p>
    <w:p>
      <w:pPr>
        <w:pStyle w:val="BodyText"/>
        <w:bidi w:val="0"/>
        <w:spacing w:before="160" w:after="160"/>
        <w:ind w:hanging="0" w:left="160" w:right="160"/>
        <w:jc w:val="left"/>
        <w:rPr/>
      </w:pPr>
      <w:r>
        <w:rPr>
          <w:b/>
          <w:sz w:val="20"/>
          <w:bdr w:val="single" w:sz="24" w:space="9" w:color="B3261E"/>
          <w:shd w:fill="FDECEB" w:val="clear"/>
        </w:rPr>
        <w:t>Chapter 8, Conclusion, is empty.</w:t>
      </w:r>
      <w:r>
        <w:rPr>
          <w:sz w:val="20"/>
          <w:bdr w:val="single" w:sz="24" w:space="9" w:color="B3261E"/>
          <w:shd w:fill="FDECEB" w:val="clear"/>
        </w:rPr>
        <w:t xml:space="preserve"> About one page. Restate the question, state what was built and validated, give the headline numbers, state plainly what was not achieved (calibrated outdoor validation, a working confidence metric, the radial dome's expected robustness advantage), and close on what the work leaves for whoever continues it. </w:t>
        <w:br/>
        <w:br/>
      </w:r>
      <w:r>
        <w:rPr>
          <w:b/>
          <w:sz w:val="20"/>
          <w:bdr w:val="single" w:sz="24" w:space="9" w:color="B3261E"/>
          <w:shd w:fill="FDECEB" w:val="clear"/>
        </w:rPr>
        <w:t>Appendix A, "Full Weekly Results", is empty.</w:t>
      </w:r>
      <w:r>
        <w:rPr>
          <w:sz w:val="20"/>
          <w:bdr w:val="single" w:sz="24" w:space="9" w:color="B3261E"/>
          <w:shd w:fill="FDECEB" w:val="clear"/>
        </w:rPr>
        <w:t xml:space="preserve"> Either fill it from </w:t>
      </w:r>
      <w:r>
        <w:rPr>
          <w:rStyle w:val="SourceText"/>
          <w:sz w:val="20"/>
          <w:bdr w:val="single" w:sz="24" w:space="9" w:color="B3261E"/>
          <w:shd w:fill="FDECEB" w:val="clear"/>
        </w:rPr>
        <w:t>outputs/n200_*.txt</w:t>
      </w:r>
      <w:r>
        <w:rPr>
          <w:sz w:val="20"/>
          <w:bdr w:val="single" w:sz="24" w:space="9" w:color="B3261E"/>
          <w:shd w:fill="FDECEB" w:val="clear"/>
        </w:rPr>
        <w:t xml:space="preserve"> or remove it from the contents and from "1 app. p." on the title page.</w:t>
      </w:r>
    </w:p>
    <w:p>
      <w:pPr>
        <w:pStyle w:val="Heading3"/>
        <w:bidi w:val="0"/>
        <w:jc w:val="left"/>
        <w:rPr/>
      </w:pPr>
      <w:r>
        <w:rPr/>
        <w:t>References</w:t>
      </w:r>
    </w:p>
    <w:tbl>
      <w:tblPr>
        <w:tblW w:w="8958" w:type="dxa"/>
        <w:jc w:val="left"/>
        <w:tblInd w:w="28" w:type="dxa"/>
        <w:tblLayout w:type="fixed"/>
        <w:tblCellMar>
          <w:top w:w="28" w:type="dxa"/>
          <w:left w:w="28" w:type="dxa"/>
          <w:bottom w:w="28" w:type="dxa"/>
          <w:right w:w="28" w:type="dxa"/>
        </w:tblCellMar>
      </w:tblPr>
      <w:tblGrid>
        <w:gridCol w:w="1080"/>
        <w:gridCol w:w="5017"/>
        <w:gridCol w:w="2861"/>
      </w:tblGrid>
      <w:tr>
        <w:trPr/>
        <w:tc>
          <w:tcPr>
            <w:tcW w:w="1080" w:type="dxa"/>
            <w:tcBorders/>
            <w:vAlign w:val="center"/>
          </w:tcPr>
          <w:p>
            <w:pPr>
              <w:pStyle w:val="TableHeading"/>
              <w:bidi w:val="0"/>
              <w:spacing w:before="100" w:after="100"/>
              <w:ind w:hanging="0" w:left="0" w:right="0"/>
              <w:jc w:val="left"/>
              <w:rPr/>
            </w:pPr>
            <w:r>
              <w:rPr/>
              <w:t>Ref</w:t>
            </w:r>
          </w:p>
        </w:tc>
        <w:tc>
          <w:tcPr>
            <w:tcW w:w="5017" w:type="dxa"/>
            <w:tcBorders/>
            <w:vAlign w:val="center"/>
          </w:tcPr>
          <w:p>
            <w:pPr>
              <w:pStyle w:val="TableHeading"/>
              <w:suppressLineNumbers/>
              <w:shd w:fill="1A3D7C" w:val="clear"/>
              <w:bidi w:val="0"/>
              <w:spacing w:before="100" w:after="100"/>
              <w:jc w:val="left"/>
              <w:rPr/>
            </w:pPr>
            <w:r>
              <w:rPr/>
              <w:t>Problem</w:t>
            </w:r>
          </w:p>
        </w:tc>
        <w:tc>
          <w:tcPr>
            <w:tcW w:w="2861" w:type="dxa"/>
            <w:tcBorders/>
            <w:vAlign w:val="center"/>
          </w:tcPr>
          <w:p>
            <w:pPr>
              <w:pStyle w:val="TableHeading"/>
              <w:suppressLineNumbers/>
              <w:shd w:fill="1A3D7C" w:val="clear"/>
              <w:bidi w:val="0"/>
              <w:spacing w:before="100" w:after="100"/>
              <w:jc w:val="left"/>
              <w:rPr/>
            </w:pPr>
            <w:r>
              <w:rPr/>
              <w:t>Fix</w:t>
            </w:r>
          </w:p>
        </w:tc>
      </w:tr>
      <w:tr>
        <w:trPr/>
        <w:tc>
          <w:tcPr>
            <w:tcW w:w="1080" w:type="dxa"/>
            <w:tcBorders/>
            <w:vAlign w:val="center"/>
          </w:tcPr>
          <w:p>
            <w:pPr>
              <w:pStyle w:val="TableContents"/>
              <w:bidi w:val="0"/>
              <w:spacing w:before="100" w:after="100"/>
              <w:jc w:val="left"/>
              <w:rPr/>
            </w:pPr>
            <w:r>
              <w:rPr/>
              <w:t>[7], [8]</w:t>
            </w:r>
          </w:p>
        </w:tc>
        <w:tc>
          <w:tcPr>
            <w:tcW w:w="5017" w:type="dxa"/>
            <w:tcBorders/>
            <w:vAlign w:val="center"/>
          </w:tcPr>
          <w:p>
            <w:pPr>
              <w:pStyle w:val="TableContents"/>
              <w:bidi w:val="0"/>
              <w:spacing w:before="100" w:after="100"/>
              <w:jc w:val="left"/>
              <w:rPr/>
            </w:pPr>
            <w:r>
              <w:rPr/>
              <w:t>Identical paper, Wehner 2003, listed twice</w:t>
            </w:r>
          </w:p>
        </w:tc>
        <w:tc>
          <w:tcPr>
            <w:tcW w:w="2861" w:type="dxa"/>
            <w:tcBorders/>
            <w:vAlign w:val="center"/>
          </w:tcPr>
          <w:p>
            <w:pPr>
              <w:pStyle w:val="TableContents"/>
              <w:bidi w:val="0"/>
              <w:spacing w:before="100" w:after="100"/>
              <w:jc w:val="left"/>
              <w:rPr/>
            </w:pPr>
            <w:r>
              <w:rPr/>
              <w:t>Merge and renumber</w:t>
            </w:r>
          </w:p>
        </w:tc>
      </w:tr>
      <w:tr>
        <w:trPr/>
        <w:tc>
          <w:tcPr>
            <w:tcW w:w="1080" w:type="dxa"/>
            <w:tcBorders/>
            <w:vAlign w:val="center"/>
          </w:tcPr>
          <w:p>
            <w:pPr>
              <w:pStyle w:val="TableContents"/>
              <w:bidi w:val="0"/>
              <w:spacing w:before="100" w:after="100"/>
              <w:jc w:val="left"/>
              <w:rPr/>
            </w:pPr>
            <w:r>
              <w:rPr/>
              <w:t>[11]</w:t>
            </w:r>
          </w:p>
        </w:tc>
        <w:tc>
          <w:tcPr>
            <w:tcW w:w="5017" w:type="dxa"/>
            <w:tcBorders/>
            <w:vAlign w:val="center"/>
          </w:tcPr>
          <w:p>
            <w:pPr>
              <w:pStyle w:val="TableContents"/>
              <w:bidi w:val="0"/>
              <w:spacing w:before="100" w:after="100"/>
              <w:jc w:val="left"/>
              <w:rPr/>
            </w:pPr>
            <w:r>
              <w:rPr/>
              <w:t>"W. Sturzl"</w:t>
            </w:r>
          </w:p>
        </w:tc>
        <w:tc>
          <w:tcPr>
            <w:tcW w:w="2861" w:type="dxa"/>
            <w:tcBorders/>
            <w:vAlign w:val="center"/>
          </w:tcPr>
          <w:p>
            <w:pPr>
              <w:pStyle w:val="TableContents"/>
              <w:bidi w:val="0"/>
              <w:spacing w:before="100" w:after="100"/>
              <w:jc w:val="left"/>
              <w:rPr/>
            </w:pPr>
            <w:r>
              <w:rPr/>
              <w:t>"W. Stürzl"; check the venue</w:t>
            </w:r>
          </w:p>
        </w:tc>
      </w:tr>
      <w:tr>
        <w:trPr/>
        <w:tc>
          <w:tcPr>
            <w:tcW w:w="1080" w:type="dxa"/>
            <w:tcBorders/>
            <w:vAlign w:val="center"/>
          </w:tcPr>
          <w:p>
            <w:pPr>
              <w:pStyle w:val="TableContents"/>
              <w:bidi w:val="0"/>
              <w:spacing w:before="100" w:after="100"/>
              <w:jc w:val="left"/>
              <w:rPr/>
            </w:pPr>
            <w:r>
              <w:rPr/>
              <w:t>[15], [16]</w:t>
            </w:r>
          </w:p>
        </w:tc>
        <w:tc>
          <w:tcPr>
            <w:tcW w:w="5017" w:type="dxa"/>
            <w:tcBorders/>
            <w:vAlign w:val="center"/>
          </w:tcPr>
          <w:p>
            <w:pPr>
              <w:pStyle w:val="TableContents"/>
              <w:bidi w:val="0"/>
              <w:spacing w:before="100" w:after="100"/>
              <w:jc w:val="left"/>
              <w:rPr/>
            </w:pPr>
            <w:r>
              <w:rPr/>
              <w:t>In preparation, flagged as unverified in your own text</w:t>
            </w:r>
          </w:p>
        </w:tc>
        <w:tc>
          <w:tcPr>
            <w:tcW w:w="2861" w:type="dxa"/>
            <w:tcBorders/>
            <w:vAlign w:val="center"/>
          </w:tcPr>
          <w:p>
            <w:pPr>
              <w:pStyle w:val="TableContents"/>
              <w:bidi w:val="0"/>
              <w:spacing w:before="100" w:after="100"/>
              <w:jc w:val="left"/>
              <w:rPr/>
            </w:pPr>
            <w:r>
              <w:rPr/>
              <w:t>Confirm or drop</w:t>
            </w:r>
          </w:p>
        </w:tc>
      </w:tr>
      <w:tr>
        <w:trPr/>
        <w:tc>
          <w:tcPr>
            <w:tcW w:w="1080" w:type="dxa"/>
            <w:tcBorders/>
            <w:vAlign w:val="center"/>
          </w:tcPr>
          <w:p>
            <w:pPr>
              <w:pStyle w:val="TableContents"/>
              <w:bidi w:val="0"/>
              <w:spacing w:before="100" w:after="100"/>
              <w:jc w:val="left"/>
              <w:rPr/>
            </w:pPr>
            <w:r>
              <w:rPr/>
              <w:t>[18]</w:t>
            </w:r>
          </w:p>
        </w:tc>
        <w:tc>
          <w:tcPr>
            <w:tcW w:w="5017" w:type="dxa"/>
            <w:tcBorders/>
            <w:vAlign w:val="center"/>
          </w:tcPr>
          <w:p>
            <w:pPr>
              <w:pStyle w:val="TableContents"/>
              <w:bidi w:val="0"/>
              <w:spacing w:before="100" w:after="100"/>
              <w:jc w:val="left"/>
              <w:rPr/>
            </w:pPr>
            <w:r>
              <w:rPr/>
              <w:t>Author given as the GitHub handle "evgkanias"</w:t>
            </w:r>
          </w:p>
        </w:tc>
        <w:tc>
          <w:tcPr>
            <w:tcW w:w="2861" w:type="dxa"/>
            <w:tcBorders/>
            <w:vAlign w:val="center"/>
          </w:tcPr>
          <w:p>
            <w:pPr>
              <w:pStyle w:val="TableContents"/>
              <w:bidi w:val="0"/>
              <w:spacing w:before="100" w:after="100"/>
              <w:jc w:val="left"/>
              <w:rPr/>
            </w:pPr>
            <w:r>
              <w:rPr/>
              <w:t>"E. Gkanias"</w:t>
            </w:r>
          </w:p>
        </w:tc>
      </w:tr>
      <w:tr>
        <w:trPr/>
        <w:tc>
          <w:tcPr>
            <w:tcW w:w="1080" w:type="dxa"/>
            <w:tcBorders/>
            <w:vAlign w:val="center"/>
          </w:tcPr>
          <w:p>
            <w:pPr>
              <w:pStyle w:val="TableContents"/>
              <w:bidi w:val="0"/>
              <w:spacing w:before="100" w:after="100"/>
              <w:jc w:val="left"/>
              <w:rPr/>
            </w:pPr>
            <w:r>
              <w:rPr/>
              <w:t>[31]</w:t>
            </w:r>
          </w:p>
        </w:tc>
        <w:tc>
          <w:tcPr>
            <w:tcW w:w="5017" w:type="dxa"/>
            <w:tcBorders/>
            <w:vAlign w:val="center"/>
          </w:tcPr>
          <w:p>
            <w:pPr>
              <w:pStyle w:val="TableContents"/>
              <w:bidi w:val="0"/>
              <w:spacing w:before="100" w:after="100"/>
              <w:jc w:val="left"/>
              <w:rPr/>
            </w:pPr>
            <w:r>
              <w:rPr/>
              <w:t>Bare URL, no title or author</w:t>
            </w:r>
          </w:p>
        </w:tc>
        <w:tc>
          <w:tcPr>
            <w:tcW w:w="2861" w:type="dxa"/>
            <w:tcBorders/>
            <w:vAlign w:val="center"/>
          </w:tcPr>
          <w:p>
            <w:pPr>
              <w:pStyle w:val="TableContents"/>
              <w:bidi w:val="0"/>
              <w:spacing w:before="100" w:after="100"/>
              <w:jc w:val="left"/>
              <w:rPr/>
            </w:pPr>
            <w:r>
              <w:rPr/>
              <w:t>Give it a title</w:t>
            </w:r>
          </w:p>
        </w:tc>
      </w:tr>
    </w:tbl>
    <w:p>
      <w:pPr>
        <w:pStyle w:val="HorizontalLine"/>
        <w:bidi w:val="0"/>
        <w:jc w:val="left"/>
        <w:rPr/>
      </w:pPr>
      <w:r>
        <w:rPr/>
      </w:r>
    </w:p>
    <w:p>
      <w:pPr>
        <w:pStyle w:val="Heading2"/>
        <w:bidi w:val="0"/>
        <w:jc w:val="left"/>
        <w:rPr/>
      </w:pPr>
      <w:r>
        <w:rPr/>
        <w:t>D. Order of work, given the deadline</w:t>
      </w:r>
    </w:p>
    <w:tbl>
      <w:tblPr>
        <w:tblW w:w="11339" w:type="dxa"/>
        <w:jc w:val="left"/>
        <w:tblInd w:w="28" w:type="dxa"/>
        <w:tblLayout w:type="fixed"/>
        <w:tblCellMar>
          <w:top w:w="28" w:type="dxa"/>
          <w:left w:w="28" w:type="dxa"/>
          <w:bottom w:w="28" w:type="dxa"/>
          <w:right w:w="28" w:type="dxa"/>
        </w:tblCellMar>
      </w:tblPr>
      <w:tblGrid>
        <w:gridCol w:w="446"/>
        <w:gridCol w:w="6841"/>
        <w:gridCol w:w="789"/>
        <w:gridCol w:w="3263"/>
      </w:tblGrid>
      <w:tr>
        <w:trPr/>
        <w:tc>
          <w:tcPr>
            <w:tcW w:w="446" w:type="dxa"/>
            <w:tcBorders/>
            <w:vAlign w:val="center"/>
          </w:tcPr>
          <w:p>
            <w:pPr>
              <w:pStyle w:val="TableHeading"/>
              <w:bidi w:val="0"/>
              <w:spacing w:before="100" w:after="100"/>
              <w:ind w:hanging="0" w:left="0" w:right="0"/>
              <w:jc w:val="left"/>
              <w:rPr/>
            </w:pPr>
            <w:r>
              <w:rPr/>
              <w:t>#</w:t>
            </w:r>
          </w:p>
        </w:tc>
        <w:tc>
          <w:tcPr>
            <w:tcW w:w="6841" w:type="dxa"/>
            <w:tcBorders/>
            <w:vAlign w:val="center"/>
          </w:tcPr>
          <w:p>
            <w:pPr>
              <w:pStyle w:val="TableHeading"/>
              <w:bidi w:val="0"/>
              <w:spacing w:before="100" w:after="100"/>
              <w:ind w:hanging="0" w:left="0" w:right="0"/>
              <w:jc w:val="left"/>
              <w:rPr/>
            </w:pPr>
            <w:r>
              <w:rPr/>
              <w:t>Task</w:t>
            </w:r>
          </w:p>
        </w:tc>
        <w:tc>
          <w:tcPr>
            <w:tcW w:w="789" w:type="dxa"/>
            <w:tcBorders/>
            <w:vAlign w:val="center"/>
          </w:tcPr>
          <w:p>
            <w:pPr>
              <w:pStyle w:val="TableHeading"/>
              <w:suppressLineNumbers/>
              <w:shd w:fill="1A3D7C" w:val="clear"/>
              <w:bidi w:val="0"/>
              <w:spacing w:before="100" w:after="100"/>
              <w:jc w:val="left"/>
              <w:rPr/>
            </w:pPr>
            <w:r>
              <w:rPr/>
              <w:t>Time</w:t>
            </w:r>
          </w:p>
        </w:tc>
        <w:tc>
          <w:tcPr>
            <w:tcW w:w="3263" w:type="dxa"/>
            <w:tcBorders/>
            <w:vAlign w:val="center"/>
          </w:tcPr>
          <w:p>
            <w:pPr>
              <w:pStyle w:val="TableHeading"/>
              <w:suppressLineNumbers/>
              <w:shd w:fill="1A3D7C" w:val="clear"/>
              <w:bidi w:val="0"/>
              <w:spacing w:before="100" w:after="100"/>
              <w:jc w:val="left"/>
              <w:rPr/>
            </w:pPr>
            <w:r>
              <w:rPr/>
              <w:t>Why now</w:t>
            </w:r>
          </w:p>
        </w:tc>
      </w:tr>
      <w:tr>
        <w:trPr/>
        <w:tc>
          <w:tcPr>
            <w:tcW w:w="446" w:type="dxa"/>
            <w:tcBorders/>
            <w:vAlign w:val="center"/>
          </w:tcPr>
          <w:p>
            <w:pPr>
              <w:pStyle w:val="TableContents"/>
              <w:bidi w:val="0"/>
              <w:spacing w:before="100" w:after="100"/>
              <w:jc w:val="left"/>
              <w:rPr/>
            </w:pPr>
            <w:r>
              <w:rPr/>
              <w:t>1</w:t>
            </w:r>
          </w:p>
        </w:tc>
        <w:tc>
          <w:tcPr>
            <w:tcW w:w="6841" w:type="dxa"/>
            <w:tcBorders/>
            <w:vAlign w:val="center"/>
          </w:tcPr>
          <w:p>
            <w:pPr>
              <w:pStyle w:val="TableContents"/>
              <w:bidi w:val="0"/>
              <w:spacing w:before="100" w:after="100"/>
              <w:jc w:val="left"/>
              <w:rPr/>
            </w:pPr>
            <w:r>
              <w:rPr/>
              <w:t>Front matter: abstract, keywords, AI declaration</w:t>
            </w:r>
          </w:p>
        </w:tc>
        <w:tc>
          <w:tcPr>
            <w:tcW w:w="789" w:type="dxa"/>
            <w:tcBorders/>
            <w:vAlign w:val="center"/>
          </w:tcPr>
          <w:p>
            <w:pPr>
              <w:pStyle w:val="TableContents"/>
              <w:bidi w:val="0"/>
              <w:spacing w:before="100" w:after="100"/>
              <w:jc w:val="left"/>
              <w:rPr/>
            </w:pPr>
            <w:r>
              <w:rPr/>
              <w:t>40 min</w:t>
            </w:r>
          </w:p>
        </w:tc>
        <w:tc>
          <w:tcPr>
            <w:tcW w:w="3263" w:type="dxa"/>
            <w:tcBorders/>
            <w:vAlign w:val="center"/>
          </w:tcPr>
          <w:p>
            <w:pPr>
              <w:pStyle w:val="TableContents"/>
              <w:bidi w:val="0"/>
              <w:spacing w:before="100" w:after="100"/>
              <w:jc w:val="left"/>
              <w:rPr/>
            </w:pPr>
            <w:r>
              <w:rPr/>
              <w:t>Read first, currently placeholders</w:t>
            </w:r>
          </w:p>
        </w:tc>
      </w:tr>
      <w:tr>
        <w:trPr/>
        <w:tc>
          <w:tcPr>
            <w:tcW w:w="446" w:type="dxa"/>
            <w:tcBorders/>
            <w:vAlign w:val="center"/>
          </w:tcPr>
          <w:p>
            <w:pPr>
              <w:pStyle w:val="TableContents"/>
              <w:bidi w:val="0"/>
              <w:spacing w:before="100" w:after="100"/>
              <w:jc w:val="left"/>
              <w:rPr/>
            </w:pPr>
            <w:r>
              <w:rPr/>
              <w:t>2</w:t>
            </w:r>
          </w:p>
        </w:tc>
        <w:tc>
          <w:tcPr>
            <w:tcW w:w="6841" w:type="dxa"/>
            <w:tcBorders/>
            <w:vAlign w:val="center"/>
          </w:tcPr>
          <w:p>
            <w:pPr>
              <w:pStyle w:val="TableContents"/>
              <w:bidi w:val="0"/>
              <w:spacing w:before="100" w:after="100"/>
              <w:jc w:val="left"/>
              <w:rPr/>
            </w:pPr>
            <w:r>
              <w:rPr/>
              <w:t>Photograph the dome and the mounted rig; measure the radius</w:t>
            </w:r>
          </w:p>
        </w:tc>
        <w:tc>
          <w:tcPr>
            <w:tcW w:w="789" w:type="dxa"/>
            <w:tcBorders/>
            <w:vAlign w:val="center"/>
          </w:tcPr>
          <w:p>
            <w:pPr>
              <w:pStyle w:val="TableContents"/>
              <w:bidi w:val="0"/>
              <w:spacing w:before="100" w:after="100"/>
              <w:jc w:val="left"/>
              <w:rPr/>
            </w:pPr>
            <w:r>
              <w:rPr/>
              <w:t>20 min</w:t>
            </w:r>
          </w:p>
        </w:tc>
        <w:tc>
          <w:tcPr>
            <w:tcW w:w="3263" w:type="dxa"/>
            <w:tcBorders/>
            <w:vAlign w:val="center"/>
          </w:tcPr>
          <w:p>
            <w:pPr>
              <w:pStyle w:val="TableContents"/>
              <w:bidi w:val="0"/>
              <w:spacing w:before="100" w:after="100"/>
              <w:jc w:val="left"/>
              <w:rPr/>
            </w:pPr>
            <w:r>
              <w:rPr/>
              <w:t>Only you can do this; blocks Figs 4.1 and 4.3</w:t>
            </w:r>
          </w:p>
        </w:tc>
      </w:tr>
      <w:tr>
        <w:trPr/>
        <w:tc>
          <w:tcPr>
            <w:tcW w:w="446" w:type="dxa"/>
            <w:tcBorders/>
            <w:vAlign w:val="center"/>
          </w:tcPr>
          <w:p>
            <w:pPr>
              <w:pStyle w:val="TableContents"/>
              <w:bidi w:val="0"/>
              <w:spacing w:before="100" w:after="100"/>
              <w:jc w:val="left"/>
              <w:rPr/>
            </w:pPr>
            <w:r>
              <w:rPr/>
              <w:t>3</w:t>
            </w:r>
          </w:p>
        </w:tc>
        <w:tc>
          <w:tcPr>
            <w:tcW w:w="6841" w:type="dxa"/>
            <w:tcBorders/>
            <w:vAlign w:val="center"/>
          </w:tcPr>
          <w:p>
            <w:pPr>
              <w:pStyle w:val="TableContents"/>
              <w:bidi w:val="0"/>
              <w:spacing w:before="100" w:after="100"/>
              <w:jc w:val="left"/>
              <w:rPr/>
            </w:pPr>
            <w:r>
              <w:rPr/>
              <w:t>§4.2 rewrite with the R = 40 mm numbers, drop in the gore figure</w:t>
            </w:r>
          </w:p>
        </w:tc>
        <w:tc>
          <w:tcPr>
            <w:tcW w:w="789" w:type="dxa"/>
            <w:tcBorders/>
            <w:vAlign w:val="center"/>
          </w:tcPr>
          <w:p>
            <w:pPr>
              <w:pStyle w:val="TableContents"/>
              <w:bidi w:val="0"/>
              <w:spacing w:before="100" w:after="100"/>
              <w:jc w:val="left"/>
              <w:rPr/>
            </w:pPr>
            <w:r>
              <w:rPr/>
              <w:t>45 min</w:t>
            </w:r>
          </w:p>
        </w:tc>
        <w:tc>
          <w:tcPr>
            <w:tcW w:w="3263" w:type="dxa"/>
            <w:tcBorders/>
            <w:vAlign w:val="center"/>
          </w:tcPr>
          <w:p>
            <w:pPr>
              <w:pStyle w:val="TableContents"/>
              <w:bidi w:val="0"/>
              <w:spacing w:before="100" w:after="100"/>
              <w:jc w:val="left"/>
              <w:rPr/>
            </w:pPr>
            <w:r>
              <w:rPr/>
              <w:t>Most serious factual error</w:t>
            </w:r>
          </w:p>
        </w:tc>
      </w:tr>
      <w:tr>
        <w:trPr/>
        <w:tc>
          <w:tcPr>
            <w:tcW w:w="446" w:type="dxa"/>
            <w:tcBorders/>
            <w:vAlign w:val="center"/>
          </w:tcPr>
          <w:p>
            <w:pPr>
              <w:pStyle w:val="TableContents"/>
              <w:bidi w:val="0"/>
              <w:spacing w:before="100" w:after="100"/>
              <w:jc w:val="left"/>
              <w:rPr/>
            </w:pPr>
            <w:r>
              <w:rPr/>
              <w:t>4</w:t>
            </w:r>
          </w:p>
        </w:tc>
        <w:tc>
          <w:tcPr>
            <w:tcW w:w="6841" w:type="dxa"/>
            <w:tcBorders/>
            <w:vAlign w:val="center"/>
          </w:tcPr>
          <w:p>
            <w:pPr>
              <w:pStyle w:val="TableContents"/>
              <w:bidi w:val="0"/>
              <w:spacing w:before="100" w:after="100"/>
              <w:jc w:val="left"/>
              <w:rPr/>
            </w:pPr>
            <w:r>
              <w:rPr/>
              <w:t>Fix the five wrong citations, merge [7]/[8], "table 2.3", "Chapter ??"</w:t>
            </w:r>
          </w:p>
        </w:tc>
        <w:tc>
          <w:tcPr>
            <w:tcW w:w="789" w:type="dxa"/>
            <w:tcBorders/>
            <w:vAlign w:val="center"/>
          </w:tcPr>
          <w:p>
            <w:pPr>
              <w:pStyle w:val="TableContents"/>
              <w:bidi w:val="0"/>
              <w:spacing w:before="100" w:after="100"/>
              <w:jc w:val="left"/>
              <w:rPr/>
            </w:pPr>
            <w:r>
              <w:rPr/>
              <w:t>25 min</w:t>
            </w:r>
          </w:p>
        </w:tc>
        <w:tc>
          <w:tcPr>
            <w:tcW w:w="3263" w:type="dxa"/>
            <w:tcBorders/>
            <w:vAlign w:val="center"/>
          </w:tcPr>
          <w:p>
            <w:pPr>
              <w:pStyle w:val="TableContents"/>
              <w:bidi w:val="0"/>
              <w:spacing w:before="100" w:after="100"/>
              <w:jc w:val="left"/>
              <w:rPr/>
            </w:pPr>
            <w:r>
              <w:rPr/>
              <w:t>Cheap and highly visible</w:t>
            </w:r>
          </w:p>
        </w:tc>
      </w:tr>
      <w:tr>
        <w:trPr/>
        <w:tc>
          <w:tcPr>
            <w:tcW w:w="446" w:type="dxa"/>
            <w:tcBorders/>
            <w:vAlign w:val="center"/>
          </w:tcPr>
          <w:p>
            <w:pPr>
              <w:pStyle w:val="TableContents"/>
              <w:bidi w:val="0"/>
              <w:spacing w:before="100" w:after="100"/>
              <w:jc w:val="left"/>
              <w:rPr/>
            </w:pPr>
            <w:r>
              <w:rPr/>
              <w:t>5</w:t>
            </w:r>
          </w:p>
        </w:tc>
        <w:tc>
          <w:tcPr>
            <w:tcW w:w="6841" w:type="dxa"/>
            <w:tcBorders/>
            <w:vAlign w:val="center"/>
          </w:tcPr>
          <w:p>
            <w:pPr>
              <w:pStyle w:val="TableContents"/>
              <w:bidi w:val="0"/>
              <w:spacing w:before="100" w:after="100"/>
              <w:jc w:val="left"/>
              <w:rPr/>
            </w:pPr>
            <w:r>
              <w:rPr/>
              <w:t>Correct the band claim in §3.3, §4.1, §6.2; insert the azimuth-profile figure and the regenerated band demo</w:t>
            </w:r>
          </w:p>
        </w:tc>
        <w:tc>
          <w:tcPr>
            <w:tcW w:w="789" w:type="dxa"/>
            <w:tcBorders/>
            <w:vAlign w:val="center"/>
          </w:tcPr>
          <w:p>
            <w:pPr>
              <w:pStyle w:val="TableContents"/>
              <w:bidi w:val="0"/>
              <w:spacing w:before="100" w:after="100"/>
              <w:jc w:val="left"/>
              <w:rPr/>
            </w:pPr>
            <w:r>
              <w:rPr/>
              <w:t>40 min</w:t>
            </w:r>
          </w:p>
        </w:tc>
        <w:tc>
          <w:tcPr>
            <w:tcW w:w="3263" w:type="dxa"/>
            <w:tcBorders/>
            <w:vAlign w:val="center"/>
          </w:tcPr>
          <w:p>
            <w:pPr>
              <w:pStyle w:val="TableContents"/>
              <w:bidi w:val="0"/>
              <w:spacing w:before="100" w:after="100"/>
              <w:jc w:val="left"/>
              <w:rPr/>
            </w:pPr>
            <w:r>
              <w:rPr/>
              <w:t>The draft contradicts its own figure</w:t>
            </w:r>
          </w:p>
        </w:tc>
      </w:tr>
      <w:tr>
        <w:trPr/>
        <w:tc>
          <w:tcPr>
            <w:tcW w:w="446" w:type="dxa"/>
            <w:tcBorders/>
            <w:vAlign w:val="center"/>
          </w:tcPr>
          <w:p>
            <w:pPr>
              <w:pStyle w:val="TableContents"/>
              <w:bidi w:val="0"/>
              <w:spacing w:before="100" w:after="100"/>
              <w:jc w:val="left"/>
              <w:rPr/>
            </w:pPr>
            <w:r>
              <w:rPr/>
              <w:t>6</w:t>
            </w:r>
          </w:p>
        </w:tc>
        <w:tc>
          <w:tcPr>
            <w:tcW w:w="6841" w:type="dxa"/>
            <w:tcBorders/>
            <w:vAlign w:val="center"/>
          </w:tcPr>
          <w:p>
            <w:pPr>
              <w:pStyle w:val="TableContents"/>
              <w:bidi w:val="0"/>
              <w:spacing w:before="100" w:after="100"/>
              <w:jc w:val="left"/>
              <w:rPr/>
            </w:pPr>
            <w:r>
              <w:rPr/>
              <w:t>Replace Table 6.1; insert the two §6.3 figures; write the prose</w:t>
            </w:r>
          </w:p>
        </w:tc>
        <w:tc>
          <w:tcPr>
            <w:tcW w:w="789" w:type="dxa"/>
            <w:tcBorders/>
            <w:vAlign w:val="center"/>
          </w:tcPr>
          <w:p>
            <w:pPr>
              <w:pStyle w:val="TableContents"/>
              <w:bidi w:val="0"/>
              <w:spacing w:before="100" w:after="100"/>
              <w:jc w:val="left"/>
              <w:rPr/>
            </w:pPr>
            <w:r>
              <w:rPr/>
              <w:t>40 min</w:t>
            </w:r>
          </w:p>
        </w:tc>
        <w:tc>
          <w:tcPr>
            <w:tcW w:w="3263" w:type="dxa"/>
            <w:tcBorders/>
            <w:vAlign w:val="center"/>
          </w:tcPr>
          <w:p>
            <w:pPr>
              <w:pStyle w:val="TableContents"/>
              <w:bidi w:val="0"/>
              <w:spacing w:before="100" w:after="100"/>
              <w:jc w:val="left"/>
              <w:rPr/>
            </w:pPr>
            <w:r>
              <w:rPr/>
              <w:t>Compute is already done</w:t>
            </w:r>
          </w:p>
        </w:tc>
      </w:tr>
      <w:tr>
        <w:trPr/>
        <w:tc>
          <w:tcPr>
            <w:tcW w:w="446" w:type="dxa"/>
            <w:tcBorders/>
            <w:vAlign w:val="center"/>
          </w:tcPr>
          <w:p>
            <w:pPr>
              <w:pStyle w:val="TableContents"/>
              <w:bidi w:val="0"/>
              <w:spacing w:before="100" w:after="100"/>
              <w:jc w:val="left"/>
              <w:rPr/>
            </w:pPr>
            <w:r>
              <w:rPr/>
              <w:t>7</w:t>
            </w:r>
          </w:p>
        </w:tc>
        <w:tc>
          <w:tcPr>
            <w:tcW w:w="6841" w:type="dxa"/>
            <w:tcBorders/>
            <w:vAlign w:val="center"/>
          </w:tcPr>
          <w:p>
            <w:pPr>
              <w:pStyle w:val="TableContents"/>
              <w:bidi w:val="0"/>
              <w:spacing w:before="100" w:after="100"/>
              <w:jc w:val="left"/>
              <w:rPr/>
            </w:pPr>
            <w:r>
              <w:rPr/>
              <w:t>Fill the §5.1 and §5.4 NOTE blocks; insert the exposure figure</w:t>
            </w:r>
          </w:p>
        </w:tc>
        <w:tc>
          <w:tcPr>
            <w:tcW w:w="789" w:type="dxa"/>
            <w:tcBorders/>
            <w:vAlign w:val="center"/>
          </w:tcPr>
          <w:p>
            <w:pPr>
              <w:pStyle w:val="TableContents"/>
              <w:bidi w:val="0"/>
              <w:spacing w:before="100" w:after="100"/>
              <w:jc w:val="left"/>
              <w:rPr/>
            </w:pPr>
            <w:r>
              <w:rPr/>
              <w:t>45 min</w:t>
            </w:r>
          </w:p>
        </w:tc>
        <w:tc>
          <w:tcPr>
            <w:tcW w:w="3263" w:type="dxa"/>
            <w:tcBorders/>
            <w:vAlign w:val="center"/>
          </w:tcPr>
          <w:p>
            <w:pPr>
              <w:pStyle w:val="TableContents"/>
              <w:bidi w:val="0"/>
              <w:spacing w:before="100" w:after="100"/>
              <w:jc w:val="left"/>
              <w:rPr/>
            </w:pPr>
            <w:r>
              <w:rPr/>
              <w:t>Removes every remaining placeholder</w:t>
            </w:r>
          </w:p>
        </w:tc>
      </w:tr>
      <w:tr>
        <w:trPr/>
        <w:tc>
          <w:tcPr>
            <w:tcW w:w="446" w:type="dxa"/>
            <w:tcBorders/>
            <w:vAlign w:val="center"/>
          </w:tcPr>
          <w:p>
            <w:pPr>
              <w:pStyle w:val="TableContents"/>
              <w:bidi w:val="0"/>
              <w:spacing w:before="100" w:after="100"/>
              <w:jc w:val="left"/>
              <w:rPr/>
            </w:pPr>
            <w:r>
              <w:rPr/>
              <w:t>8</w:t>
            </w:r>
          </w:p>
        </w:tc>
        <w:tc>
          <w:tcPr>
            <w:tcW w:w="6841" w:type="dxa"/>
            <w:tcBorders/>
            <w:vAlign w:val="center"/>
          </w:tcPr>
          <w:p>
            <w:pPr>
              <w:pStyle w:val="TableContents"/>
              <w:bidi w:val="0"/>
              <w:spacing w:before="100" w:after="100"/>
              <w:jc w:val="left"/>
              <w:rPr/>
            </w:pPr>
            <w:r>
              <w:rPr/>
              <w:t>Paste in §6.4 with its two figures</w:t>
            </w:r>
          </w:p>
        </w:tc>
        <w:tc>
          <w:tcPr>
            <w:tcW w:w="789" w:type="dxa"/>
            <w:tcBorders/>
            <w:vAlign w:val="center"/>
          </w:tcPr>
          <w:p>
            <w:pPr>
              <w:pStyle w:val="TableContents"/>
              <w:bidi w:val="0"/>
              <w:spacing w:before="100" w:after="100"/>
              <w:jc w:val="left"/>
              <w:rPr/>
            </w:pPr>
            <w:r>
              <w:rPr/>
              <w:t>30 min</w:t>
            </w:r>
          </w:p>
        </w:tc>
        <w:tc>
          <w:tcPr>
            <w:tcW w:w="3263" w:type="dxa"/>
            <w:tcBorders/>
            <w:vAlign w:val="center"/>
          </w:tcPr>
          <w:p>
            <w:pPr>
              <w:pStyle w:val="TableContents"/>
              <w:bidi w:val="0"/>
              <w:spacing w:before="100" w:after="100"/>
              <w:jc w:val="left"/>
              <w:rPr/>
            </w:pPr>
            <w:r>
              <w:rPr/>
              <w:t>Stops Chapter 6 being simulation only</w:t>
            </w:r>
          </w:p>
        </w:tc>
      </w:tr>
      <w:tr>
        <w:trPr/>
        <w:tc>
          <w:tcPr>
            <w:tcW w:w="446" w:type="dxa"/>
            <w:tcBorders/>
            <w:vAlign w:val="center"/>
          </w:tcPr>
          <w:p>
            <w:pPr>
              <w:pStyle w:val="TableContents"/>
              <w:bidi w:val="0"/>
              <w:spacing w:before="100" w:after="100"/>
              <w:jc w:val="left"/>
              <w:rPr/>
            </w:pPr>
            <w:r>
              <w:rPr/>
              <w:t>9</w:t>
            </w:r>
          </w:p>
        </w:tc>
        <w:tc>
          <w:tcPr>
            <w:tcW w:w="6841" w:type="dxa"/>
            <w:tcBorders/>
            <w:vAlign w:val="center"/>
          </w:tcPr>
          <w:p>
            <w:pPr>
              <w:pStyle w:val="TableContents"/>
              <w:bidi w:val="0"/>
              <w:spacing w:before="100" w:after="100"/>
              <w:jc w:val="left"/>
              <w:rPr/>
            </w:pPr>
            <w:r>
              <w:rPr/>
              <w:t>Chapter 8 conclusion</w:t>
            </w:r>
          </w:p>
        </w:tc>
        <w:tc>
          <w:tcPr>
            <w:tcW w:w="789" w:type="dxa"/>
            <w:tcBorders/>
            <w:vAlign w:val="center"/>
          </w:tcPr>
          <w:p>
            <w:pPr>
              <w:pStyle w:val="TableContents"/>
              <w:bidi w:val="0"/>
              <w:spacing w:before="100" w:after="100"/>
              <w:jc w:val="left"/>
              <w:rPr/>
            </w:pPr>
            <w:r>
              <w:rPr/>
              <w:t>60 min</w:t>
            </w:r>
          </w:p>
        </w:tc>
        <w:tc>
          <w:tcPr>
            <w:tcW w:w="3263" w:type="dxa"/>
            <w:tcBorders/>
            <w:vAlign w:val="center"/>
          </w:tcPr>
          <w:p>
            <w:pPr>
              <w:pStyle w:val="TableContents"/>
              <w:bidi w:val="0"/>
              <w:spacing w:before="100" w:after="100"/>
              <w:jc w:val="left"/>
              <w:rPr/>
            </w:pPr>
            <w:r>
              <w:rPr/>
              <w:t>Required</w:t>
            </w:r>
          </w:p>
        </w:tc>
      </w:tr>
      <w:tr>
        <w:trPr/>
        <w:tc>
          <w:tcPr>
            <w:tcW w:w="446" w:type="dxa"/>
            <w:tcBorders/>
            <w:vAlign w:val="center"/>
          </w:tcPr>
          <w:p>
            <w:pPr>
              <w:pStyle w:val="TableContents"/>
              <w:bidi w:val="0"/>
              <w:spacing w:before="100" w:after="100"/>
              <w:jc w:val="left"/>
              <w:rPr/>
            </w:pPr>
            <w:r>
              <w:rPr/>
              <w:t>10</w:t>
            </w:r>
          </w:p>
        </w:tc>
        <w:tc>
          <w:tcPr>
            <w:tcW w:w="6841" w:type="dxa"/>
            <w:tcBorders/>
            <w:vAlign w:val="center"/>
          </w:tcPr>
          <w:p>
            <w:pPr>
              <w:pStyle w:val="TableContents"/>
              <w:bidi w:val="0"/>
              <w:spacing w:before="100" w:after="100"/>
              <w:jc w:val="left"/>
              <w:rPr/>
            </w:pPr>
            <w:r>
              <w:rPr/>
              <w:t>§7.1 and §7.2 figures and text; renumber Chapter 4 figures; appendix decision</w:t>
            </w:r>
          </w:p>
        </w:tc>
        <w:tc>
          <w:tcPr>
            <w:tcW w:w="789" w:type="dxa"/>
            <w:tcBorders/>
            <w:vAlign w:val="center"/>
          </w:tcPr>
          <w:p>
            <w:pPr>
              <w:pStyle w:val="TableContents"/>
              <w:bidi w:val="0"/>
              <w:spacing w:before="100" w:after="100"/>
              <w:jc w:val="left"/>
              <w:rPr/>
            </w:pPr>
            <w:r>
              <w:rPr/>
              <w:t>45 min</w:t>
            </w:r>
          </w:p>
        </w:tc>
        <w:tc>
          <w:tcPr>
            <w:tcW w:w="3263" w:type="dxa"/>
            <w:tcBorders/>
            <w:vAlign w:val="center"/>
          </w:tcPr>
          <w:p>
            <w:pPr>
              <w:pStyle w:val="TableContents"/>
              <w:bidi w:val="0"/>
              <w:spacing w:before="100" w:after="100"/>
              <w:jc w:val="left"/>
              <w:rPr/>
            </w:pPr>
            <w:r>
              <w:rPr/>
              <w:t>Polish</w:t>
            </w:r>
          </w:p>
        </w:tc>
      </w:tr>
    </w:tbl>
    <w:p>
      <w:pPr>
        <w:pStyle w:val="BodyText"/>
        <w:bidi w:val="0"/>
        <w:spacing w:before="200" w:after="100"/>
        <w:ind w:hanging="0" w:left="0" w:right="0"/>
        <w:jc w:val="left"/>
        <w:rPr>
          <w:color w:val="444444"/>
          <w:sz w:val="20"/>
        </w:rPr>
      </w:pPr>
      <w:r>
        <w:rPr>
          <w:color w:val="444444"/>
          <w:sz w:val="20"/>
        </w:rPr>
        <w:t>Items 1 to 5 change an examiner's impression most per minute spent. Item 9 is not optional. Items 10 and the optional Figure 6.3c are the first things to drop if time runs short.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ans-serif">
    <w:altName w:val="Arial"/>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247" w:after="1247"/>
      <w:ind w:left="1134" w:right="1134"/>
    </w:pPr>
    <w:rPr>
      <w:rFonts w:ascii="Liberation Serif;Georgia;serif" w:hAnsi="Liberation Serif;Georgia;serif" w:eastAsia="Liberation Serif;Georgia;serif" w:cs="Liberation Serif;Georgia;serif"/>
      <w:color w:val="111111"/>
      <w:sz w:val="22"/>
      <w:szCs w:val="22"/>
      <w:lang w:val="en-US" w:eastAsia="zh-CN" w:bidi="hi-IN"/>
    </w:rPr>
  </w:style>
  <w:style w:type="paragraph" w:styleId="Heading1">
    <w:name w:val="heading 1"/>
    <w:basedOn w:val="Heading"/>
    <w:next w:val="BodyText"/>
    <w:qFormat/>
    <w:pPr>
      <w:pBdr>
        <w:bottom w:val="single" w:sz="12" w:space="6" w:color="1A3D7C"/>
      </w:pBdr>
      <w:spacing w:before="240" w:after="40"/>
    </w:pPr>
    <w:rPr>
      <w:b/>
      <w:bCs/>
      <w:sz w:val="40"/>
      <w:szCs w:val="40"/>
    </w:rPr>
  </w:style>
  <w:style w:type="paragraph" w:styleId="Heading2">
    <w:name w:val="heading 2"/>
    <w:basedOn w:val="Heading"/>
    <w:next w:val="BodyText"/>
    <w:qFormat/>
    <w:pPr>
      <w:keepNext w:val="true"/>
      <w:pBdr>
        <w:bottom w:val="single" w:sz="2" w:space="3" w:color="C9D4E8"/>
      </w:pBdr>
      <w:spacing w:before="440" w:after="120"/>
      <w:ind w:left="440" w:right="440"/>
      <w:outlineLvl w:val="1"/>
    </w:pPr>
    <w:rPr>
      <w:rFonts w:ascii="Liberation Serif" w:hAnsi="Liberation Serif" w:eastAsia="Noto Serif CJK SC" w:cs="Noto Sans Devanagari"/>
      <w:b/>
      <w:bCs/>
      <w:color w:val="1A3D7C"/>
      <w:sz w:val="29"/>
      <w:szCs w:val="29"/>
    </w:rPr>
  </w:style>
  <w:style w:type="paragraph" w:styleId="Heading3">
    <w:name w:val="heading 3"/>
    <w:basedOn w:val="Heading"/>
    <w:next w:val="BodyText"/>
    <w:qFormat/>
    <w:pPr>
      <w:keepNext w:val="true"/>
      <w:spacing w:before="300" w:after="80"/>
      <w:ind w:left="300" w:right="300"/>
      <w:outlineLvl w:val="2"/>
    </w:pPr>
    <w:rPr>
      <w:rFonts w:ascii="Liberation Serif" w:hAnsi="Liberation Serif" w:eastAsia="Noto Serif CJK SC" w:cs="Noto Sans Devanagari"/>
      <w:b/>
      <w:bCs/>
      <w:color w:val="22314D"/>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8"/>
      <w:szCs w:val="18"/>
      <w:shd w:fill="EEF2F9"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left="100" w:right="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lead">
    <w:name w:val="Body Text.lead"/>
    <w:basedOn w:val="BodyText"/>
    <w:qFormat/>
    <w:pPr/>
    <w:rPr>
      <w:color w:val="333333"/>
      <w:sz w:val="21"/>
      <w:szCs w:val="21"/>
    </w:rPr>
  </w:style>
  <w:style w:type="paragraph" w:styleId="TableHeading">
    <w:name w:val="Table Heading"/>
    <w:basedOn w:val="TableContents"/>
    <w:qFormat/>
    <w:pPr>
      <w:suppressLineNumbers/>
      <w:shd w:fill="1A3D7C"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claude-1000/-mnt-windows-Users-ayana-Documents-Finland-UTU-Masters-Thesis-polarizing-dome/61eac69e-f8de-42e9-a771-018cb0984497/scratchpad/build/NEW_fig_3_1_azimuth_conventions.png" TargetMode="External"/><Relationship Id="rId3" Type="http://schemas.openxmlformats.org/officeDocument/2006/relationships/image" Target="file:///tmp/claude-1000/-mnt-windows-Users-ayana-Documents-Finland-UTU-Masters-Thesis-polarizing-dome/61eac69e-f8de-42e9-a771-018cb0984497/scratchpad/build/NEW_fig_3_3_dop_vs_scattering_angle.png" TargetMode="External"/><Relationship Id="rId4" Type="http://schemas.openxmlformats.org/officeDocument/2006/relationships/image" Target="file:///tmp/claude-1000/-mnt-windows-Users-ayana-Documents-Finland-UTU-Masters-Thesis-polarizing-dome/61eac69e-f8de-42e9-a771-018cb0984497/scratchpad/build/NEW_fig_4_1_gore_template_R40.png" TargetMode="External"/><Relationship Id="rId5" Type="http://schemas.openxmlformats.org/officeDocument/2006/relationships/image" Target="file:///tmp/claude-1000/-mnt-windows-Users-ayana-Documents-Finland-UTU-Masters-Thesis-polarizing-dome/61eac69e-f8de-42e9-a771-018cb0984497/scratchpad/build/NEW_fig_4_4_processing_pipeline.png" TargetMode="External"/><Relationship Id="rId6" Type="http://schemas.openxmlformats.org/officeDocument/2006/relationships/image" Target="file:///tmp/claude-1000/-mnt-windows-Users-ayana-Documents-Finland-UTU-Masters-Thesis-polarizing-dome/61eac69e-f8de-42e9-a771-018cb0984497/scratchpad/build/NEW_fig_5_1_exposure_bracket.png" TargetMode="External"/><Relationship Id="rId7" Type="http://schemas.openxmlformats.org/officeDocument/2006/relationships/image" Target="file:///tmp/claude-1000/-mnt-windows-Users-ayana-Documents-Finland-UTU-Masters-Thesis-polarizing-dome/61eac69e-f8de-42e9-a771-018cb0984497/scratchpad/build/NEW_fig_6_2_azimuth_profile.png" TargetMode="External"/><Relationship Id="rId8" Type="http://schemas.openxmlformats.org/officeDocument/2006/relationships/image" Target="file:///tmp/claude-1000/-mnt-windows-Users-ayana-Documents-Finland-UTU-Masters-Thesis-polarizing-dome/61eac69e-f8de-42e9-a771-018cb0984497/scratchpad/build/NEW_fig_6_3a_error_by_condition.png" TargetMode="External"/><Relationship Id="rId9" Type="http://schemas.openxmlformats.org/officeDocument/2006/relationships/image" Target="file:///tmp/claude-1000/-mnt-windows-Users-ayana-Documents-Finland-UTU-Masters-Thesis-polarizing-dome/61eac69e-f8de-42e9-a771-018cb0984497/scratchpad/build/NEW_fig_6_3b_error_distributions.png" TargetMode="External"/><Relationship Id="rId10" Type="http://schemas.openxmlformats.org/officeDocument/2006/relationships/image" Target="file:///tmp/claude-1000/-mnt-windows-Users-ayana-Documents-Finland-UTU-Masters-Thesis-polarizing-dome/61eac69e-f8de-42e9-a771-018cb0984497/scratchpad/build/NEW_fig_6_3c_error_vs_elevation.png" TargetMode="External"/><Relationship Id="rId11" Type="http://schemas.openxmlformats.org/officeDocument/2006/relationships/image" Target="file:///tmp/claude-1000/-mnt-windows-Users-ayana-Documents-Finland-UTU-Masters-Thesis-polarizing-dome/61eac69e-f8de-42e9-a771-018cb0984497/scratchpad/build/NEW_fig_6_4a_exposure_disc_tradeoff.png" TargetMode="External"/><Relationship Id="rId12" Type="http://schemas.openxmlformats.org/officeDocument/2006/relationships/image" Target="file:///tmp/claude-1000/-mnt-windows-Users-ayana-Documents-Finland-UTU-Masters-Thesis-polarizing-dome/61eac69e-f8de-42e9-a771-018cb0984497/scratchpad/build/NEW_fig_6_4b_captured_frames.png" TargetMode="External"/><Relationship Id="rId13" Type="http://schemas.openxmlformats.org/officeDocument/2006/relationships/image" Target="file:///tmp/claude-1000/-mnt-windows-Users-ayana-Documents-Finland-UTU-Masters-Thesis-polarizing-dome/61eac69e-f8de-42e9-a771-018cb0984497/scratchpad/build/NEW_fig_7_1_confidence_vs_error.png" TargetMode="External"/><Relationship Id="rId14" Type="http://schemas.openxmlformats.org/officeDocument/2006/relationships/image" Target="file:///tmp/claude-1000/-mnt-windows-Users-ayana-Documents-Finland-UTU-Masters-Thesis-polarizing-dome/61eac69e-f8de-42e9-a771-018cb0984497/scratchpad/build/NEW_fig_7_2_seasonal_solar_arcs.png"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Thesis figure placement and revision guide</dc:title>
</cp:coreProperties>
</file>

<file path=docProps/custom.xml><?xml version="1.0" encoding="utf-8"?>
<Properties xmlns="http://schemas.openxmlformats.org/officeDocument/2006/custom-properties" xmlns:vt="http://schemas.openxmlformats.org/officeDocument/2006/docPropsVTypes"/>
</file>