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Replacement text for draft3, ready to paste</w:t>
      </w:r>
    </w:p>
    <w:p>
      <w:pPr>
        <w:spacing w:after="140"/>
      </w:pPr>
      <w:r>
        <w:rPr>
          <w:b w:val="0"/>
          <w:i w:val="0"/>
          <w:sz w:val="20"/>
        </w:rPr>
        <w:t>Every block below is finished thesis prose in the style of the draft: flowing sentences, no lists, no dashes used as punctuation, passive voice where a formal tone calls for it. Each block names exactly what it replaces, by section and by line number in draft3.md. Numbers are the measured ones from the 30 July runs and are reproducible by re-running the code.</w:t>
      </w:r>
    </w:p>
    <w:p>
      <w:pPr>
        <w:spacing w:after="140"/>
      </w:pPr>
      <w:r>
        <w:rPr>
          <w:b w:val="0"/>
          <w:i w:val="0"/>
          <w:sz w:val="20"/>
        </w:rPr>
        <w:t>This supersedes the 30 July THESIS_REPLACEMENT_TEXT, which was written against thesis1.md. Six of the nineteen blocks in that file are now obsolete, because draft3 has fixed the problems they addressed. Eight blocks are new. Where a block says REPLACES, delete the named passage entirely and paste this in its place; where it says INSERT, add it at the point named.</w:t>
      </w:r>
    </w:p>
    <w:p>
      <w:pPr>
        <w:spacing w:after="200"/>
        <w:ind w:left="72"/>
        <w:pBdr>
          <w:left w:val="single" w:sz="18" w:space="10" w:color="16305C"/>
        </w:pBdr>
        <w:shd w:val="clear" w:fill="F1F5FB"/>
      </w:pPr>
      <w:r>
        <w:rPr>
          <w:sz w:val="19"/>
        </w:rPr>
        <w:t>Figure numbers used below follow the clean set proposed in THESIS_FIGURE_GUIDE_draft3.pdf: 4.1 gore template, 4.4 film axis test, 5.2 exposure bracket, 6.2 modelled radiance, 6.3 azimuth wedge profile, 6.4 synthetic frames, 6.5 error by condition, 6.6 error distributions, 6.7 error against elevation, 6.8 the control pair, 7.1 confidence against error, 7.2 seasonal arcs. If you keep draft3's current numbering, adjust the references as you paste.</w:t>
      </w:r>
    </w:p>
    <w:p>
      <w:pPr>
        <w:pStyle w:val="Heading2"/>
      </w:pPr>
      <w:r>
        <w:t>What changed since the 30 July version</w:t>
      </w:r>
    </w:p>
    <w:p>
      <w:pPr>
        <w:spacing w:after="140"/>
      </w:pPr>
      <w:r>
        <w:rPr>
          <w:b/>
          <w:i w:val="0"/>
          <w:sz w:val="20"/>
        </w:rPr>
        <w:t xml:space="preserve">Obsolete, do not paste. </w:t>
      </w:r>
      <w:r>
        <w:rPr>
          <w:b w:val="0"/>
          <w:i w:val="0"/>
          <w:sz w:val="20"/>
        </w:rPr>
        <w:t>draft3 has overtaken six of the old blocks. §4.2 now carries the correct R = 40 mm geometry, so the old Block 5 no longer applies as a whole-section replacement. §5.4 has been rewritten and now contains the honesty argument the old Block 10 was going to add. The abstract, the keywords and the AI declaration are no longer placeholders. Chapter 8 is no longer empty.</w:t>
      </w:r>
    </w:p>
    <w:p>
      <w:pPr>
        <w:spacing w:after="140"/>
      </w:pPr>
      <w:r>
        <w:rPr>
          <w:b/>
          <w:i w:val="0"/>
          <w:sz w:val="20"/>
        </w:rPr>
        <w:t xml:space="preserve">Still needed, re-anchored. </w:t>
      </w:r>
      <w:r>
        <w:rPr>
          <w:b w:val="0"/>
          <w:i w:val="0"/>
          <w:sz w:val="20"/>
        </w:rPr>
        <w:t>Fourteen blocks carry over with new line numbers, and several with adjusted wording, because the surrounding sentences in draft3 differ from thesis1.</w:t>
      </w:r>
    </w:p>
    <w:p>
      <w:pPr>
        <w:spacing w:after="140"/>
      </w:pPr>
      <w:r>
        <w:rPr>
          <w:b/>
          <w:i w:val="0"/>
          <w:sz w:val="20"/>
        </w:rPr>
        <w:t xml:space="preserve">New in this version. </w:t>
      </w:r>
      <w:r>
        <w:rPr>
          <w:b w:val="0"/>
          <w:i w:val="0"/>
          <w:sz w:val="20"/>
        </w:rPr>
        <w:t>The §7.1 first limitation that prompted your supervisor's question; a new §6.4 written on the assumption that the dome photograph works; the Table 2.1 row; the two §5.1 numbers that do not reproduce; the §4.2 prototype-geometry paragraph, whose English is currently garbled; and a rewrite of the existing conclusion rather than a fill for an empty one.</w:t>
      </w:r>
    </w:p>
    <w:p>
      <w:pPr>
        <w:pStyle w:val="Heading2"/>
      </w:pPr>
      <w:r>
        <w:t>1. Abstract</w:t>
      </w:r>
    </w:p>
    <w:p>
      <w:pPr>
        <w:spacing w:after="160"/>
      </w:pPr>
      <w:r>
        <w:rPr>
          <w:b/>
          <w:color w:val="8B1A1A"/>
          <w:sz w:val="19"/>
        </w:rPr>
        <w:t xml:space="preserve">REPLACES  </w:t>
      </w:r>
      <w:r>
        <w:rPr>
          <w:color w:val="555555"/>
          <w:sz w:val="19"/>
        </w:rPr>
        <w:t>the whole abstract, draft3 lines 20 to 56. The existing version states the problem and the design but reports no result, and an examiner reads the abstract first.</w:t>
      </w:r>
    </w:p>
    <w:p>
      <w:pPr>
        <w:spacing w:after="160"/>
        <w:ind w:left="403"/>
        <w:jc w:val="both"/>
        <w:pBdr>
          <w:left w:val="single" w:sz="18" w:space="10" w:color="1F7A4D"/>
        </w:pBdr>
        <w:shd w:val="clear" w:fill="F4F9F6"/>
      </w:pPr>
      <w:r>
        <w:rPr>
          <w:rFonts w:ascii="Georgia" w:hAnsi="Georgia"/>
          <w:sz w:val="21"/>
        </w:rPr>
        <w:t>Navigation without a satellite fix remains a persistent difficulty for mobile robots, because an inertial measurement unit accumulates heading error over time and the alternatives each fail under some common condition. Many insects solve the same problem with a sky compass, reading the polarisation pattern of scattered sunlight through a specialised band of photoreceptors along the dorsal margin of the eye. That pattern is fixed geometrically to the position of the sun and survives partial cloud, which makes it an attractive basis for a passive heading reference that requires no external infrastructure and draws very little power.</w:t>
      </w:r>
    </w:p>
    <w:p>
      <w:pPr>
        <w:spacing w:after="160"/>
        <w:ind w:left="403"/>
        <w:jc w:val="both"/>
        <w:pBdr>
          <w:left w:val="single" w:sz="18" w:space="10" w:color="1F7A4D"/>
        </w:pBdr>
        <w:shd w:val="clear" w:fill="F4F9F6"/>
      </w:pPr>
      <w:r>
        <w:rPr>
          <w:rFonts w:ascii="Georgia" w:hAnsi="Georgia"/>
          <w:sz w:val="21"/>
        </w:rPr>
        <w:t>This thesis designs and evaluates such a compass for operation at high latitude. A low cost fisheye camera images the sky hemisphere through a passive dome of linear polarising film, assembled from eight gores of radius 40 millimetres whose transmission axes fan radially outward from the apex, so that the whole sky polarisation pattern is recorded in a single exposure through a single lens. Heading is recovered by analysis by synthesis, in which the expected intensity pattern is rendered for every candidate azimuth and the candidate correlating most strongly with the measurement is selected. Ground truth is supplied by a solar position model for Turku at latitude 60.45 degrees North, implemented twice from independent derivations that agree to within a few thousandths of a degree at both solstices, so that every frame labels itself through its capture time.</w:t>
      </w:r>
    </w:p>
    <w:p>
      <w:pPr>
        <w:spacing w:after="160"/>
        <w:ind w:left="403"/>
        <w:jc w:val="both"/>
        <w:pBdr>
          <w:left w:val="single" w:sz="18" w:space="10" w:color="1F7A4D"/>
        </w:pBdr>
        <w:shd w:val="clear" w:fill="F4F9F6"/>
      </w:pPr>
      <w:r>
        <w:rPr>
          <w:rFonts w:ascii="Georgia" w:hAnsi="Georgia"/>
          <w:sz w:val="21"/>
        </w:rPr>
        <w:t>Evaluated in simulation against 200 sun positions drawn from the real Turku daylight record, the estimator recovers the solar azimuth with a median absolute error of 0.08 degrees under a clear sky, rising to 0.78 degrees under thin cloud and 4.10 degrees under heavy cloud, where a minority of frames fail by close to 180 degrees through the solar and antisolar ambiguity. Two findings qualify the design. The radial dome, expected on geometric grounds to be the more robust of the two optical arrangements considered, proves indistinguishable from a single flat filter under a clear sky and consistently worse under cloud, because its lower pattern contrast leaves less signal above the same clutter. The confidence value produced alongside each estimate fails to separate reliable estimates from failed ones, which prevents its intended use in weighting a heading within a fusion filter. The acquisition chain was verified end to end against captured frames, and the radiometric conditions a field measurement requires are established and reported.</w:t>
      </w:r>
    </w:p>
    <w:p>
      <w:pPr>
        <w:spacing w:after="200"/>
        <w:ind w:left="72"/>
        <w:pBdr>
          <w:left w:val="single" w:sz="18" w:space="10" w:color="C07A10"/>
        </w:pBdr>
        <w:shd w:val="clear" w:fill="FDF7EC"/>
      </w:pPr>
      <w:r>
        <w:rPr>
          <w:sz w:val="19"/>
        </w:rPr>
        <w:t>Final sentence, two versions. If the dome photograph works, close with: "A frame recorded through the dome alongside a bare lens control of the same sky confirms that the instrument registers the polarisation pattern as an intensity pattern, and the results provide a foundation for a calibrated outdoor campaign and for future integration of the sky compass heading with inertial navigation." If it does not, close with: "Validation of the forward model against the real sky remains outstanding, and the results provide a foundation for that campaign and for future integration of the sky compass heading with inertial navigation."</w:t>
      </w:r>
    </w:p>
    <w:p>
      <w:pPr>
        <w:pStyle w:val="Heading2"/>
      </w:pPr>
      <w:r>
        <w:t>2. Table 2.1, your own row</w:t>
      </w:r>
    </w:p>
    <w:p>
      <w:pPr>
        <w:spacing w:after="160"/>
      </w:pPr>
      <w:r>
        <w:rPr>
          <w:b/>
          <w:color w:val="8B1A1A"/>
          <w:sz w:val="19"/>
        </w:rPr>
        <w:t xml:space="preserve">REPLACES  </w:t>
      </w:r>
      <w:r>
        <w:rPr>
          <w:color w:val="555555"/>
          <w:sz w:val="19"/>
        </w:rPr>
        <w:t>the cell reading "Reported in Chapter??" at draft3 line 492.</w:t>
      </w:r>
    </w:p>
    <w:p>
      <w:pPr>
        <w:spacing w:after="160"/>
        <w:ind w:left="403"/>
        <w:jc w:val="both"/>
        <w:pBdr>
          <w:left w:val="single" w:sz="18" w:space="10" w:color="1F7A4D"/>
        </w:pBdr>
        <w:shd w:val="clear" w:fill="F4F9F6"/>
      </w:pPr>
      <w:r>
        <w:rPr>
          <w:rFonts w:ascii="Georgia" w:hAnsi="Georgia"/>
          <w:sz w:val="21"/>
        </w:rPr>
        <w:t>Simulation only at time of writing: median absolute azimuth error 0.08 degrees under a clear sky, 0.78 degrees under thin cloud and 4.10 degrees under heavy cloud, through the flat filter (Table 6.1).</w:t>
      </w:r>
    </w:p>
    <w:p>
      <w:pPr>
        <w:spacing w:after="200"/>
        <w:ind w:left="72"/>
        <w:pBdr>
          <w:left w:val="single" w:sz="18" w:space="10" w:color="C07A10"/>
        </w:pBdr>
        <w:shd w:val="clear" w:fill="FDF7EC"/>
      </w:pPr>
      <w:r>
        <w:rPr>
          <w:sz w:val="19"/>
        </w:rPr>
        <w:t>Every other row in this table reports a field-measured accuracy while yours is a simulation figure, so the row is not directly comparable to the ones above it. Add one sentence to the table caption saying so. An examiner who notices the difference unaided will assume you did not.</w:t>
      </w:r>
    </w:p>
    <w:p>
      <w:pPr>
        <w:pStyle w:val="Heading2"/>
      </w:pPr>
      <w:r>
        <w:t>3. Section 3.1, the solstice agreement</w:t>
      </w:r>
    </w:p>
    <w:p>
      <w:pPr>
        <w:spacing w:after="160"/>
      </w:pPr>
      <w:r>
        <w:rPr>
          <w:b/>
          <w:color w:val="8B1A1A"/>
          <w:sz w:val="19"/>
        </w:rPr>
        <w:t xml:space="preserve">REPLACES  </w:t>
      </w:r>
      <w:r>
        <w:rPr>
          <w:color w:val="555555"/>
          <w:sz w:val="19"/>
        </w:rPr>
        <w:t>the two sentences at draft3 lines 615 to 626 that quote 52.99 and 6.11 degrees and claim agreement "within around 0.01 degrees".</w:t>
      </w:r>
    </w:p>
    <w:p>
      <w:pPr>
        <w:spacing w:after="160"/>
        <w:ind w:left="403"/>
        <w:jc w:val="both"/>
        <w:pBdr>
          <w:left w:val="single" w:sz="18" w:space="10" w:color="1F7A4D"/>
        </w:pBdr>
        <w:shd w:val="clear" w:fill="F4F9F6"/>
      </w:pPr>
      <w:r>
        <w:rPr>
          <w:rFonts w:ascii="Georgia" w:hAnsi="Georgia"/>
          <w:sz w:val="21"/>
        </w:rPr>
        <w:t>Solar elevation is given by a continuous curve, which follows the seasonal variation, together with two horizontal dashed lines marking the analytic solstice elevations of 52.988 degrees in summer and 6.108 degrees in winter, calculated directly from the latitude of Turku and the tilt of the Earth's axis without recourse to any numerical model. The computed curve meets both reference values on the expected days, returning 52.986 and 6.110 degrees, so the two independent routes agree to within two thousandths of a degree.</w:t>
      </w:r>
    </w:p>
    <w:p>
      <w:pPr>
        <w:spacing w:after="200"/>
        <w:ind w:left="72"/>
        <w:pBdr>
          <w:left w:val="single" w:sz="18" w:space="10" w:color="C07A10"/>
        </w:pBdr>
        <w:shd w:val="clear" w:fill="FDF7EC"/>
      </w:pPr>
      <w:r>
        <w:rPr>
          <w:sz w:val="19"/>
        </w:rPr>
        <w:t>Re-run turku_sun.py and quote what it prints before you paste this. The four numbers above are from the 30 July run. The figure caption at line 621 claims agreement within 0.01 degrees, which is true but understates it; either leave the caption alone or tighten it to match.</w:t>
      </w:r>
    </w:p>
    <w:p>
      <w:pPr>
        <w:pStyle w:val="Heading2"/>
      </w:pPr>
      <w:r>
        <w:t>4. Section 3.3, the iso-contour correction</w:t>
      </w:r>
    </w:p>
    <w:p>
      <w:pPr>
        <w:spacing w:after="160"/>
      </w:pPr>
      <w:r>
        <w:rPr>
          <w:b/>
          <w:color w:val="8B1A1A"/>
          <w:sz w:val="19"/>
        </w:rPr>
        <w:t xml:space="preserve">REPLACES  </w:t>
      </w:r>
      <w:r>
        <w:rPr>
          <w:color w:val="555555"/>
          <w:sz w:val="19"/>
        </w:rPr>
        <w:t>draft3 lines 730 to 733, from "At any point in the sky, the Angle of Polarisation" to "as the sun moves across the sky [29]." The same error is repeated at lines 749 to 753 and must be corrected there too.</w:t>
      </w:r>
    </w:p>
    <w:p>
      <w:pPr>
        <w:spacing w:after="160"/>
        <w:ind w:left="403"/>
        <w:jc w:val="both"/>
        <w:pBdr>
          <w:left w:val="single" w:sz="18" w:space="10" w:color="1F7A4D"/>
        </w:pBdr>
        <w:shd w:val="clear" w:fill="F4F9F6"/>
      </w:pPr>
      <w:r>
        <w:rPr>
          <w:rFonts w:ascii="Georgia" w:hAnsi="Georgia"/>
          <w:sz w:val="21"/>
        </w:rPr>
        <w:t>At any point in the sky the angle of polarisation lies perpendicular to the great circle that joins that point to the sun. Contours of constant scattering angle, and with them contours of constant degree of polarisation, form rings centred on the solar position, while the contours of the angle of polarisation itself follow the family of great circles through the sun and are not rings. The whole pattern rotates rigidly with the sun rather than changing shape, which is the property a sky compass exploits, since the orientation of the pattern gives the direction of the sun even when the solar disk is obscured.</w:t>
      </w:r>
    </w:p>
    <w:p>
      <w:pPr>
        <w:spacing w:after="200"/>
        <w:ind w:left="72"/>
        <w:pBdr>
          <w:left w:val="single" w:sz="18" w:space="10" w:color="A32020"/>
        </w:pBdr>
        <w:shd w:val="clear" w:fill="FDF1F1"/>
      </w:pPr>
      <w:r>
        <w:rPr>
          <w:sz w:val="19"/>
        </w:rPr>
        <w:t>Your own Figure 3.2 caption already states this correctly, so as draft3 stands the text contradicts the figure on the same page. Line 751, "contours of constant angle of polarisation are seen as concentric rings centered on the position of the sun", is the second instance and is the more visible of the two.</w:t>
      </w:r>
    </w:p>
    <w:p>
      <w:pPr>
        <w:pStyle w:val="Heading2"/>
      </w:pPr>
      <w:r>
        <w:t>5. Section 3.3, the dome transmission paragraph</w:t>
      </w:r>
    </w:p>
    <w:p>
      <w:pPr>
        <w:spacing w:after="160"/>
      </w:pPr>
      <w:r>
        <w:rPr>
          <w:b/>
          <w:color w:val="8B1A1A"/>
          <w:sz w:val="19"/>
        </w:rPr>
        <w:t xml:space="preserve">REPLACES  </w:t>
      </w:r>
      <w:r>
        <w:rPr>
          <w:color w:val="555555"/>
          <w:sz w:val="19"/>
        </w:rPr>
        <w:t>the final paragraph of §3.3, draft3 lines 808 to 822, from "The way the film axes are arranged across the dome therefore fixes" to the end of the section.</w:t>
      </w:r>
    </w:p>
    <w:p>
      <w:pPr>
        <w:spacing w:after="160"/>
        <w:ind w:left="403"/>
        <w:jc w:val="both"/>
        <w:pBdr>
          <w:left w:val="single" w:sz="18" w:space="10" w:color="1F7A4D"/>
        </w:pBdr>
        <w:shd w:val="clear" w:fill="F4F9F6"/>
      </w:pPr>
      <w:r>
        <w:rPr>
          <w:rFonts w:ascii="Georgia" w:hAnsi="Georgia"/>
          <w:sz w:val="21"/>
        </w:rPr>
        <w:t>The way the film axes are arranged across the dome fixes where the low transmission band falls in the image, and the two build options behave differently in a way that matters for estimation. A single flat filter with one fixed axis places its band of low transmission according to that axis alone, so the band sits across the sky without regard to the sun and carries no direct information about the solar azimuth. A dome whose axes are arranged radially behaves otherwise. Along the solar meridian the electric field vector of the scattered light is tangential in the image while the transmission axis of the dome is radial, so the two stand a quarter turn apart and the transmitted intensity is minimised along the whole great circle that runs from the sun through the zenith to the antisolar point. The dark axis of the image therefore marks the solar meridian. The two ends of that axis are not equally dark, because the degree of polarisation is small close to the sun and largest a quarter turn away from it, with the consequence that the antisolar end is the deeper of the two. What identifies which end of the meridian holds the sun is thus the brightness asymmetry between the ends rather than the position of the darkest point, and this asymmetry is what the estimator relies upon to resolve the solar and antisolar ambiguity. The behaviour was checked by rendering both cases with the polarisation model, and the result is reported quantitatively in Section 6.2.</w:t>
      </w:r>
    </w:p>
    <w:p>
      <w:pPr>
        <w:spacing w:after="200"/>
        <w:ind w:left="72"/>
        <w:pBdr>
          <w:left w:val="single" w:sz="18" w:space="10" w:color="A32020"/>
        </w:pBdr>
        <w:shd w:val="clear" w:fill="FDF1F1"/>
      </w:pPr>
      <w:r>
        <w:rPr>
          <w:sz w:val="19"/>
        </w:rPr>
        <w:t>This is the correction the measurement forces. draft3 lines 813 and 814 say the band "is placed so that it points toward the sun". Binning the rendered image into azimuth wedges puts the darkest wedge at the antisolar azimuth every time, at four solar azimuths and three elevations, with mean intensity 0.489 toward the sun against 0.293 toward the antisolar point. Your own Figure 6.2 shows it.</w:t>
      </w:r>
    </w:p>
    <w:p>
      <w:pPr>
        <w:pStyle w:val="Heading2"/>
      </w:pPr>
      <w:r>
        <w:t>6. Section 4.1, the closing sentence</w:t>
      </w:r>
    </w:p>
    <w:p>
      <w:pPr>
        <w:spacing w:after="160"/>
      </w:pPr>
      <w:r>
        <w:rPr>
          <w:b/>
          <w:color w:val="8B1A1A"/>
          <w:sz w:val="19"/>
        </w:rPr>
        <w:t xml:space="preserve">REPLACES  </w:t>
      </w:r>
      <w:r>
        <w:rPr>
          <w:color w:val="555555"/>
          <w:sz w:val="19"/>
        </w:rPr>
        <w:t>the sentence at draft3 lines 848 to 851 ending "in a more useful relationship to the sun."</w:t>
      </w:r>
    </w:p>
    <w:p>
      <w:pPr>
        <w:spacing w:after="160"/>
        <w:ind w:left="403"/>
        <w:jc w:val="both"/>
        <w:pBdr>
          <w:left w:val="single" w:sz="18" w:space="10" w:color="1F7A4D"/>
        </w:pBdr>
        <w:shd w:val="clear" w:fill="F4F9F6"/>
      </w:pPr>
      <w:r>
        <w:rPr>
          <w:rFonts w:ascii="Georgia" w:hAnsi="Georgia"/>
          <w:sz w:val="21"/>
        </w:rPr>
        <w:t>The radial dome matches the fan like sampling of the insect dorsal rim area more closely than a single flat filter, and as shown in Chapter 6 it ties the dark axis of the image to the solar meridian rather than to an arbitrary fixed direction. Chapter 6 also shows that this geometric advantage does not carry through to performance under cloud, which is discussed in Section 7.1.</w:t>
      </w:r>
    </w:p>
    <w:p>
      <w:pPr>
        <w:pStyle w:val="Heading2"/>
      </w:pPr>
      <w:r>
        <w:t>7. Section 4.2, the prototype geometry paragraph</w:t>
      </w:r>
    </w:p>
    <w:p>
      <w:pPr>
        <w:spacing w:after="160"/>
      </w:pPr>
      <w:r>
        <w:rPr>
          <w:b/>
          <w:color w:val="8B1A1A"/>
          <w:sz w:val="19"/>
        </w:rPr>
        <w:t xml:space="preserve">REPLACES  </w:t>
      </w:r>
      <w:r>
        <w:rPr>
          <w:color w:val="555555"/>
          <w:sz w:val="19"/>
        </w:rPr>
        <w:t>draft3 lines 876 to 890, from "The prototype geometry uses R = 40mm" to "The figure 4.2 shows the final prototype of the dome." The numbers here are right; the sentences are not.</w:t>
      </w:r>
    </w:p>
    <w:p>
      <w:pPr>
        <w:spacing w:after="160"/>
        <w:ind w:left="403"/>
        <w:jc w:val="both"/>
        <w:pBdr>
          <w:left w:val="single" w:sz="18" w:space="10" w:color="1F7A4D"/>
        </w:pBdr>
        <w:shd w:val="clear" w:fill="F4F9F6"/>
      </w:pPr>
      <w:r>
        <w:rPr>
          <w:rFonts w:ascii="Georgia" w:hAnsi="Georgia"/>
          <w:sz w:val="21"/>
        </w:rPr>
        <w:t>The prototype was built with R equal to 40 millimetres and N equal to 8, the eight gores corresponding to the eight principal compass directions. This radius clears the PiCam360 board, whose half diagonal is 26.9 millimetres, so that the film stands clear of the lens without rising so far above it that the rim of the dome intrudes on the horizon. These values give a gore length of 62.83 millimetres and a base width of 31.42 millimetres, and therefore a base circumference of 251.3 millimetres. All eight gores were cut from a single sheet of polarising film measuring 200 by 150 millimetres, with three further sheets left as spares. This is a considerable saving over an earlier and larger design at R equal to 90 millimetres, which would have required half a sheet for each gore and four sheets in total. The template, the sheet layout and the mount pattern are shown in Figure 4.1, and Figures 4.2 and 4.3 show the construction sequence and the assembled dome.</w:t>
      </w:r>
    </w:p>
    <w:p>
      <w:pPr>
        <w:spacing w:after="200"/>
        <w:ind w:left="72"/>
        <w:pBdr>
          <w:left w:val="single" w:sz="18" w:space="10" w:color="C07A10"/>
        </w:pBdr>
        <w:shd w:val="clear" w:fill="FDF7EC"/>
      </w:pPr>
      <w:r>
        <w:rPr>
          <w:sz w:val="19"/>
        </w:rPr>
        <w:t>The sentence at line 877 in draft3 currently reads "It cleared the PiCAM360 where the half diagonal is 26.9mm resulting the films standing not far from the lens that it's rim intrudes on the horizon", which states the opposite of what you mean: it says the rim does intrude. This is the kind of sentence an examiner stops on.</w:t>
      </w:r>
    </w:p>
    <w:p>
      <w:pPr>
        <w:pStyle w:val="Heading2"/>
      </w:pPr>
      <w:r>
        <w:t>8. Section 4.2, the film axis paragraph</w:t>
      </w:r>
    </w:p>
    <w:p>
      <w:pPr>
        <w:spacing w:after="160"/>
      </w:pPr>
      <w:r>
        <w:rPr>
          <w:b/>
          <w:color w:val="8B1A1A"/>
          <w:sz w:val="19"/>
        </w:rPr>
        <w:t xml:space="preserve">REPLACES  </w:t>
      </w:r>
      <w:r>
        <w:rPr>
          <w:color w:val="555555"/>
          <w:sz w:val="19"/>
        </w:rPr>
        <w:t>the sentence at draft3 lines 898 to 902 beginning "Fabrication follows a printable cutting guide" through "being placed at the intended angle."</w:t>
      </w:r>
    </w:p>
    <w:p>
      <w:pPr>
        <w:spacing w:after="160"/>
        <w:ind w:left="403"/>
        <w:jc w:val="both"/>
        <w:pBdr>
          <w:left w:val="single" w:sz="18" w:space="10" w:color="1F7A4D"/>
        </w:pBdr>
        <w:shd w:val="clear" w:fill="F4F9F6"/>
      </w:pPr>
      <w:r>
        <w:rPr>
          <w:rFonts w:ascii="Georgia" w:hAnsi="Georgia"/>
          <w:sz w:val="21"/>
        </w:rPr>
        <w:t>Fabrication follows a printable cutting guide that provides the petal template, the sheet layout and the assembly order. The optical function of the dome depends entirely on each gore carrying its transmission axis at the intended angle, so the axis of the film was established before any material was cut. A crossed polariser test against a display locates the axis but leaves a ninety degree ambiguity between the pass axis and the block axis, and a dome built on the wrong branch of that ambiguity would be optically inverted while appearing correct to the eye. The axis was therefore fixed by three independent observations that agree with one another. Glare reflected from a horizontal surface at a shallow angle was viewed through the film and the film rotated until the glare was dimmest, the film was held against a liquid crystal display whose own polarisation is known, and a pair of polarising sunglasses with a known vertical axis was used as a further cross check. All three observations go dark with the sheet held in landscape orientation, which places the transmission axis parallel to the long two hundred millimetre edge. Each gore was then cut with its long dimension, apex to base, lying along that edge, so that in the assembled dome the transmission axes fan outward from the apex in the radial arrangement described in Section 4.1. Figure 4.4 records one of these confirmation tests.</w:t>
      </w:r>
    </w:p>
    <w:p>
      <w:pPr>
        <w:spacing w:after="200"/>
        <w:ind w:left="72"/>
        <w:pBdr>
          <w:left w:val="single" w:sz="18" w:space="10" w:color="A32020"/>
        </w:pBdr>
        <w:shd w:val="clear" w:fill="FDF1F1"/>
      </w:pPr>
      <w:r>
        <w:rPr>
          <w:sz w:val="19"/>
        </w:rPr>
        <w:t>draft3 currently disposes of all of this in six words, "a simple crossed polarizer test". That test on its own does not determine which axis is which, so as written the draft does not establish that the dome is the right way round. You did the work and you have the photographs; this is free credit.</w:t>
      </w:r>
    </w:p>
    <w:p>
      <w:pPr>
        <w:pStyle w:val="Heading2"/>
      </w:pPr>
      <w:r>
        <w:t>9. Section 4.2, the mount and the measured dimensions</w:t>
      </w:r>
    </w:p>
    <w:p>
      <w:pPr>
        <w:spacing w:after="160"/>
      </w:pPr>
      <w:r>
        <w:rPr>
          <w:b/>
          <w:color w:val="8B1A1A"/>
          <w:sz w:val="19"/>
        </w:rPr>
        <w:t xml:space="preserve">REPLACES  </w:t>
      </w:r>
      <w:r>
        <w:rPr>
          <w:color w:val="555555"/>
          <w:sz w:val="19"/>
        </w:rPr>
        <w:t>the NOTE block at draft3 lines 891 to 897, including the dead figure placeholder, and extends the sentence at lines 912 to 915 about the flat ring.</w:t>
      </w:r>
    </w:p>
    <w:p>
      <w:pPr>
        <w:spacing w:after="160"/>
        <w:ind w:left="403"/>
        <w:jc w:val="both"/>
        <w:pBdr>
          <w:left w:val="single" w:sz="18" w:space="10" w:color="1F7A4D"/>
        </w:pBdr>
        <w:shd w:val="clear" w:fill="F4F9F6"/>
      </w:pPr>
      <w:r>
        <w:rPr>
          <w:rFonts w:ascii="Georgia" w:hAnsi="Georgia"/>
          <w:sz w:val="21"/>
        </w:rPr>
        <w:t>The gores are then cut, their axes are checked once more against the template, the sections are joined edge to edge with a small overlap, and the apex tips are gathered and fixed at the zenith. The dome is carried on a mount cut from the lid of a shipping box, which is a modest arrangement but a reversible one, and it holds the geometry well enough for a prototype. A regular octagon of circumradius 40 millimetres was drawn on the lid, giving an edge length of 30.61 millimetres and an inradius of 36.96 millimetres, and a slit was cut along each of the eight edges. Each gore carries a tuck tab measuring 8 by 28 millimetres below its base line, and the tabs fold through ninety degrees and pass into the slits, so that the bases sit on the octagon and the tips rise to meet at the apex roughly forty millimetres above the lid. The long seams are taped from outside and the apex from inside. No adhesive is applied at the base ring, which leaves a misplaced gore correctable until the seams are taped. The camera board is fixed flat at the centre of the lid with the lens pointing up, a cable slit is cut clear of the octagon, the lid is brought level with a phone level, and North is marked on the rim with a compass.</w:t>
      </w:r>
    </w:p>
    <w:p>
      <w:pPr>
        <w:spacing w:after="160"/>
        <w:ind w:left="403"/>
        <w:jc w:val="both"/>
        <w:pBdr>
          <w:left w:val="single" w:sz="18" w:space="10" w:color="1F7A4D"/>
        </w:pBdr>
        <w:shd w:val="clear" w:fill="F4F9F6"/>
      </w:pPr>
      <w:r>
        <w:rPr>
          <w:rFonts w:ascii="Georgia" w:hAnsi="Georgia"/>
          <w:sz w:val="21"/>
        </w:rPr>
        <w:t>Two dimensions were measured on the finished assembly and are recorded here so that the built object can be compared against its design. The assembled dome measured [INSERT MEASURED VALUE] millimetres in radius against a design value of 40.0 millimetres, and the octagonal mount measured [INSERT MEASURED VALUE] millimetres in circumradius against the same design value. A departure of one millimetre in the dome radius corresponds to an angular error of rather less than two degrees in the direction assigned to a point near the rim, which is small beside the other error sources identified in Chapter 6 but is recorded for completeness.</w:t>
      </w:r>
    </w:p>
    <w:p>
      <w:pPr>
        <w:spacing w:after="200"/>
        <w:ind w:left="72"/>
        <w:pBdr>
          <w:left w:val="single" w:sz="18" w:space="10" w:color="A32020"/>
        </w:pBdr>
        <w:shd w:val="clear" w:fill="FDF1F1"/>
      </w:pPr>
      <w:r>
        <w:rPr>
          <w:sz w:val="19"/>
        </w:rPr>
        <w:t>You must fill the two bracketed values. Measure the dome and the lid with a ruler while you are outside taking the photograph. If you cannot, delete the second paragraph rather than inventing numbers.</w:t>
      </w:r>
    </w:p>
    <w:p>
      <w:pPr>
        <w:spacing w:after="200"/>
        <w:ind w:left="72"/>
        <w:pBdr>
          <w:left w:val="single" w:sz="18" w:space="10" w:color="C07A10"/>
        </w:pBdr>
        <w:shd w:val="clear" w:fill="FDF7EC"/>
      </w:pPr>
      <w:r>
        <w:rPr>
          <w:sz w:val="19"/>
        </w:rPr>
        <w:t>Say plainly that the mount is a box lid. draft3 §4.3 describes a mount you do not have. The photograph will show what it is anyway, and an honest sentence about a reversible prototype mount reads far better than a discovered omission.</w:t>
      </w:r>
    </w:p>
    <w:p>
      <w:pPr>
        <w:pStyle w:val="Heading2"/>
      </w:pPr>
      <w:r>
        <w:t>10. Section 5.1, the camera settings</w:t>
      </w:r>
    </w:p>
    <w:p>
      <w:pPr>
        <w:spacing w:after="160"/>
      </w:pPr>
      <w:r>
        <w:rPr>
          <w:b/>
          <w:color w:val="8B1A1A"/>
          <w:sz w:val="19"/>
        </w:rPr>
        <w:t xml:space="preserve">REPLACES  </w:t>
      </w:r>
      <w:r>
        <w:rPr>
          <w:color w:val="555555"/>
          <w:sz w:val="19"/>
        </w:rPr>
        <w:t>the NOTE block at draft3 lines 966 to 968.</w:t>
      </w:r>
    </w:p>
    <w:p>
      <w:pPr>
        <w:spacing w:after="160"/>
        <w:ind w:left="403"/>
        <w:jc w:val="both"/>
        <w:pBdr>
          <w:left w:val="single" w:sz="18" w:space="10" w:color="1F7A4D"/>
        </w:pBdr>
        <w:shd w:val="clear" w:fill="F4F9F6"/>
      </w:pPr>
      <w:r>
        <w:rPr>
          <w:rFonts w:ascii="Georgia" w:hAnsi="Georgia"/>
          <w:sz w:val="21"/>
        </w:rPr>
        <w:t>The settings used throughout are recorded here so that the capture is reproducible. The camera presents itself as device video4 and was operated at a resolution of 1600 by 1200 pixels in the YUYV format. Gain was fixed at zero, the white balance temperature at 5000 kelvin with automatic white balance disabled, and gamma at 100. The exposure control was placed under manual command and bracketed across the values 1, 5, 20, 50, 100 and 300 in the units the driver exposes, and a fixed number of frames is discarded after the controls are applied, for the reason given at the end of this section.</w:t>
      </w:r>
    </w:p>
    <w:p>
      <w:pPr>
        <w:spacing w:after="200"/>
        <w:ind w:left="72"/>
        <w:pBdr>
          <w:left w:val="single" w:sz="18" w:space="10" w:color="C07A10"/>
        </w:pBdr>
        <w:shd w:val="clear" w:fill="FDF7EC"/>
      </w:pPr>
      <w:r>
        <w:rPr>
          <w:sz w:val="19"/>
        </w:rPr>
        <w:t>Add the value you settled on. The bracket alone does not tell the reader what the instrument runs at.</w:t>
      </w:r>
    </w:p>
    <w:p>
      <w:pPr>
        <w:pStyle w:val="Heading2"/>
      </w:pPr>
      <w:r>
        <w:t>11. Section 5.1, the two numbers that do not reproduce</w:t>
      </w:r>
    </w:p>
    <w:p>
      <w:pPr>
        <w:spacing w:after="160"/>
      </w:pPr>
      <w:r>
        <w:rPr>
          <w:b/>
          <w:color w:val="8B1A1A"/>
          <w:sz w:val="19"/>
        </w:rPr>
        <w:t xml:space="preserve">REPLACES  </w:t>
      </w:r>
      <w:r>
        <w:rPr>
          <w:color w:val="555555"/>
          <w:sz w:val="19"/>
        </w:rPr>
        <w:t>the sentence at draft3 lines 1039 to 1041, "The sky portion of Figure 5.1 is heavily saturated, with an average intensity of 220 and about 1/3 of the sky pixels being 250 or higher."</w:t>
      </w:r>
    </w:p>
    <w:p>
      <w:pPr>
        <w:spacing w:after="160"/>
        <w:ind w:left="403"/>
        <w:jc w:val="both"/>
        <w:pBdr>
          <w:left w:val="single" w:sz="18" w:space="10" w:color="1F7A4D"/>
        </w:pBdr>
        <w:shd w:val="clear" w:fill="F4F9F6"/>
      </w:pPr>
      <w:r>
        <w:rPr>
          <w:rFonts w:ascii="Georgia" w:hAnsi="Georgia"/>
          <w:sz w:val="21"/>
        </w:rPr>
        <w:t>The sky region of Figure 5.1 is heavily saturated. Measured inside the fitted disc, the mean level is 158.5 out of a possible 255 and 27.6 per cent of the pixels stand at or above 250. Where a pixel is saturated the differences in incident photon flux above the limit of the detector are lost and cannot be recovered in later processing.</w:t>
      </w:r>
    </w:p>
    <w:p>
      <w:pPr>
        <w:spacing w:after="200"/>
        <w:ind w:left="72"/>
        <w:pBdr>
          <w:left w:val="single" w:sz="18" w:space="10" w:color="A32020"/>
        </w:pBdr>
        <w:shd w:val="clear" w:fill="FDF1F1"/>
      </w:pPr>
      <w:r>
        <w:rPr>
          <w:sz w:val="19"/>
        </w:rPr>
        <w:t>The one-third figure was close and survives as 27.6 per cent; the mean of 220 does not. If you measured over a different region, say which region rather than adjusting the number.</w:t>
      </w:r>
    </w:p>
    <w:p>
      <w:pPr>
        <w:spacing w:after="200"/>
        <w:ind w:left="72"/>
        <w:pBdr>
          <w:left w:val="single" w:sz="18" w:space="10" w:color="C07A10"/>
        </w:pBdr>
        <w:shd w:val="clear" w:fill="FDF7EC"/>
      </w:pPr>
      <w:r>
        <w:rPr>
          <w:sz w:val="19"/>
        </w:rPr>
        <w:t>Line 1060 has the same problem in a different form: "the difference in intensity between frames taken 3 seconds apart was about 2.6". Two point six of what? Write "a factor of about 2.6" and quote the two means. The clearest instance in your data is the 26 July pair, where the mean fell from 152.0 to 68.3 across two seconds, a factor of 2.2.</w:t>
      </w:r>
    </w:p>
    <w:p>
      <w:pPr>
        <w:pStyle w:val="Heading2"/>
      </w:pPr>
      <w:r>
        <w:t>12. Section 5.1, the exposure bracket</w:t>
      </w:r>
    </w:p>
    <w:p>
      <w:pPr>
        <w:spacing w:after="160"/>
      </w:pPr>
      <w:r>
        <w:rPr>
          <w:b/>
          <w:color w:val="8B1A1A"/>
          <w:sz w:val="19"/>
        </w:rPr>
        <w:t xml:space="preserve">INSERT  </w:t>
      </w:r>
      <w:r>
        <w:rPr>
          <w:color w:val="555555"/>
          <w:sz w:val="19"/>
        </w:rPr>
        <w:t>after the paragraph ending "the longest exposure time that resulted in not saturating the relevant part of the sky was chosen for the further measurements", draft3 line 1047.</w:t>
      </w:r>
    </w:p>
    <w:p>
      <w:pPr>
        <w:spacing w:after="160"/>
        <w:ind w:left="403"/>
        <w:jc w:val="both"/>
        <w:pBdr>
          <w:left w:val="single" w:sz="18" w:space="10" w:color="1F7A4D"/>
        </w:pBdr>
        <w:shd w:val="clear" w:fill="F4F9F6"/>
      </w:pPr>
      <w:r>
        <w:rPr>
          <w:rFonts w:ascii="Georgia" w:hAnsi="Georgia"/>
          <w:sz w:val="21"/>
        </w:rPr>
        <w:t>The bracket is shown in Figure 5.2, and its behaviour is not the simple monotonic one that might be expected. Between the settings of 5 and 20 the recorded level does not change at all, which indicates that the driver quantises the control at the short end of its range rather than honouring every value, and this places a limit on how finely the exposure can be tuned. More striking is that the shortest setting of 1 returns a brighter frame than either of them. That reading is not a property of the exposure at all but an instance of the settling behaviour described below, since each bracket step was run as a separate short session and its first frame was captured before the manual controls had taken effect. The bracket therefore measures two things at once, and separating them requires the discard of initial frames that the acquisition software now performs.</w:t>
      </w:r>
    </w:p>
    <w:p>
      <w:pPr>
        <w:pStyle w:val="Heading2"/>
      </w:pPr>
      <w:r>
        <w:t>13. Section 5.3, the confidence definition</w:t>
      </w:r>
    </w:p>
    <w:p>
      <w:pPr>
        <w:spacing w:after="160"/>
      </w:pPr>
      <w:r>
        <w:rPr>
          <w:b/>
          <w:color w:val="8B1A1A"/>
          <w:sz w:val="19"/>
        </w:rPr>
        <w:t xml:space="preserve">INSERT  </w:t>
      </w:r>
      <w:r>
        <w:rPr>
          <w:color w:val="555555"/>
          <w:sz w:val="19"/>
        </w:rPr>
        <w:t>after the sentence ending "while a broad or multiple peak indicates an ambiguous one [40]", draft3 line 1092.</w:t>
      </w:r>
    </w:p>
    <w:p>
      <w:pPr>
        <w:spacing w:after="160"/>
        <w:ind w:left="403"/>
        <w:jc w:val="both"/>
        <w:pBdr>
          <w:left w:val="single" w:sz="18" w:space="10" w:color="1F7A4D"/>
        </w:pBdr>
        <w:shd w:val="clear" w:fill="F4F9F6"/>
      </w:pPr>
      <w:r>
        <w:rPr>
          <w:rFonts w:ascii="Georgia" w:hAnsi="Georgia"/>
          <w:sz w:val="21"/>
        </w:rPr>
        <w:t>That measure is defined precisely as the height of the correlation peak above the mean of the correlation curve, expressed in units of the standard deviation of the same curve, so that it reports how far the winning candidate stands above the general run of candidates rather than how strongly it correlates in absolute terms. The search itself proceeds in two stages, with a coarse sweep at two degree steps around the full circle followed by a refinement at quarter degree steps within two degrees of the coarse peak. Section 7.1 reports that this definition of confidence does not succeed in distinguishing a reliable estimate from a failed one, and proposes an alternative.</w:t>
      </w:r>
    </w:p>
    <w:p>
      <w:pPr>
        <w:spacing w:after="200"/>
        <w:ind w:left="72"/>
        <w:pBdr>
          <w:left w:val="single" w:sz="18" w:space="10" w:color="A32020"/>
        </w:pBdr>
        <w:shd w:val="clear" w:fill="FDF1F1"/>
      </w:pPr>
      <w:r>
        <w:rPr>
          <w:sz w:val="19"/>
        </w:rPr>
        <w:t>Chapter 7 criticises the confidence metric at length, but draft3 never defines it. A reader cannot judge the criticism without the definition.</w:t>
      </w:r>
    </w:p>
    <w:p>
      <w:pPr>
        <w:pStyle w:val="Heading2"/>
      </w:pPr>
      <w:r>
        <w:t>14. Section 5.3, the honesty caveat</w:t>
      </w:r>
    </w:p>
    <w:p>
      <w:pPr>
        <w:spacing w:after="160"/>
      </w:pPr>
      <w:r>
        <w:rPr>
          <w:b/>
          <w:color w:val="8B1A1A"/>
          <w:sz w:val="19"/>
        </w:rPr>
        <w:t xml:space="preserve">INSERT  </w:t>
      </w:r>
      <w:r>
        <w:rPr>
          <w:color w:val="555555"/>
          <w:sz w:val="19"/>
        </w:rPr>
        <w:t>at the end of §5.3, in place of the sentences about the learned regressor at draft3 lines 1102 to 1106, which move to §7.3 as Block 24.</w:t>
      </w:r>
    </w:p>
    <w:p>
      <w:pPr>
        <w:spacing w:after="160"/>
        <w:ind w:left="403"/>
        <w:jc w:val="both"/>
        <w:pBdr>
          <w:left w:val="single" w:sz="18" w:space="10" w:color="1F7A4D"/>
        </w:pBdr>
        <w:shd w:val="clear" w:fill="F4F9F6"/>
      </w:pPr>
      <w:r>
        <w:rPr>
          <w:rFonts w:ascii="Georgia" w:hAnsi="Georgia"/>
          <w:sz w:val="21"/>
        </w:rPr>
        <w:t>One property of this arrangement should be stated before any accuracy figure is reported. The estimator renders its candidate patterns with the same forward model that generates the synthetic frames of Section 5.4, so on clean synthetic data it recovers the azimuth to a fraction of a degree partly by construction. What such a result establishes is that the search, the projection geometry and the coordinate conventions are mutually consistent, which is a necessary condition and not a sufficient one. The degraded conditions, in which the assumed maximum degree of polarisation no longer matches the value used to render the frame, are the more informative figures, and only measurements against the real sky can settle whether the forward model resembles it.</w:t>
      </w:r>
    </w:p>
    <w:p>
      <w:pPr>
        <w:pStyle w:val="Heading2"/>
      </w:pPr>
      <w:r>
        <w:t>15. Section 5.4, the qualifier and the dataset numbers</w:t>
      </w:r>
    </w:p>
    <w:p>
      <w:pPr>
        <w:spacing w:after="160"/>
      </w:pPr>
      <w:r>
        <w:rPr>
          <w:b/>
          <w:color w:val="8B1A1A"/>
          <w:sz w:val="19"/>
        </w:rPr>
        <w:t xml:space="preserve">REPLACES  </w:t>
      </w:r>
      <w:r>
        <w:rPr>
          <w:color w:val="555555"/>
          <w:sz w:val="19"/>
        </w:rPr>
        <w:t>the sentence at draft3 lines 1109 to 1111, and adds one paragraph at the end of the first paragraph of §5.4.</w:t>
      </w:r>
    </w:p>
    <w:p>
      <w:pPr>
        <w:spacing w:after="160"/>
        <w:ind w:left="403"/>
        <w:jc w:val="both"/>
        <w:pBdr>
          <w:left w:val="single" w:sz="18" w:space="10" w:color="1F7A4D"/>
        </w:pBdr>
        <w:shd w:val="clear" w:fill="F4F9F6"/>
      </w:pPr>
      <w:r>
        <w:rPr>
          <w:rFonts w:ascii="Georgia" w:hAnsi="Georgia"/>
          <w:sz w:val="21"/>
        </w:rPr>
        <w:t>Labelled data are useful for developing and testing the estimator before a sufficiently large set of controlled real-world captures is available. A photograph taken without a polarising element in the optical path records intensity alone and retains no information about the orientation of the electric field, so an archive of ordinary sky imagery cannot supply the labelled polarisation frames the estimator needs. This is a property of unfiltered photography and not a limitation of the instrument, since the dome is precisely the element that converts the sky polarisation into an intensity pattern the sensor can record. For this reason synthetic data were investigated during the development of the system.</w:t>
      </w:r>
    </w:p>
    <w:p>
      <w:pPr>
        <w:spacing w:after="160"/>
        <w:ind w:left="403"/>
        <w:jc w:val="both"/>
        <w:pBdr>
          <w:left w:val="single" w:sz="18" w:space="10" w:color="1F7A4D"/>
        </w:pBdr>
        <w:shd w:val="clear" w:fill="F4F9F6"/>
      </w:pPr>
      <w:r>
        <w:rPr>
          <w:rFonts w:ascii="Georgia" w:hAnsi="Georgia"/>
          <w:sz w:val="21"/>
        </w:rPr>
        <w:t>Two labelled sets were produced with this generator, one for each optical arrangement. Each contains two thousand frames rendered at sun positions drawn from the 5972 real daylight positions computed for Turku over the evaluation window, spanning solar azimuths from 50.2 to 310.7 degrees and elevations from 5.0 to 53.0 degrees, and each frame is labelled with the coordinated universal time of the position that produced it together with the corresponding azimuth and elevation, so that the ground truth is exact rather than estimated and the labelling requires no manual annotation.</w:t>
      </w:r>
    </w:p>
    <w:p>
      <w:pPr>
        <w:spacing w:after="200"/>
        <w:ind w:left="72"/>
        <w:pBdr>
          <w:left w:val="single" w:sz="18" w:space="10" w:color="A32020"/>
        </w:pBdr>
        <w:shd w:val="clear" w:fill="FDF1F1"/>
      </w:pPr>
      <w:r>
        <w:rPr>
          <w:sz w:val="19"/>
        </w:rPr>
        <w:t>§5.4 is otherwise good in draft3 and needs no further change. It already contains the argument that a faithful synthetic image requires far more than the position of the sun, which is the strongest paragraph in Chapter 5. The first sentence is the only one that reads as though the camera cannot see polarisation.</w:t>
      </w:r>
    </w:p>
    <w:p>
      <w:pPr>
        <w:spacing w:after="200"/>
        <w:ind w:left="72"/>
        <w:pBdr>
          <w:left w:val="single" w:sz="18" w:space="10" w:color="C07A10"/>
        </w:pBdr>
        <w:shd w:val="clear" w:fill="FDF7EC"/>
      </w:pPr>
      <w:r>
        <w:rPr>
          <w:sz w:val="19"/>
        </w:rPr>
        <w:t>The second paragraph is optional. Paste it only if you keep the synthetic datasets in the thesis. If you drop them, delete the paragraph rather than leaving numbers unattached to anything.</w:t>
      </w:r>
    </w:p>
    <w:p>
      <w:pPr>
        <w:pStyle w:val="Heading2"/>
      </w:pPr>
      <w:r>
        <w:t>16. Section 6.1, the coverage correction</w:t>
      </w:r>
    </w:p>
    <w:p>
      <w:pPr>
        <w:spacing w:after="160"/>
      </w:pPr>
      <w:r>
        <w:rPr>
          <w:b/>
          <w:color w:val="8B1A1A"/>
          <w:sz w:val="19"/>
        </w:rPr>
        <w:t xml:space="preserve">REPLACES  </w:t>
      </w:r>
      <w:r>
        <w:rPr>
          <w:color w:val="555555"/>
          <w:sz w:val="19"/>
        </w:rPr>
        <w:t>the paragraph at draft3 lines 1205 to 1209 beginning "The total number of daylight solar positions calculated over the evaluation window is 5972."</w:t>
      </w:r>
    </w:p>
    <w:p>
      <w:pPr>
        <w:spacing w:after="160"/>
        <w:ind w:left="403"/>
        <w:jc w:val="both"/>
        <w:pBdr>
          <w:left w:val="single" w:sz="18" w:space="10" w:color="1F7A4D"/>
        </w:pBdr>
        <w:shd w:val="clear" w:fill="F4F9F6"/>
      </w:pPr>
      <w:r>
        <w:rPr>
          <w:rFonts w:ascii="Georgia" w:hAnsi="Georgia"/>
          <w:sz w:val="21"/>
        </w:rPr>
        <w:t>Two populations of solar positions are referred to in this chapter and it is worth separating them plainly. Figure 6.1 plots every position at which the sun stands at or above the horizon over the evaluation window, of which there are 6740, and these span azimuths from about 35 to 325 degrees. The estimator, however, was tested only on positions at which the sun stands at least five degrees above the horizon, of which there are 5972, and these span a narrower range of about 50 to 311 degrees. The five degree floor is deliberate, since both the Rayleigh model and the horizon mask lose their meaning close to the horizon, where the single scattering assumption is weakest and the optical path through the atmosphere is longest. The test set used in Section 6.3 is a random sample drawn from the 5972 positions above that floor. Sampling in this way allows the evaluation to span a wide range of azimuths, elevations, times of day and dates rather than a few hand picked solar positions.</w:t>
      </w:r>
    </w:p>
    <w:p>
      <w:pPr>
        <w:spacing w:after="200"/>
        <w:ind w:left="72"/>
        <w:pBdr>
          <w:left w:val="single" w:sz="18" w:space="10" w:color="C07A10"/>
        </w:pBdr>
        <w:shd w:val="clear" w:fill="FDF7EC"/>
      </w:pPr>
      <w:r>
        <w:rPr>
          <w:sz w:val="19"/>
        </w:rPr>
        <w:t>Separately, the window 14 May to 14 July is described at line 1167 as "the two months leading up to the capture campaign", but the campaign ran from 26 to 30 July. Either reword, or shift the window to 31 May to 31 July, which gives 5965 positions with identical ranges.</w:t>
      </w:r>
    </w:p>
    <w:p>
      <w:pPr>
        <w:pStyle w:val="Heading2"/>
      </w:pPr>
      <w:r>
        <w:t>17. Section 6.2, complete replacement</w:t>
      </w:r>
    </w:p>
    <w:p>
      <w:pPr>
        <w:spacing w:after="160"/>
      </w:pPr>
      <w:r>
        <w:rPr>
          <w:b/>
          <w:color w:val="8B1A1A"/>
          <w:sz w:val="19"/>
        </w:rPr>
        <w:t xml:space="preserve">REPLACES  </w:t>
      </w:r>
      <w:r>
        <w:rPr>
          <w:color w:val="555555"/>
          <w:sz w:val="19"/>
        </w:rPr>
        <w:t>the whole of §6.2, draft3 lines 1220 to 1272, including the long NEW note block.</w:t>
      </w:r>
    </w:p>
    <w:p>
      <w:pPr>
        <w:spacing w:after="160"/>
        <w:ind w:left="403"/>
        <w:jc w:val="both"/>
        <w:pBdr>
          <w:left w:val="single" w:sz="18" w:space="10" w:color="1F7A4D"/>
        </w:pBdr>
        <w:shd w:val="clear" w:fill="F4F9F6"/>
      </w:pPr>
      <w:r>
        <w:rPr>
          <w:rFonts w:ascii="Georgia" w:hAnsi="Georgia"/>
          <w:sz w:val="21"/>
        </w:rPr>
        <w:t>The geometric argument for the radial dome was tested by rendering the intensity pattern each build option produces for the same sun, so that any difference between them comes from the optic alone. Figure 6.2 shows the two cases for a sun at an azimuth of 135 degrees and an elevation of 30 degrees, with image up corresponding to North. Both panels display a four lobed pinwheel structure, which arises from the factor cos(2(AoP minus alpha)) in Malus's law, since the transmitted intensity completes two full cycles as the analyser angle turns once around the circle. The flat filter produces markedly higher contrast between its light and dark lobes, while the radial arrangement produces a smoother and flatter field.</w:t>
      </w:r>
    </w:p>
    <w:p>
      <w:pPr>
        <w:spacing w:after="160"/>
        <w:ind w:left="403"/>
        <w:jc w:val="both"/>
        <w:pBdr>
          <w:left w:val="single" w:sz="18" w:space="10" w:color="1F7A4D"/>
        </w:pBdr>
        <w:shd w:val="clear" w:fill="F4F9F6"/>
      </w:pPr>
      <w:r>
        <w:rPr>
          <w:rFonts w:ascii="Georgia" w:hAnsi="Georgia"/>
          <w:sz w:val="21"/>
        </w:rPr>
        <w:t>The rendering does not support the expectation that the radial dome places a dark band on the sun, and the quantitative form of the comparison is given in Figure 6.3, which reports the mean transmitted intensity in five degree azimuth wedges taken between a quarter and 0.95 of the disc radius. For the flat filter the two minima fall at about 10 and 270 degrees, positions fixed by the film axis and bearing no relation to the sun at 135 degrees. For the radial dome the deepest minimum falls at 315 degrees, which is the antisolar azimuth, with a shallower minimum toward the sun itself. Averaged over a forty degree wedge, the mean intensity toward the sun is 0.489 against 0.293 toward the antisolar point. The same behaviour was found at solar elevations of 10, 30 and 50 degrees and at four widely separated solar azimuths, with the deepest wedge falling at the antisolar azimuth in every case.</w:t>
      </w:r>
    </w:p>
    <w:p>
      <w:pPr>
        <w:spacing w:after="160"/>
        <w:ind w:left="403"/>
        <w:jc w:val="both"/>
        <w:pBdr>
          <w:left w:val="single" w:sz="18" w:space="10" w:color="1F7A4D"/>
        </w:pBdr>
        <w:shd w:val="clear" w:fill="F4F9F6"/>
      </w:pPr>
      <w:r>
        <w:rPr>
          <w:rFonts w:ascii="Georgia" w:hAnsi="Georgia"/>
          <w:sz w:val="21"/>
        </w:rPr>
        <w:t>The explanation follows from the geometry set out in Section 3.3. Along the solar meridian the electric field vector of the scattered light is tangential in the image while the transmission axis of the radial dome is radial, so transmission is minimised along the entire meridian and not at one end of it. The asymmetry between the ends arises because the degree of polarisation is small near the sun and largest a quarter turn from it. What the radial arrangement achieves, then, is to tie the dark axis of the image to the solar meridian, which fixes the solar azimuth up to a reflection, while the brightness difference between the two ends of that axis is what resolves the reflection. This is a weaker relationship than a band pointing at the sun would be, and Section 6.3 shows that it is also a more fragile one, since the reflection becomes hard to resolve as soon as cloud flattens the pattern.</w:t>
      </w:r>
    </w:p>
    <w:p>
      <w:pPr>
        <w:spacing w:after="160"/>
        <w:ind w:left="403"/>
        <w:jc w:val="both"/>
        <w:pBdr>
          <w:left w:val="single" w:sz="18" w:space="10" w:color="1F7A4D"/>
        </w:pBdr>
        <w:shd w:val="clear" w:fill="F4F9F6"/>
      </w:pPr>
      <w:r>
        <w:rPr>
          <w:rFonts w:ascii="Georgia" w:hAnsi="Georgia"/>
          <w:sz w:val="21"/>
        </w:rPr>
        <w:t>A measure of that fragility is available from the same renderings. Defining pattern contrast as the difference between the largest and smallest wedge means divided by the mean over all wedges, the flat filter returns 1.18 and the radial dome 0.79. The radial arrangement therefore carries about two thirds of the modulation depth of the flat filter, which is the price of distributing the analyser orientation across the field, and it is the quantity that governs how much degradation the pattern can absorb before the estimate fails.</w:t>
      </w:r>
    </w:p>
    <w:p>
      <w:pPr>
        <w:spacing w:after="160"/>
        <w:ind w:left="403"/>
        <w:jc w:val="both"/>
        <w:pBdr>
          <w:left w:val="single" w:sz="18" w:space="10" w:color="1F7A4D"/>
        </w:pBdr>
        <w:shd w:val="clear" w:fill="F4F9F6"/>
      </w:pPr>
      <w:r>
        <w:rPr>
          <w:rFonts w:ascii="Georgia" w:hAnsi="Georgia"/>
          <w:sz w:val="21"/>
        </w:rPr>
        <w:t>Figure 6.4 shows four synthetic frames rendered through the flat filter at the true solar positions for 21 June 2026 at Turku, corresponding to 03:00, 07:00, 11:00 and 15:00 coordinated universal time, at which the sun stands at azimuths of 59, 111, 190 and 262 degrees and elevations of 10, 38, 53 and 32 degrees respectively. The marked solar position moves clockwise around the image and inward toward the centre as the elevation rises, reaching its closest approach at 11:00 when the sun is highest, then moving outward again, which is the equidistant projection of Section 3.2 behaving as it should. The intensity pattern rotates rigidly with the sun rather than changing shape, and that rigidity is the property the estimator exploits when it searches over candidate azimuths. The frame at 11:00 is visibly flatter than the others, since the pattern contrast falls as the sun climbs, which is one reason the elevation is supplied from the ephemeris rather than estimated from the image.</w:t>
      </w:r>
    </w:p>
    <w:p>
      <w:pPr>
        <w:pStyle w:val="Heading2"/>
      </w:pPr>
      <w:r>
        <w:t>18. Section 6.3, complete replacement of the prose</w:t>
      </w:r>
    </w:p>
    <w:p>
      <w:pPr>
        <w:spacing w:after="160"/>
      </w:pPr>
      <w:r>
        <w:rPr>
          <w:b/>
          <w:color w:val="8B1A1A"/>
          <w:sz w:val="19"/>
        </w:rPr>
        <w:t xml:space="preserve">REPLACES  </w:t>
      </w:r>
      <w:r>
        <w:rPr>
          <w:color w:val="555555"/>
          <w:sz w:val="19"/>
        </w:rPr>
        <w:t>the prose of §6.3, draft3 lines 1277 to 1297. Table 6.1 itself is replaced by the six row version given below.</w:t>
      </w:r>
    </w:p>
    <w:p>
      <w:pPr>
        <w:spacing w:after="160"/>
        <w:ind w:left="403"/>
        <w:jc w:val="both"/>
        <w:pBdr>
          <w:left w:val="single" w:sz="18" w:space="10" w:color="1F7A4D"/>
        </w:pBdr>
        <w:shd w:val="clear" w:fill="F4F9F6"/>
      </w:pPr>
      <w:r>
        <w:rPr>
          <w:rFonts w:ascii="Georgia" w:hAnsi="Georgia"/>
          <w:sz w:val="21"/>
        </w:rPr>
        <w:t>This section reports the azimuth error of the estimator on synthetic frames across the full range of sun positions covered in Section 6.1. Because the synthetic frames carry an exact ground truth, the error here isolates the behaviour of the estimator from any error in capture or calibration, subject to the caveat recorded in Section 5.3 that the estimator inverts the same forward model that renders the frames.</w:t>
      </w:r>
    </w:p>
    <w:p>
      <w:pPr>
        <w:spacing w:after="160"/>
        <w:ind w:left="403"/>
        <w:jc w:val="both"/>
        <w:pBdr>
          <w:left w:val="single" w:sz="18" w:space="10" w:color="1F7A4D"/>
        </w:pBdr>
        <w:shd w:val="clear" w:fill="F4F9F6"/>
      </w:pPr>
      <w:r>
        <w:rPr>
          <w:rFonts w:ascii="Georgia" w:hAnsi="Georgia"/>
          <w:sz w:val="21"/>
        </w:rPr>
        <w:t>The estimator was evaluated on 200 solar positions drawn at random from the 5972 real daylight positions of Section 6.1, under six conditions formed by pairing each of the two optical arrangements with a clear sky, thin cloud and heavy cloud. Figure 6.5 summarises the outcome and Table 6.1 gives the full figures.</w:t>
      </w:r>
    </w:p>
    <w:p>
      <w:pPr>
        <w:spacing w:after="160"/>
        <w:ind w:left="403"/>
        <w:jc w:val="both"/>
        <w:pBdr>
          <w:left w:val="single" w:sz="18" w:space="10" w:color="1F7A4D"/>
        </w:pBdr>
        <w:shd w:val="clear" w:fill="F4F9F6"/>
      </w:pPr>
      <w:r>
        <w:rPr>
          <w:rFonts w:ascii="Georgia" w:hAnsi="Georgia"/>
          <w:sz w:val="21"/>
        </w:rPr>
        <w:t>The median is quoted before the mean throughout, and the reason is visible in the table wherever the sky is degraded. The error distribution in those conditions is bimodal rather than concentrated, as Figure 6.6 shows, with the great majority of frames accurate and a minority failing by close to 180 degrees through the solar and antisolar ambiguity. A mean computed over such a distribution is dominated by the failures and is unstable against the number of them a particular sample happens to contain. An earlier run over 60 positions returned a mean of 11.59 degrees for the radial dome under thin cloud where the run over 200 positions returns 5.69, while the median moved only from 2.116 to 2.120 degrees between the same two runs. The same effect explains the rows in which the ninetieth percentile is smaller than the mean, which would otherwise look like an arithmetic error. The proportion of estimates falling within five degrees is reported alongside, five degrees being a threshold below which a heading remains useful for bounding the drift of an inertial estimate over the intervals of interest.</w:t>
      </w:r>
    </w:p>
    <w:p>
      <w:pPr>
        <w:spacing w:after="160"/>
        <w:ind w:left="403"/>
        <w:jc w:val="both"/>
        <w:pBdr>
          <w:left w:val="single" w:sz="18" w:space="10" w:color="1F7A4D"/>
        </w:pBdr>
        <w:shd w:val="clear" w:fill="F4F9F6"/>
      </w:pPr>
      <w:r>
        <w:rPr>
          <w:rFonts w:ascii="Georgia" w:hAnsi="Georgia"/>
          <w:sz w:val="21"/>
        </w:rPr>
        <w:t>Under a clear sky both optical arrangements recover the azimuth to within a tenth of a degree and are indistinguishable from one another, which confirms that the search, the projection geometry and the coordinate conventions are mutually consistent for both. As the sky degrades the two separate, and they separate in the direction opposite to the one the design argument of Chapter 4 anticipated. Under thin cloud the flat filter returns a median error of 0.78 degrees with no failures at all, while the radial dome returns 2.12 degrees with three failures in 200. Under heavy cloud the flat filter returns 4.10 degrees with 15 failures and keeps 56.5 per cent of estimates within five degrees, while the radial dome returns 20.78 degrees with 75 failures and keeps only 18.5 per cent.</w:t>
      </w:r>
    </w:p>
    <w:p>
      <w:pPr>
        <w:spacing w:after="160"/>
        <w:ind w:left="403"/>
        <w:jc w:val="both"/>
        <w:pBdr>
          <w:left w:val="single" w:sz="18" w:space="10" w:color="1F7A4D"/>
        </w:pBdr>
        <w:shd w:val="clear" w:fill="F4F9F6"/>
      </w:pPr>
      <w:r>
        <w:rPr>
          <w:rFonts w:ascii="Georgia" w:hAnsi="Georgia"/>
          <w:sz w:val="21"/>
        </w:rPr>
        <w:t>The cause is the contrast measurement reported in Section 6.2. The radial arrangement produces a pattern whose contrast is 0.79 against 1.18 for the flat filter, so it carries less signal above the same clutter, and the two ends of its dark axis become confusable sooner as the degree of polarisation falls and the brightness gradient grows. Since it is precisely the asymmetry between those ends that resolves the solar and antisolar ambiguity, the failure mode that appears is the one the geometry predicts. This result qualifies the case for the radial dome rather than overturning it, since the dome samples the whole hemisphere without committing to a single film orientation and matches the flat filter exactly under a clear sky, but the robustness advantage claimed for it on geometric grounds is not borne out under the cloud model used here, and that is reported as a finding rather than set aside.</w:t>
      </w:r>
    </w:p>
    <w:p>
      <w:pPr>
        <w:spacing w:after="160"/>
        <w:ind w:left="403"/>
        <w:jc w:val="both"/>
        <w:pBdr>
          <w:left w:val="single" w:sz="18" w:space="10" w:color="1F7A4D"/>
        </w:pBdr>
        <w:shd w:val="clear" w:fill="F4F9F6"/>
      </w:pPr>
      <w:r>
        <w:rPr>
          <w:rFonts w:ascii="Georgia" w:hAnsi="Georgia"/>
          <w:sz w:val="21"/>
        </w:rPr>
        <w:t>Figure 6.7 shows the error against sun elevation for each condition. Failures under cloud are distributed across the elevation range rather than concentrated at low sun, which indicates that the difficulty lies in the depolarisation of the pattern rather than in the geometry of a low sun as such. It is worth recalling that at this latitude the elevation never exceeds 53 degrees, so the estimator is at no point tested against a sun near the zenith, a regime in which the pattern would be arranged quite differently around the image centre.</w:t>
      </w:r>
    </w:p>
    <w:p>
      <w:pPr>
        <w:spacing w:after="200"/>
        <w:ind w:left="72"/>
        <w:pBdr>
          <w:left w:val="single" w:sz="18" w:space="10" w:color="A32020"/>
        </w:pBdr>
        <w:shd w:val="clear" w:fill="FDF1F1"/>
      </w:pPr>
      <w:r>
        <w:rPr>
          <w:sz w:val="19"/>
        </w:rPr>
        <w:t>Table 6.1 in draft3 is still the old four row table at n = 60. The six row version at n = 200 follows this block. Its caption should read: Absolute azimuth error in degrees over 200 solar positions drawn at random from the 5972 real daylight positions at Turku with the sun at least five degrees above the horizon. The film axis was 35 degrees and the image up heading 0 degrees throughout, with sensor noise of 0.020 in all six runs. Gross failures are estimates in error by more than 45 degrees.</w:t>
      </w:r>
    </w:p>
    <w:p>
      <w:pPr>
        <w:pStyle w:val="Heading2"/>
      </w:pPr>
      <w:r>
        <w:t>19. Section 6.4, new section, written for the dome photograph</w:t>
      </w:r>
    </w:p>
    <w:p>
      <w:pPr>
        <w:spacing w:after="160"/>
      </w:pPr>
      <w:r>
        <w:rPr>
          <w:b/>
          <w:color w:val="8B1A1A"/>
          <w:sz w:val="19"/>
        </w:rPr>
        <w:t xml:space="preserve">INSERT  </w:t>
      </w:r>
      <w:r>
        <w:rPr>
          <w:color w:val="555555"/>
          <w:sz w:val="19"/>
        </w:rPr>
        <w:t>as a new §6.4 after §6.3. Chapter 7 already refers to it at draft3 line 1310 and Chapter 6 currently stops at 6.3, so this cross-reference is broken as the draft stands.</w:t>
      </w:r>
    </w:p>
    <w:p>
      <w:pPr>
        <w:spacing w:after="160"/>
        <w:ind w:left="403"/>
        <w:jc w:val="both"/>
        <w:pBdr>
          <w:left w:val="single" w:sz="18" w:space="10" w:color="1F7A4D"/>
        </w:pBdr>
        <w:shd w:val="clear" w:fill="F4F9F6"/>
      </w:pPr>
      <w:r>
        <w:rPr>
          <w:rFonts w:ascii="Georgia" w:hAnsi="Georgia"/>
          <w:sz w:val="21"/>
        </w:rPr>
        <w:t>The simulation results of the preceding sections establish that the geometry, the search and the coordinate conventions are mutually consistent, but they cannot establish that the forward model resembles the sky. This section reports what was obtained from the physical instrument.</w:t>
      </w:r>
    </w:p>
    <w:p>
      <w:pPr>
        <w:spacing w:after="160"/>
        <w:ind w:left="403"/>
        <w:jc w:val="both"/>
        <w:pBdr>
          <w:left w:val="single" w:sz="18" w:space="10" w:color="1F7A4D"/>
        </w:pBdr>
        <w:shd w:val="clear" w:fill="F4F9F6"/>
      </w:pPr>
      <w:r>
        <w:rPr>
          <w:rFonts w:ascii="Georgia" w:hAnsi="Georgia"/>
          <w:sz w:val="21"/>
        </w:rPr>
        <w:t>The acquisition chain was verified first. The camera is recognised under the operating system, captures at 1600 by 1200 pixels in the YUYV format with exposure, gain and white balance held at the fixed values recorded in Section 5.1, and stores frames named with their coordinated universal time so that each frame carries the information needed to label itself against the ephemeris. The illuminated disc fits a radius of 565 pixels, which corresponds to an angular scale of 0.159 degrees per pixel across the hemisphere and agrees to within an order of magnitude with the 0.19 degrees per pixel derived in Section 3.2 from the parameters of the earlier lens.</w:t>
      </w:r>
    </w:p>
    <w:p>
      <w:pPr>
        <w:spacing w:after="160"/>
        <w:ind w:left="403"/>
        <w:jc w:val="both"/>
        <w:pBdr>
          <w:left w:val="single" w:sz="18" w:space="10" w:color="1F7A4D"/>
        </w:pBdr>
        <w:shd w:val="clear" w:fill="F4F9F6"/>
      </w:pPr>
      <w:r>
        <w:rPr>
          <w:rFonts w:ascii="Georgia" w:hAnsi="Georgia"/>
          <w:sz w:val="21"/>
        </w:rPr>
        <w:t>Figure 6.8 shows the same sky recorded twice within a few seconds, once through the bare fisheye lens and once through the polarising dome, at [TIME] coordinated universal time on [DATE], with the mount levelled and the reference mark set to [HEADING] degrees from North by compass. Nothing changed between the two frames except the presence of the optic. The bare lens frame records the radiance of the sky alone and shows the smooth brightness gradient expected of a clear day, with no structure tied to the solar meridian. The frame recorded through the dome shows the transmitted intensity pattern predicted in Section 3.3, in which [DESCRIBE WHAT YOU SEE: the dark axis and where it lies relative to the sun]. The pattern is therefore produced by the polarisation of the skylight acting through the analyser and not by the brightness distribution of the sky, which is the point the pair is intended to establish.</w:t>
      </w:r>
    </w:p>
    <w:p>
      <w:pPr>
        <w:spacing w:after="160"/>
        <w:ind w:left="403"/>
        <w:jc w:val="both"/>
        <w:pBdr>
          <w:left w:val="single" w:sz="18" w:space="10" w:color="1F7A4D"/>
        </w:pBdr>
        <w:shd w:val="clear" w:fill="F4F9F6"/>
      </w:pPr>
      <w:r>
        <w:rPr>
          <w:rFonts w:ascii="Georgia" w:hAnsi="Georgia"/>
          <w:sz w:val="21"/>
        </w:rPr>
        <w:t>The frame through the dome was measured in the same way as the rendered images of Section 6.2. The fitted disc radius is [VALUE] pixels and [VALUE] per cent of the pixels within it stand at or above 250, so the frame [does or does not] satisfy the two conditions a usable measurement requires, namely that the whole hemisphere is present and that the sky remains below saturation. Binning the disc into five degree azimuth wedges between a quarter and 0.95 of the radius gives the profile shown in [FIGURE], whose deepest minimum falls at [VALUE] degrees against an ephemeris antisolar azimuth of [VALUE] degrees for the time of capture. [State the difference between the two and whether it supports the model prediction of Section 6.2.]</w:t>
      </w:r>
    </w:p>
    <w:p>
      <w:pPr>
        <w:spacing w:after="160"/>
        <w:ind w:left="403"/>
        <w:jc w:val="both"/>
        <w:pBdr>
          <w:left w:val="single" w:sz="18" w:space="10" w:color="1F7A4D"/>
        </w:pBdr>
        <w:shd w:val="clear" w:fill="F4F9F6"/>
      </w:pPr>
      <w:r>
        <w:rPr>
          <w:rFonts w:ascii="Georgia" w:hAnsi="Georgia"/>
          <w:sz w:val="21"/>
        </w:rPr>
        <w:t>Two limits on what this measurement establishes should be stated. A single capture cannot separate an error in the forward model from an error in the recorded compass heading, since the two enter the estimate in the same place; separating them requires frames at three or more clearly separated times of day, from which the fixed offset between the image reference mark and true North can be fitted rather than assumed. The measurement was also made under a single sky condition, so it speaks to the clear sky column of Table 6.1 and not to the degraded ones, where the simulation predicts the difficulties to lie. What the capture does establish is that the instrument registers the sky polarisation as an intensity pattern of the predicted form, which is the premise on which the whole method rests and which no synthetic experiment can confirm.</w:t>
      </w:r>
    </w:p>
    <w:p>
      <w:pPr>
        <w:spacing w:after="200"/>
        <w:ind w:left="72"/>
        <w:pBdr>
          <w:left w:val="single" w:sz="18" w:space="10" w:color="A32020"/>
        </w:pBdr>
        <w:shd w:val="clear" w:fill="FDF1F1"/>
      </w:pPr>
      <w:r>
        <w:rPr>
          <w:sz w:val="19"/>
        </w:rPr>
        <w:t>Fill every bracketed slot from the actual frame before you paste this. Do not soften a slot you cannot fill; delete the sentence instead. The scripts are skyframe.prepare_real_frame for the disc fit, estimate_azimuth.estimate for the heading, and the azimuth wedge binning shown in THESIS_REVISION_PLAN.md §6.2. All three run in seconds.</w:t>
      </w:r>
    </w:p>
    <w:p>
      <w:pPr>
        <w:spacing w:after="200"/>
        <w:ind w:left="72"/>
        <w:pBdr>
          <w:left w:val="single" w:sz="18" w:space="10" w:color="C07A10"/>
        </w:pBdr>
        <w:shd w:val="clear" w:fill="FDF7EC"/>
      </w:pPr>
      <w:r>
        <w:rPr>
          <w:sz w:val="19"/>
        </w:rPr>
        <w:t>If the sky does not cooperate. Use SECTION_6_4_DRAFT.md instead, which is written on the premise that no frame was recorded through the optic and reports the radiometric limit of the stored captures as the result. It is an honest section and it is already drafted; it is simply the weaker of the two.</w:t>
      </w:r>
    </w:p>
    <w:p>
      <w:pPr>
        <w:pStyle w:val="Heading2"/>
      </w:pPr>
      <w:r>
        <w:t>20. Section 7.1, the first limitation</w:t>
      </w:r>
    </w:p>
    <w:p>
      <w:pPr>
        <w:spacing w:after="160"/>
      </w:pPr>
      <w:r>
        <w:rPr>
          <w:b/>
          <w:color w:val="8B1A1A"/>
          <w:sz w:val="19"/>
        </w:rPr>
        <w:t xml:space="preserve">REPLACES  </w:t>
      </w:r>
      <w:r>
        <w:rPr>
          <w:color w:val="555555"/>
          <w:sz w:val="19"/>
        </w:rPr>
        <w:t>draft3 lines 1304 to 1311, from "Several limitations follow directly from the design" to "only the captured image validation of Section 6.4 tests the latter."</w:t>
      </w:r>
    </w:p>
    <w:p>
      <w:pPr>
        <w:spacing w:after="160"/>
        <w:ind w:left="403"/>
        <w:jc w:val="both"/>
        <w:pBdr>
          <w:left w:val="single" w:sz="18" w:space="10" w:color="1F7A4D"/>
        </w:pBdr>
        <w:shd w:val="clear" w:fill="F4F9F6"/>
      </w:pPr>
      <w:r>
        <w:rPr>
          <w:rFonts w:ascii="Georgia" w:hAnsi="Georgia"/>
          <w:sz w:val="21"/>
        </w:rPr>
        <w:t>Several limitations follow directly from the design and should be stated plainly. The first concerns the use of synthetic data. A photograph taken without a polarising element in the optical path records intensity alone and retains no information about the orientation of the electric field, so an archive of ordinary sky imagery cannot be used to develop or test a polarisation compass, however large that archive is. This is a property of unfiltered photography and not a limitation of the instrument, since the dome is precisely the element that converts the sky polarisation into an intensity pattern the sensor can record, as Figure 6.8 shows directly. Synthetic frames rendered at real solar positions were therefore used during development, which means that the simulation accuracy reported in Section 6.3 reflects the fidelity of the model rather than the behaviour of the physical dome.</w:t>
      </w:r>
    </w:p>
    <w:p>
      <w:pPr>
        <w:spacing w:after="200"/>
        <w:ind w:left="72"/>
        <w:pBdr>
          <w:left w:val="single" w:sz="18" w:space="10" w:color="A32020"/>
        </w:pBdr>
        <w:shd w:val="clear" w:fill="FDF1F1"/>
      </w:pPr>
      <w:r>
        <w:rPr>
          <w:sz w:val="19"/>
        </w:rPr>
        <w:t>This is the passage that prompted your supervisor to ask whether the camera really cannot see the polarisation pattern. As draft3 words it, the claim sits in the same sentence as the dome, with no qualifier, and a careful reader arrives at exactly that conclusion. The physics is that a bare sensor is blind to polarisation, which the draft has right, but a sensor behind an analyser records it as intensity by Malus's law, which is the entire operating principle of this thesis.</w:t>
      </w:r>
    </w:p>
    <w:p>
      <w:pPr>
        <w:spacing w:after="200"/>
        <w:ind w:left="72"/>
        <w:pBdr>
          <w:left w:val="single" w:sz="18" w:space="10" w:color="C07A10"/>
        </w:pBdr>
        <w:shd w:val="clear" w:fill="FDF7EC"/>
      </w:pPr>
      <w:r>
        <w:rPr>
          <w:sz w:val="19"/>
        </w:rPr>
        <w:t>The same qualifier is needed in three other places: the Figure 6.3 caption at line 1240, the matching List of Figures entry at line 187, and the opening of §5.4 at line 1109, which Block 15 covers. If the four do not match, the correction reads as an afterthought. Drop the reference to Figure 6.8 from this block if the photograph does not work out.</w:t>
      </w:r>
    </w:p>
    <w:p>
      <w:pPr>
        <w:pStyle w:val="Heading2"/>
      </w:pPr>
      <w:r>
        <w:t>21. Section 7.1, the confidence limitation</w:t>
      </w:r>
    </w:p>
    <w:p>
      <w:pPr>
        <w:spacing w:after="160"/>
      </w:pPr>
      <w:r>
        <w:rPr>
          <w:b/>
          <w:color w:val="8B1A1A"/>
          <w:sz w:val="19"/>
        </w:rPr>
        <w:t xml:space="preserve">REPLACES  </w:t>
      </w:r>
      <w:r>
        <w:rPr>
          <w:color w:val="555555"/>
          <w:sz w:val="19"/>
        </w:rPr>
        <w:t>the first bullet of the NEW note block at draft3 lines 1325 to 1340.</w:t>
      </w:r>
    </w:p>
    <w:p>
      <w:pPr>
        <w:spacing w:after="160"/>
        <w:ind w:left="403"/>
        <w:jc w:val="both"/>
        <w:pBdr>
          <w:left w:val="single" w:sz="18" w:space="10" w:color="1F7A4D"/>
        </w:pBdr>
        <w:shd w:val="clear" w:fill="F4F9F6"/>
      </w:pPr>
      <w:r>
        <w:rPr>
          <w:rFonts w:ascii="Georgia" w:hAnsi="Georgia"/>
          <w:sz w:val="21"/>
        </w:rPr>
        <w:t>A second limitation concerns the confidence value, and it is a weakness that the experiments of Chapter 6 identify rather than one that was anticipated. The value is defined in Section 5.3 as the height of the correlation peak above the mean of the correlation curve in units of the standard deviation of that curve, and its purpose was twofold, namely to weight the heading appropriately within a fusion filter and to allow the solar and antisolar failures to be rejected before they reach the filter at all. Neither purpose is served by the metric as it stands. Across the six conditions of Table 6.1 the mean confidence takes the values 1.80, 1.80, 1.75, 1.78, 1.74 and 1.53, a spread of about fifteen per cent, while the mean error across the same conditions runs from 0.078 to 65.6 degrees, a spread of nearly three orders of magnitude. Examined frame by frame rather than condition by condition the position is no better. Estimates falling within five degrees of the truth carry a mean confidence of 1.773 with a standard deviation of 0.179, and estimates falling further away carry 1.620 with a standard deviation of 0.227, so the two populations overlap across some sixty one per cent of the observed range and no threshold placed on the value separates them. Figure 7.1 shows both views. The near-180 degree failures in particular occur at every confidence value, including the highest, which is the worst possible behaviour for a metric intended to catch them.</w:t>
      </w:r>
    </w:p>
    <w:p>
      <w:pPr>
        <w:spacing w:after="160"/>
        <w:ind w:left="403"/>
        <w:jc w:val="both"/>
        <w:pBdr>
          <w:left w:val="single" w:sz="18" w:space="10" w:color="1F7A4D"/>
        </w:pBdr>
        <w:shd w:val="clear" w:fill="F4F9F6"/>
      </w:pPr>
      <w:r>
        <w:rPr>
          <w:rFonts w:ascii="Georgia" w:hAnsi="Georgia"/>
          <w:sz w:val="21"/>
        </w:rPr>
        <w:t>The reason is not difficult to see once the failure mode is understood. A frame in which the solar and antisolar ends of the dark axis have become confusable produces a correlation curve with two peaks of comparable height half a circle apart, and the winning peak of such a curve may stand just as far above the mean of the curve as the single peak of an unambiguous frame does. The quantity that would discriminate is therefore not the height of the peak above the mean but the ratio of the primary peak to the second highest local maximum, which measures the ambiguity directly. Redefining the metric in those terms is a small change to the estimator and is the first improvement that should be made to it, but it has not been carried out here and the confidence values reported in Table 6.1 should accordingly be read as a diagnostic of the correlation surface rather than as a usable reliability estimate.</w:t>
      </w:r>
    </w:p>
    <w:p>
      <w:pPr>
        <w:spacing w:after="200"/>
        <w:ind w:left="72"/>
        <w:pBdr>
          <w:left w:val="single" w:sz="18" w:space="10" w:color="A32020"/>
        </w:pBdr>
        <w:shd w:val="clear" w:fill="FDF1F1"/>
      </w:pPr>
      <w:r>
        <w:rPr>
          <w:sz w:val="19"/>
        </w:rPr>
        <w:t>Your conclusion in draft3 already admits this weakness at line 1418, but Chapter 7 does not yet make the case. A finding stated in the conclusion and nowhere else looks like an afterthought; stated here with the numbers and the route forward, it reads as a result.</w:t>
      </w:r>
    </w:p>
    <w:p>
      <w:pPr>
        <w:pStyle w:val="Heading2"/>
      </w:pPr>
      <w:r>
        <w:t>22. Section 7.1, the radial dome limitation</w:t>
      </w:r>
    </w:p>
    <w:p>
      <w:pPr>
        <w:spacing w:after="160"/>
      </w:pPr>
      <w:r>
        <w:rPr>
          <w:b/>
          <w:color w:val="8B1A1A"/>
          <w:sz w:val="19"/>
        </w:rPr>
        <w:t xml:space="preserve">INSERT  </w:t>
      </w:r>
      <w:r>
        <w:rPr>
          <w:color w:val="555555"/>
          <w:sz w:val="19"/>
        </w:rPr>
        <w:t>after the block above.</w:t>
      </w:r>
    </w:p>
    <w:p>
      <w:pPr>
        <w:spacing w:after="160"/>
        <w:ind w:left="403"/>
        <w:jc w:val="both"/>
        <w:pBdr>
          <w:left w:val="single" w:sz="18" w:space="10" w:color="1F7A4D"/>
        </w:pBdr>
        <w:shd w:val="clear" w:fill="F4F9F6"/>
      </w:pPr>
      <w:r>
        <w:rPr>
          <w:rFonts w:ascii="Georgia" w:hAnsi="Georgia"/>
          <w:sz w:val="21"/>
        </w:rPr>
        <w:t>A further limitation attaches to the optical design itself. The radial dome was adopted as the target arrangement on the grounds that it samples the sky in the fan like manner of the insect dorsal rim area and ties the dark axis of the image to the solar meridian, and both of those properties hold. What does not hold is the expectation that these properties would make it the more robust of the two arrangements. Section 6.3 shows it to be indistinguishable from a single flat filter under a clear sky and consistently worse under cloud, for the reason that distributing the analyser orientation across the field reduces the contrast of the resulting pattern by about a third. The design remains defensible, since it requires no choice of a privileged film orientation and would be expected to degrade more gracefully under partial occlusion, which was not among the conditions tested here. It should nonetheless be said plainly that the simulation conducted for this thesis does not demonstrate the advantage that motivated the design, and that establishing whether the advantage exists under occlusion rather than under uniform depolarisation would require an experiment that has not been performed.</w:t>
      </w:r>
    </w:p>
    <w:p>
      <w:pPr>
        <w:pStyle w:val="Heading2"/>
      </w:pPr>
      <w:r>
        <w:t>23. Section 7.2, the October paragraph</w:t>
      </w:r>
    </w:p>
    <w:p>
      <w:pPr>
        <w:spacing w:after="160"/>
      </w:pPr>
      <w:r>
        <w:rPr>
          <w:b/>
          <w:color w:val="8B1A1A"/>
          <w:sz w:val="19"/>
        </w:rPr>
        <w:t xml:space="preserve">REPLACES  </w:t>
      </w:r>
      <w:r>
        <w:rPr>
          <w:color w:val="555555"/>
          <w:sz w:val="19"/>
        </w:rPr>
        <w:t>the NOTE block at draft3 lines 1354 to 1358.</w:t>
      </w:r>
    </w:p>
    <w:p>
      <w:pPr>
        <w:spacing w:after="160"/>
        <w:ind w:left="403"/>
        <w:jc w:val="both"/>
        <w:pBdr>
          <w:left w:val="single" w:sz="18" w:space="10" w:color="1F7A4D"/>
        </w:pBdr>
        <w:shd w:val="clear" w:fill="F4F9F6"/>
      </w:pPr>
      <w:r>
        <w:rPr>
          <w:rFonts w:ascii="Georgia" w:hAnsi="Georgia"/>
          <w:sz w:val="21"/>
        </w:rPr>
        <w:t>The reason October offers a useful second test lies in the declination of the sun. At midsummer the declination stands near its maximum of 23.44 degrees north, which at the latitude of Turku lifts the noon sun to about 53 degrees and carries it through a very wide arc from a northeasterly rising to a northwesterly setting. By the middle of October the declination has turned some eight degrees south of the equator, so the sun rises later and considerably further south, reaches a noon elevation near 20 degrees rather than 53, sweeps a much narrower range of azimuths and sets earlier, as Figure 7.2 shows. The consequence for the compass is that the entire polarisation pattern is pressed toward the horizon, into the region where the analysis mask discards measurements and where the single scattering assumption of the Rayleigh model is least secure, so the October geometry tests the method where it is weakest rather than where it is strongest. The capture campaign envisaged for that period would follow the same procedure as the one described in Section 6.4, with snapshot sequences taken at three or more clearly separated times of day through the dome on a levelled and registered mount, supplemented by the annual movement record already held for the site.</w:t>
      </w:r>
    </w:p>
    <w:p>
      <w:pPr>
        <w:pStyle w:val="Heading2"/>
      </w:pPr>
      <w:r>
        <w:t>24. Section 7.3, the rain paragraph</w:t>
      </w:r>
    </w:p>
    <w:p>
      <w:pPr>
        <w:spacing w:after="160"/>
      </w:pPr>
      <w:r>
        <w:rPr>
          <w:b/>
          <w:color w:val="8B1A1A"/>
          <w:sz w:val="19"/>
        </w:rPr>
        <w:t xml:space="preserve">REPLACES  </w:t>
      </w:r>
      <w:r>
        <w:rPr>
          <w:color w:val="555555"/>
          <w:sz w:val="19"/>
        </w:rPr>
        <w:t>the NOTE block at draft3 lines 1378 to 1381.</w:t>
      </w:r>
    </w:p>
    <w:p>
      <w:pPr>
        <w:spacing w:after="160"/>
        <w:ind w:left="403"/>
        <w:jc w:val="both"/>
        <w:pBdr>
          <w:left w:val="single" w:sz="18" w:space="10" w:color="1F7A4D"/>
        </w:pBdr>
        <w:shd w:val="clear" w:fill="F4F9F6"/>
      </w:pPr>
      <w:r>
        <w:rPr>
          <w:rFonts w:ascii="Georgia" w:hAnsi="Georgia"/>
          <w:sz w:val="21"/>
        </w:rPr>
        <w:t>The interest of collecting data during rain lies in the fact that rain does not merely attenuate the signal but removes the quantity being measured. Water standing on the outer surface of the film and droplets suspended in the air both scatter light through many successive events rather than the single event assumed by the Rayleigh model, and multiple scattering destroys the linear polarisation that single scattering produces. A rain shower therefore depolarises the sky in a way that no amount of exposure or gain can recover, which places a boundary on the operating envelope of the method rather than a penalty within it. Establishing where that boundary lies, and in particular how much rain is required before the heading becomes unusable, would make the dome a more predictable instrument in poor weather even though it cannot make it a functional one in heavy rain.</w:t>
      </w:r>
    </w:p>
    <w:p>
      <w:pPr>
        <w:pStyle w:val="Heading2"/>
      </w:pPr>
      <w:r>
        <w:t>25. Section 7.3, the learned regressor</w:t>
      </w:r>
    </w:p>
    <w:p>
      <w:pPr>
        <w:spacing w:after="160"/>
      </w:pPr>
      <w:r>
        <w:rPr>
          <w:b/>
          <w:color w:val="8B1A1A"/>
          <w:sz w:val="19"/>
        </w:rPr>
        <w:t xml:space="preserve">INSERT  </w:t>
      </w:r>
      <w:r>
        <w:rPr>
          <w:color w:val="555555"/>
          <w:sz w:val="19"/>
        </w:rPr>
        <w:t>into §7.3, having removed the corresponding sentences from §5.3 as Block 14 directs.</w:t>
      </w:r>
    </w:p>
    <w:p>
      <w:pPr>
        <w:spacing w:after="160"/>
        <w:ind w:left="403"/>
        <w:jc w:val="both"/>
        <w:pBdr>
          <w:left w:val="single" w:sz="18" w:space="10" w:color="1F7A4D"/>
        </w:pBdr>
        <w:shd w:val="clear" w:fill="F4F9F6"/>
      </w:pPr>
      <w:r>
        <w:rPr>
          <w:rFonts w:ascii="Georgia" w:hAnsi="Georgia"/>
          <w:sz w:val="21"/>
        </w:rPr>
        <w:t>A learned estimator remains an obvious alternative to the model based search used here. Trained on the labelled synthetic sets of Section 5.4 and on whatever real frames a completed campaign supplies, a regressor mapping an image directly to an azimuth would dispense with the explicit search and could be compared against the present estimator on identical data. It is worth noting that such a comparison would be more informative than it might appear, since a learned estimator trained on synthetic frames and tested on real ones would measure the gap between the forward model and the sky, which is the question this thesis leaves open.</w:t>
      </w:r>
    </w:p>
    <w:p>
      <w:pPr>
        <w:spacing w:after="200"/>
        <w:ind w:left="72"/>
        <w:pBdr>
          <w:left w:val="single" w:sz="18" w:space="10" w:color="A32020"/>
        </w:pBdr>
        <w:shd w:val="clear" w:fill="FDF1F1"/>
      </w:pPr>
      <w:r>
        <w:rPr>
          <w:sz w:val="19"/>
        </w:rPr>
        <w:t>draft3 §5.3 promises a learned regressor at lines 1102 to 1106 and no results for one are ever given. Promising a comparison in the methods chapter and never delivering it is more damaging than not mentioning it, so move the sentences here where they belong.</w:t>
      </w:r>
    </w:p>
    <w:p>
      <w:pPr>
        <w:pStyle w:val="Heading2"/>
      </w:pPr>
      <w:r>
        <w:t>26. Chapter 8, Conclusion, complete replacement</w:t>
      </w:r>
    </w:p>
    <w:p>
      <w:pPr>
        <w:spacing w:after="160"/>
      </w:pPr>
      <w:r>
        <w:rPr>
          <w:b/>
          <w:color w:val="8B1A1A"/>
          <w:sz w:val="19"/>
        </w:rPr>
        <w:t xml:space="preserve">REPLACES  </w:t>
      </w:r>
      <w:r>
        <w:rPr>
          <w:color w:val="555555"/>
          <w:sz w:val="19"/>
        </w:rPr>
        <w:t>the whole of Chapter 8, draft3 lines 1385 to 1441. The existing conclusion covers the right ground but reports the superseded n = 60 means, omits the two findings that qualify the design, and contains one broken sentence at line 1402.</w:t>
      </w:r>
    </w:p>
    <w:p>
      <w:pPr>
        <w:spacing w:after="160"/>
        <w:ind w:left="403"/>
        <w:jc w:val="both"/>
        <w:pBdr>
          <w:left w:val="single" w:sz="18" w:space="10" w:color="1F7A4D"/>
        </w:pBdr>
        <w:shd w:val="clear" w:fill="F4F9F6"/>
      </w:pPr>
      <w:r>
        <w:rPr>
          <w:rFonts w:ascii="Georgia" w:hAnsi="Georgia"/>
          <w:sz w:val="21"/>
        </w:rPr>
        <w:t>This thesis asked whether a low cost fisheye camera paired with a passive dome of polarising film, built to follow the geometry of the insect dorsal rim area, can produce reliable heading estimates for a robot operating outdoors at high latitude. The work carried out gives a partial answer, and the parts that are settled and the parts that remain open should be separated clearly.</w:t>
      </w:r>
    </w:p>
    <w:p>
      <w:pPr>
        <w:spacing w:after="160"/>
        <w:ind w:left="403"/>
        <w:jc w:val="both"/>
        <w:pBdr>
          <w:left w:val="single" w:sz="18" w:space="10" w:color="1F7A4D"/>
        </w:pBdr>
        <w:shd w:val="clear" w:fill="F4F9F6"/>
      </w:pPr>
      <w:r>
        <w:rPr>
          <w:rFonts w:ascii="Georgia" w:hAnsi="Georgia"/>
          <w:sz w:val="21"/>
        </w:rPr>
        <w:t>What has been established is the following. A solar position model for Turku was implemented twice from independent derivations and agrees with the analytic solstice elevations to within a few thousandths of a degree at both solstices, which gives a ground truth that can be trusted and allows every frame to label itself through its capture time. A polarising dome of radius 40 millimetres was designed, cut and assembled from eight gores whose transmission axes were fixed by three independent observations and which fan radially outward from the apex, and the whole set was cut from a single sheet of film. An estimator was built that recovers the solar azimuth by rendering the expected pattern for every candidate heading and selecting the best correlated, and it was evaluated over 200 sun positions drawn from the real Turku daylight record under six combinations of optic and sky condition. Under a clear sky it recovers the azimuth with a median error of 0.08 degrees, under thin cloud 0.78 degrees through the flat filter, and under heavy cloud 4.10 degrees, with the failures that occur taking the characteristic form of a near reversal by 180 degrees. The acquisition chain from sensor through the operating system to a stored and self labelled frame was verified end to end against real captures, and the angular scale of the lens was measured at 0.159 degrees per pixel from a disc radius of 565 pixels.</w:t>
      </w:r>
    </w:p>
    <w:p>
      <w:pPr>
        <w:spacing w:after="160"/>
        <w:ind w:left="403"/>
        <w:jc w:val="both"/>
        <w:pBdr>
          <w:left w:val="single" w:sz="18" w:space="10" w:color="1F7A4D"/>
        </w:pBdr>
        <w:shd w:val="clear" w:fill="F4F9F6"/>
      </w:pPr>
      <w:r>
        <w:rPr>
          <w:rFonts w:ascii="Georgia" w:hAnsi="Georgia"/>
          <w:sz w:val="21"/>
        </w:rPr>
        <w:t>Three findings qualify the design and are reported as results rather than as difficulties. The radial dome does not place a dark band on the sun, as had been supposed, but aligns the dark axis of the image with the solar meridian, leaving the identity of the solar end to be settled by a brightness asymmetry between the two ends. That asymmetry is a weaker cue than a band pointing at the sun would be, and the consequence appears in the accuracy figures, where the radial dome proves indistinguishable from a single flat filter under a clear sky and consistently worse under cloud, because distributing the analyser orientation across the field costs about a third of the pattern contrast. The confidence value produced alongside each estimate does not separate reliable estimates from failed ones, and since its intended use was to weight a heading within a fusion filter and to reject the solar and antisolar failures, neither use is available until the metric is redefined in terms of the ratio between the two highest peaks of the correlation curve.</w:t>
      </w:r>
    </w:p>
    <w:p>
      <w:pPr>
        <w:spacing w:after="160"/>
        <w:ind w:left="403"/>
        <w:jc w:val="both"/>
        <w:pBdr>
          <w:left w:val="single" w:sz="18" w:space="10" w:color="1F7A4D"/>
        </w:pBdr>
        <w:shd w:val="clear" w:fill="F4F9F6"/>
      </w:pPr>
      <w:r>
        <w:rPr>
          <w:rFonts w:ascii="Georgia" w:hAnsi="Georgia"/>
          <w:sz w:val="21"/>
        </w:rPr>
        <w:t>What remains open is the question the synthetic experiments cannot answer. The estimator inverts the same forward model that renders the frames it is tested on, so the accuracy reported in Chapter 6 demonstrates internal consistency of the geometry, the search and the coordinate conventions rather than fidelity to the sky. Section 6.4 reports what the physical instrument established: the acquisition chain works, and a frame recorded through the dome beside a bare lens control of the same sky confirms that the polarisation pattern is registered as an intensity pattern of the predicted form. What that single capture cannot do is separate an error in the forward model from an error in the recorded heading, or speak to the degraded sky conditions in which the simulation locates the difficulties. Closing that gap does not require new theory or new software. It requires the dome over a levelled and registered mount, an exposure chosen from a bracket taken through the dome rather than through the bare lens, and frames collected at three or more clearly separated times of day, all of which are specified precisely in Section 6.4 as a consequence of difficulties measured here rather than anticipated from the literature.</w:t>
      </w:r>
    </w:p>
    <w:p>
      <w:pPr>
        <w:spacing w:after="160"/>
        <w:ind w:left="403"/>
        <w:jc w:val="both"/>
        <w:pBdr>
          <w:left w:val="single" w:sz="18" w:space="10" w:color="1F7A4D"/>
        </w:pBdr>
        <w:shd w:val="clear" w:fill="F4F9F6"/>
      </w:pPr>
      <w:r>
        <w:rPr>
          <w:rFonts w:ascii="Georgia" w:hAnsi="Georgia"/>
          <w:sz w:val="21"/>
        </w:rPr>
        <w:t>The wider value of the work lies in what it establishes about operating a sky compass at 60.45 degrees North. The sun at this latitude sweeps almost the whole azimuth circle over a summer day yet never climbs above 53 degrees, so the brightest region of the sky sits close to the horizon and competes with much darker regions in the same frame, which turns exposure selection from a convenience into a calibration step in its own right. The polarisation pattern the compass must read is correspondingly pressed toward the edge of the field, where the projection is least forgiving and the single scattering model least secure. These are not incidental difficulties of one prototype but properties of the site, and a compass intended for northern latitudes will have to address them whatever its optical arrangement. The design presented here, together with the measurements that qualify it, is offered as a starting point for that work.</w:t>
      </w:r>
    </w:p>
    <w:p>
      <w:pPr>
        <w:spacing w:after="200"/>
        <w:ind w:left="72"/>
        <w:pBdr>
          <w:left w:val="single" w:sz="18" w:space="10" w:color="C07A10"/>
        </w:pBdr>
        <w:shd w:val="clear" w:fill="FDF7EC"/>
      </w:pPr>
      <w:r>
        <w:rPr>
          <w:sz w:val="19"/>
        </w:rPr>
        <w:t>The fourth paragraph assumes the dome photograph exists. If it does not, replace its third and fourth sentences with: "Section 6.4 reports what the captured frames established and what they did not. The acquisition chain works, but no frame in the set was recorded through the polarising optic with the axis vertical, and the exposure latitude available from this sensor proved narrower than the dynamic range of a summer sky at this latitude, so that no captured frame both shows the whole hemisphere and leaves the sky below saturation."</w:t>
      </w:r>
    </w:p>
    <w:p>
      <w:pPr>
        <w:spacing w:after="200"/>
        <w:ind w:left="72"/>
        <w:pBdr>
          <w:left w:val="single" w:sz="18" w:space="10" w:color="A32020"/>
        </w:pBdr>
        <w:shd w:val="clear" w:fill="FDF1F1"/>
      </w:pPr>
      <w:r>
        <w:rPr>
          <w:sz w:val="19"/>
        </w:rPr>
        <w:t>Keep the last paragraph whatever happens. It is the strongest paragraph in the chapter, because it generalises beyond your prototype to any sky compass at northern latitude, and it is the part draft3 already gets right.</w:t>
      </w:r>
    </w:p>
    <w:p>
      <w:pPr>
        <w:pStyle w:val="Heading2"/>
      </w:pPr>
      <w:r>
        <w:t>27. The figure captions that must change</w:t>
      </w:r>
    </w:p>
    <w:p>
      <w:pPr>
        <w:spacing w:after="160"/>
      </w:pPr>
      <w:r>
        <w:rPr>
          <w:b/>
          <w:color w:val="8B1A1A"/>
          <w:sz w:val="19"/>
        </w:rPr>
        <w:t xml:space="preserve">REPLACES  </w:t>
      </w:r>
      <w:r>
        <w:rPr>
          <w:color w:val="555555"/>
          <w:sz w:val="19"/>
        </w:rPr>
        <w:t>the Figure 6.3 caption at draft3 line 1240 and the matching List of Figures entry at line 187. The two must be identical.</w:t>
      </w:r>
    </w:p>
    <w:p>
      <w:pPr>
        <w:spacing w:after="160"/>
        <w:ind w:left="403"/>
        <w:jc w:val="both"/>
        <w:pBdr>
          <w:left w:val="single" w:sz="18" w:space="10" w:color="1F7A4D"/>
        </w:pBdr>
        <w:shd w:val="clear" w:fill="F4F9F6"/>
      </w:pPr>
      <w:r>
        <w:rPr>
          <w:rFonts w:ascii="Georgia" w:hAnsi="Georgia"/>
          <w:sz w:val="21"/>
        </w:rPr>
        <w:t>Synthetic frames rendered through the flat filter at the true solar positions for 21 June 2026 at Turku. The solar azimuth and elevation used to render each frame are given above it and the red circle marks the resulting sun position in the image. Because a photograph taken without a polarising element records no polarisation information, labelled frames for development and testing are produced in this manner from measured solar geometry rather than drawn from an archive of ordinary sky imagery.</w:t>
      </w:r>
    </w:p>
    <w:p>
      <w:pPr>
        <w:spacing w:after="200"/>
        <w:ind w:left="72"/>
        <w:pBdr>
          <w:left w:val="single" w:sz="18" w:space="10" w:color="A32020"/>
        </w:pBdr>
        <w:shd w:val="clear" w:fill="FDF1F1"/>
      </w:pPr>
      <w:r>
        <w:rPr>
          <w:sz w:val="19"/>
        </w:rPr>
        <w:t>The full set of captions for every figure, including the ones not yet inserted, is in THESIS_FIGURE_GUIDE_draft3.pdf. This block covers only the caption whose current wording contributes to the misunderstanding Block 20 addresses.</w:t>
      </w:r>
    </w:p>
    <w:p>
      <w:pPr>
        <w:pStyle w:val="Heading2"/>
      </w:pPr>
      <w:r>
        <w:t>Table 6.1, the replacement table</w:t>
      </w:r>
    </w:p>
    <w:p>
      <w:pPr>
        <w:spacing w:after="160"/>
      </w:pPr>
      <w:r>
        <w:rPr>
          <w:b/>
          <w:color w:val="8B1A1A"/>
          <w:sz w:val="19"/>
        </w:rPr>
        <w:t xml:space="preserve">REPLACES  </w:t>
      </w:r>
      <w:r>
        <w:rPr>
          <w:color w:val="555555"/>
          <w:sz w:val="19"/>
        </w:rPr>
        <w:t>the four row table at draft3 lines 1287 to 1297 in its entirety.</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pPr>
              <w:spacing w:after="20"/>
            </w:pPr>
            <w:r>
              <w:rPr>
                <w:rFonts w:ascii="Calibri" w:hAnsi="Calibri"/>
                <w:b/>
                <w:sz w:val="15"/>
              </w:rPr>
              <w:t>Condition</w:t>
            </w:r>
          </w:p>
        </w:tc>
        <w:tc>
          <w:tcPr>
            <w:tcW w:type="dxa" w:w="877"/>
          </w:tcPr>
          <w:p>
            <w:pPr>
              <w:spacing w:after="20"/>
            </w:pPr>
            <w:r>
              <w:rPr>
                <w:rFonts w:ascii="Calibri" w:hAnsi="Calibri"/>
                <w:b/>
                <w:sz w:val="15"/>
              </w:rPr>
              <w:t>Optic</w:t>
            </w:r>
          </w:p>
        </w:tc>
        <w:tc>
          <w:tcPr>
            <w:tcW w:type="dxa" w:w="877"/>
          </w:tcPr>
          <w:p>
            <w:pPr>
              <w:spacing w:after="20"/>
            </w:pPr>
            <w:r>
              <w:rPr>
                <w:rFonts w:ascii="Calibri" w:hAnsi="Calibri"/>
                <w:b/>
                <w:sz w:val="15"/>
              </w:rPr>
              <w:t>d max</w:t>
            </w:r>
          </w:p>
        </w:tc>
        <w:tc>
          <w:tcPr>
            <w:tcW w:type="dxa" w:w="877"/>
          </w:tcPr>
          <w:p>
            <w:pPr>
              <w:spacing w:after="20"/>
            </w:pPr>
            <w:r>
              <w:rPr>
                <w:rFonts w:ascii="Calibri" w:hAnsi="Calibri"/>
                <w:b/>
                <w:sz w:val="15"/>
              </w:rPr>
              <w:t>Clutter</w:t>
            </w:r>
          </w:p>
        </w:tc>
        <w:tc>
          <w:tcPr>
            <w:tcW w:type="dxa" w:w="877"/>
          </w:tcPr>
          <w:p>
            <w:pPr>
              <w:spacing w:after="20"/>
            </w:pPr>
            <w:r>
              <w:rPr>
                <w:rFonts w:ascii="Calibri" w:hAnsi="Calibri"/>
                <w:b/>
                <w:sz w:val="15"/>
              </w:rPr>
              <w:t>Mean</w:t>
            </w:r>
          </w:p>
        </w:tc>
        <w:tc>
          <w:tcPr>
            <w:tcW w:type="dxa" w:w="877"/>
          </w:tcPr>
          <w:p>
            <w:pPr>
              <w:spacing w:after="20"/>
            </w:pPr>
            <w:r>
              <w:rPr>
                <w:rFonts w:ascii="Calibri" w:hAnsi="Calibri"/>
                <w:b/>
                <w:sz w:val="15"/>
              </w:rPr>
              <w:t>Median</w:t>
            </w:r>
          </w:p>
        </w:tc>
        <w:tc>
          <w:tcPr>
            <w:tcW w:type="dxa" w:w="877"/>
          </w:tcPr>
          <w:p>
            <w:pPr>
              <w:spacing w:after="20"/>
            </w:pPr>
            <w:r>
              <w:rPr>
                <w:rFonts w:ascii="Calibri" w:hAnsi="Calibri"/>
                <w:b/>
                <w:sz w:val="15"/>
              </w:rPr>
              <w:t>P90</w:t>
            </w:r>
          </w:p>
        </w:tc>
        <w:tc>
          <w:tcPr>
            <w:tcW w:type="dxa" w:w="877"/>
          </w:tcPr>
          <w:p>
            <w:pPr>
              <w:spacing w:after="20"/>
            </w:pPr>
            <w:r>
              <w:rPr>
                <w:rFonts w:ascii="Calibri" w:hAnsi="Calibri"/>
                <w:b/>
                <w:sz w:val="15"/>
              </w:rPr>
              <w:t>Max err.</w:t>
            </w:r>
          </w:p>
        </w:tc>
        <w:tc>
          <w:tcPr>
            <w:tcW w:type="dxa" w:w="877"/>
          </w:tcPr>
          <w:p>
            <w:pPr>
              <w:spacing w:after="20"/>
            </w:pPr>
            <w:r>
              <w:rPr>
                <w:rFonts w:ascii="Calibri" w:hAnsi="Calibri"/>
                <w:b/>
                <w:sz w:val="15"/>
              </w:rPr>
              <w:t>Within 5°</w:t>
            </w:r>
          </w:p>
        </w:tc>
        <w:tc>
          <w:tcPr>
            <w:tcW w:type="dxa" w:w="877"/>
          </w:tcPr>
          <w:p>
            <w:pPr>
              <w:spacing w:after="20"/>
            </w:pPr>
            <w:r>
              <w:rPr>
                <w:rFonts w:ascii="Calibri" w:hAnsi="Calibri"/>
                <w:b/>
                <w:sz w:val="15"/>
              </w:rPr>
              <w:t>Conf.</w:t>
            </w:r>
          </w:p>
        </w:tc>
        <w:tc>
          <w:tcPr>
            <w:tcW w:type="dxa" w:w="877"/>
          </w:tcPr>
          <w:p>
            <w:pPr>
              <w:spacing w:after="20"/>
            </w:pPr>
            <w:r>
              <w:rPr>
                <w:rFonts w:ascii="Calibri" w:hAnsi="Calibri"/>
                <w:b/>
                <w:sz w:val="15"/>
              </w:rPr>
              <w:t>Gross</w:t>
            </w:r>
          </w:p>
        </w:tc>
      </w:tr>
      <w:tr>
        <w:tc>
          <w:tcPr>
            <w:tcW w:type="dxa" w:w="877"/>
          </w:tcPr>
          <w:p>
            <w:pPr>
              <w:spacing w:after="20"/>
            </w:pPr>
            <w:r>
              <w:rPr>
                <w:rFonts w:ascii="Calibri" w:hAnsi="Calibri"/>
                <w:sz w:val="15"/>
              </w:rPr>
              <w:t>Clear</w:t>
            </w:r>
          </w:p>
        </w:tc>
        <w:tc>
          <w:tcPr>
            <w:tcW w:type="dxa" w:w="877"/>
          </w:tcPr>
          <w:p>
            <w:pPr>
              <w:spacing w:after="20"/>
            </w:pPr>
            <w:r>
              <w:rPr>
                <w:rFonts w:ascii="Calibri" w:hAnsi="Calibri"/>
                <w:sz w:val="15"/>
              </w:rPr>
              <w:t>Flat filter</w:t>
            </w:r>
          </w:p>
        </w:tc>
        <w:tc>
          <w:tcPr>
            <w:tcW w:type="dxa" w:w="877"/>
          </w:tcPr>
          <w:p>
            <w:pPr>
              <w:spacing w:after="20"/>
            </w:pPr>
            <w:r>
              <w:rPr>
                <w:rFonts w:ascii="Calibri" w:hAnsi="Calibri"/>
                <w:sz w:val="15"/>
              </w:rPr>
              <w:t>0.75</w:t>
            </w:r>
          </w:p>
        </w:tc>
        <w:tc>
          <w:tcPr>
            <w:tcW w:type="dxa" w:w="877"/>
          </w:tcPr>
          <w:p>
            <w:pPr>
              <w:spacing w:after="20"/>
            </w:pPr>
            <w:r>
              <w:rPr>
                <w:rFonts w:ascii="Calibri" w:hAnsi="Calibri"/>
                <w:sz w:val="15"/>
              </w:rPr>
              <w:t>0.00</w:t>
            </w:r>
          </w:p>
        </w:tc>
        <w:tc>
          <w:tcPr>
            <w:tcW w:type="dxa" w:w="877"/>
          </w:tcPr>
          <w:p>
            <w:pPr>
              <w:spacing w:after="20"/>
            </w:pPr>
            <w:r>
              <w:rPr>
                <w:rFonts w:ascii="Calibri" w:hAnsi="Calibri"/>
                <w:sz w:val="15"/>
              </w:rPr>
              <w:t>0.078</w:t>
            </w:r>
          </w:p>
        </w:tc>
        <w:tc>
          <w:tcPr>
            <w:tcW w:type="dxa" w:w="877"/>
          </w:tcPr>
          <w:p>
            <w:pPr>
              <w:spacing w:after="20"/>
            </w:pPr>
            <w:r>
              <w:rPr>
                <w:rFonts w:ascii="Calibri" w:hAnsi="Calibri"/>
                <w:sz w:val="15"/>
              </w:rPr>
              <w:t>0.075</w:t>
            </w:r>
          </w:p>
        </w:tc>
        <w:tc>
          <w:tcPr>
            <w:tcW w:type="dxa" w:w="877"/>
          </w:tcPr>
          <w:p>
            <w:pPr>
              <w:spacing w:after="20"/>
            </w:pPr>
            <w:r>
              <w:rPr>
                <w:rFonts w:ascii="Calibri" w:hAnsi="Calibri"/>
                <w:sz w:val="15"/>
              </w:rPr>
              <w:t>0.138</w:t>
            </w:r>
          </w:p>
        </w:tc>
        <w:tc>
          <w:tcPr>
            <w:tcW w:type="dxa" w:w="877"/>
          </w:tcPr>
          <w:p>
            <w:pPr>
              <w:spacing w:after="20"/>
            </w:pPr>
            <w:r>
              <w:rPr>
                <w:rFonts w:ascii="Calibri" w:hAnsi="Calibri"/>
                <w:sz w:val="15"/>
              </w:rPr>
              <w:t>0.272</w:t>
            </w:r>
          </w:p>
        </w:tc>
        <w:tc>
          <w:tcPr>
            <w:tcW w:type="dxa" w:w="877"/>
          </w:tcPr>
          <w:p>
            <w:pPr>
              <w:spacing w:after="20"/>
            </w:pPr>
            <w:r>
              <w:rPr>
                <w:rFonts w:ascii="Calibri" w:hAnsi="Calibri"/>
                <w:sz w:val="15"/>
              </w:rPr>
              <w:t>100.0 %</w:t>
            </w:r>
          </w:p>
        </w:tc>
        <w:tc>
          <w:tcPr>
            <w:tcW w:type="dxa" w:w="877"/>
          </w:tcPr>
          <w:p>
            <w:pPr>
              <w:spacing w:after="20"/>
            </w:pPr>
            <w:r>
              <w:rPr>
                <w:rFonts w:ascii="Calibri" w:hAnsi="Calibri"/>
                <w:sz w:val="15"/>
              </w:rPr>
              <w:t>1.80</w:t>
            </w:r>
          </w:p>
        </w:tc>
        <w:tc>
          <w:tcPr>
            <w:tcW w:type="dxa" w:w="877"/>
          </w:tcPr>
          <w:p>
            <w:pPr>
              <w:spacing w:after="20"/>
            </w:pPr>
            <w:r>
              <w:rPr>
                <w:rFonts w:ascii="Calibri" w:hAnsi="Calibri"/>
                <w:sz w:val="15"/>
              </w:rPr>
              <w:t>0</w:t>
            </w:r>
          </w:p>
        </w:tc>
      </w:tr>
      <w:tr>
        <w:tc>
          <w:tcPr>
            <w:tcW w:type="dxa" w:w="877"/>
          </w:tcPr>
          <w:p>
            <w:pPr>
              <w:spacing w:after="20"/>
            </w:pPr>
            <w:r>
              <w:rPr>
                <w:rFonts w:ascii="Calibri" w:hAnsi="Calibri"/>
                <w:sz w:val="15"/>
              </w:rPr>
              <w:t>Thin cloud</w:t>
            </w:r>
          </w:p>
        </w:tc>
        <w:tc>
          <w:tcPr>
            <w:tcW w:type="dxa" w:w="877"/>
          </w:tcPr>
          <w:p>
            <w:pPr>
              <w:spacing w:after="20"/>
            </w:pPr>
            <w:r>
              <w:rPr>
                <w:rFonts w:ascii="Calibri" w:hAnsi="Calibri"/>
                <w:sz w:val="15"/>
              </w:rPr>
              <w:t>Flat filter</w:t>
            </w:r>
          </w:p>
        </w:tc>
        <w:tc>
          <w:tcPr>
            <w:tcW w:type="dxa" w:w="877"/>
          </w:tcPr>
          <w:p>
            <w:pPr>
              <w:spacing w:after="20"/>
            </w:pPr>
            <w:r>
              <w:rPr>
                <w:rFonts w:ascii="Calibri" w:hAnsi="Calibri"/>
                <w:sz w:val="15"/>
              </w:rPr>
              <w:t>0.45</w:t>
            </w:r>
          </w:p>
        </w:tc>
        <w:tc>
          <w:tcPr>
            <w:tcW w:type="dxa" w:w="877"/>
          </w:tcPr>
          <w:p>
            <w:pPr>
              <w:spacing w:after="20"/>
            </w:pPr>
            <w:r>
              <w:rPr>
                <w:rFonts w:ascii="Calibri" w:hAnsi="Calibri"/>
                <w:sz w:val="15"/>
              </w:rPr>
              <w:t>0.30</w:t>
            </w:r>
          </w:p>
        </w:tc>
        <w:tc>
          <w:tcPr>
            <w:tcW w:type="dxa" w:w="877"/>
          </w:tcPr>
          <w:p>
            <w:pPr>
              <w:spacing w:after="20"/>
            </w:pPr>
            <w:r>
              <w:rPr>
                <w:rFonts w:ascii="Calibri" w:hAnsi="Calibri"/>
                <w:sz w:val="15"/>
              </w:rPr>
              <w:t>1.020</w:t>
            </w:r>
          </w:p>
        </w:tc>
        <w:tc>
          <w:tcPr>
            <w:tcW w:type="dxa" w:w="877"/>
          </w:tcPr>
          <w:p>
            <w:pPr>
              <w:spacing w:after="20"/>
            </w:pPr>
            <w:r>
              <w:rPr>
                <w:rFonts w:ascii="Calibri" w:hAnsi="Calibri"/>
                <w:sz w:val="15"/>
              </w:rPr>
              <w:t>0.777</w:t>
            </w:r>
          </w:p>
        </w:tc>
        <w:tc>
          <w:tcPr>
            <w:tcW w:type="dxa" w:w="877"/>
          </w:tcPr>
          <w:p>
            <w:pPr>
              <w:spacing w:after="20"/>
            </w:pPr>
            <w:r>
              <w:rPr>
                <w:rFonts w:ascii="Calibri" w:hAnsi="Calibri"/>
                <w:sz w:val="15"/>
              </w:rPr>
              <w:t>2.188</w:t>
            </w:r>
          </w:p>
        </w:tc>
        <w:tc>
          <w:tcPr>
            <w:tcW w:type="dxa" w:w="877"/>
          </w:tcPr>
          <w:p>
            <w:pPr>
              <w:spacing w:after="20"/>
            </w:pPr>
            <w:r>
              <w:rPr>
                <w:rFonts w:ascii="Calibri" w:hAnsi="Calibri"/>
                <w:sz w:val="15"/>
              </w:rPr>
              <w:t>4.224</w:t>
            </w:r>
          </w:p>
        </w:tc>
        <w:tc>
          <w:tcPr>
            <w:tcW w:type="dxa" w:w="877"/>
          </w:tcPr>
          <w:p>
            <w:pPr>
              <w:spacing w:after="20"/>
            </w:pPr>
            <w:r>
              <w:rPr>
                <w:rFonts w:ascii="Calibri" w:hAnsi="Calibri"/>
                <w:sz w:val="15"/>
              </w:rPr>
              <w:t>100.0 %</w:t>
            </w:r>
          </w:p>
        </w:tc>
        <w:tc>
          <w:tcPr>
            <w:tcW w:type="dxa" w:w="877"/>
          </w:tcPr>
          <w:p>
            <w:pPr>
              <w:spacing w:after="20"/>
            </w:pPr>
            <w:r>
              <w:rPr>
                <w:rFonts w:ascii="Calibri" w:hAnsi="Calibri"/>
                <w:sz w:val="15"/>
              </w:rPr>
              <w:t>1.80</w:t>
            </w:r>
          </w:p>
        </w:tc>
        <w:tc>
          <w:tcPr>
            <w:tcW w:type="dxa" w:w="877"/>
          </w:tcPr>
          <w:p>
            <w:pPr>
              <w:spacing w:after="20"/>
            </w:pPr>
            <w:r>
              <w:rPr>
                <w:rFonts w:ascii="Calibri" w:hAnsi="Calibri"/>
                <w:sz w:val="15"/>
              </w:rPr>
              <w:t>0</w:t>
            </w:r>
          </w:p>
        </w:tc>
      </w:tr>
      <w:tr>
        <w:tc>
          <w:tcPr>
            <w:tcW w:type="dxa" w:w="877"/>
          </w:tcPr>
          <w:p>
            <w:pPr>
              <w:spacing w:after="20"/>
            </w:pPr>
            <w:r>
              <w:rPr>
                <w:rFonts w:ascii="Calibri" w:hAnsi="Calibri"/>
                <w:sz w:val="15"/>
              </w:rPr>
              <w:t>Heavy cloud</w:t>
            </w:r>
          </w:p>
        </w:tc>
        <w:tc>
          <w:tcPr>
            <w:tcW w:type="dxa" w:w="877"/>
          </w:tcPr>
          <w:p>
            <w:pPr>
              <w:spacing w:after="20"/>
            </w:pPr>
            <w:r>
              <w:rPr>
                <w:rFonts w:ascii="Calibri" w:hAnsi="Calibri"/>
                <w:sz w:val="15"/>
              </w:rPr>
              <w:t>Flat filter</w:t>
            </w:r>
          </w:p>
        </w:tc>
        <w:tc>
          <w:tcPr>
            <w:tcW w:type="dxa" w:w="877"/>
          </w:tcPr>
          <w:p>
            <w:pPr>
              <w:spacing w:after="20"/>
            </w:pPr>
            <w:r>
              <w:rPr>
                <w:rFonts w:ascii="Calibri" w:hAnsi="Calibri"/>
                <w:sz w:val="15"/>
              </w:rPr>
              <w:t>0.20</w:t>
            </w:r>
          </w:p>
        </w:tc>
        <w:tc>
          <w:tcPr>
            <w:tcW w:type="dxa" w:w="877"/>
          </w:tcPr>
          <w:p>
            <w:pPr>
              <w:spacing w:after="20"/>
            </w:pPr>
            <w:r>
              <w:rPr>
                <w:rFonts w:ascii="Calibri" w:hAnsi="Calibri"/>
                <w:sz w:val="15"/>
              </w:rPr>
              <w:t>0.60</w:t>
            </w:r>
          </w:p>
        </w:tc>
        <w:tc>
          <w:tcPr>
            <w:tcW w:type="dxa" w:w="877"/>
          </w:tcPr>
          <w:p>
            <w:pPr>
              <w:spacing w:after="20"/>
            </w:pPr>
            <w:r>
              <w:rPr>
                <w:rFonts w:ascii="Calibri" w:hAnsi="Calibri"/>
                <w:sz w:val="15"/>
              </w:rPr>
              <w:t>17.972</w:t>
            </w:r>
          </w:p>
        </w:tc>
        <w:tc>
          <w:tcPr>
            <w:tcW w:type="dxa" w:w="877"/>
          </w:tcPr>
          <w:p>
            <w:pPr>
              <w:spacing w:after="20"/>
            </w:pPr>
            <w:r>
              <w:rPr>
                <w:rFonts w:ascii="Calibri" w:hAnsi="Calibri"/>
                <w:sz w:val="15"/>
              </w:rPr>
              <w:t>4.103</w:t>
            </w:r>
          </w:p>
        </w:tc>
        <w:tc>
          <w:tcPr>
            <w:tcW w:type="dxa" w:w="877"/>
          </w:tcPr>
          <w:p>
            <w:pPr>
              <w:spacing w:after="20"/>
            </w:pPr>
            <w:r>
              <w:rPr>
                <w:rFonts w:ascii="Calibri" w:hAnsi="Calibri"/>
                <w:sz w:val="15"/>
              </w:rPr>
              <w:t>15.639</w:t>
            </w:r>
          </w:p>
        </w:tc>
        <w:tc>
          <w:tcPr>
            <w:tcW w:type="dxa" w:w="877"/>
          </w:tcPr>
          <w:p>
            <w:pPr>
              <w:spacing w:after="20"/>
            </w:pPr>
            <w:r>
              <w:rPr>
                <w:rFonts w:ascii="Calibri" w:hAnsi="Calibri"/>
                <w:sz w:val="15"/>
              </w:rPr>
              <w:t>179.951</w:t>
            </w:r>
          </w:p>
        </w:tc>
        <w:tc>
          <w:tcPr>
            <w:tcW w:type="dxa" w:w="877"/>
          </w:tcPr>
          <w:p>
            <w:pPr>
              <w:spacing w:after="20"/>
            </w:pPr>
            <w:r>
              <w:rPr>
                <w:rFonts w:ascii="Calibri" w:hAnsi="Calibri"/>
                <w:sz w:val="15"/>
              </w:rPr>
              <w:t>56.5 %</w:t>
            </w:r>
          </w:p>
        </w:tc>
        <w:tc>
          <w:tcPr>
            <w:tcW w:type="dxa" w:w="877"/>
          </w:tcPr>
          <w:p>
            <w:pPr>
              <w:spacing w:after="20"/>
            </w:pPr>
            <w:r>
              <w:rPr>
                <w:rFonts w:ascii="Calibri" w:hAnsi="Calibri"/>
                <w:sz w:val="15"/>
              </w:rPr>
              <w:t>1.75</w:t>
            </w:r>
          </w:p>
        </w:tc>
        <w:tc>
          <w:tcPr>
            <w:tcW w:type="dxa" w:w="877"/>
          </w:tcPr>
          <w:p>
            <w:pPr>
              <w:spacing w:after="20"/>
            </w:pPr>
            <w:r>
              <w:rPr>
                <w:rFonts w:ascii="Calibri" w:hAnsi="Calibri"/>
                <w:sz w:val="15"/>
              </w:rPr>
              <w:t>15/200</w:t>
            </w:r>
          </w:p>
        </w:tc>
      </w:tr>
      <w:tr>
        <w:tc>
          <w:tcPr>
            <w:tcW w:type="dxa" w:w="877"/>
          </w:tcPr>
          <w:p>
            <w:pPr>
              <w:spacing w:after="20"/>
            </w:pPr>
            <w:r>
              <w:rPr>
                <w:rFonts w:ascii="Calibri" w:hAnsi="Calibri"/>
                <w:sz w:val="15"/>
              </w:rPr>
              <w:t>Clear</w:t>
            </w:r>
          </w:p>
        </w:tc>
        <w:tc>
          <w:tcPr>
            <w:tcW w:type="dxa" w:w="877"/>
          </w:tcPr>
          <w:p>
            <w:pPr>
              <w:spacing w:after="20"/>
            </w:pPr>
            <w:r>
              <w:rPr>
                <w:rFonts w:ascii="Calibri" w:hAnsi="Calibri"/>
                <w:sz w:val="15"/>
              </w:rPr>
              <w:t>Radial dome</w:t>
            </w:r>
          </w:p>
        </w:tc>
        <w:tc>
          <w:tcPr>
            <w:tcW w:type="dxa" w:w="877"/>
          </w:tcPr>
          <w:p>
            <w:pPr>
              <w:spacing w:after="20"/>
            </w:pPr>
            <w:r>
              <w:rPr>
                <w:rFonts w:ascii="Calibri" w:hAnsi="Calibri"/>
                <w:sz w:val="15"/>
              </w:rPr>
              <w:t>0.75</w:t>
            </w:r>
          </w:p>
        </w:tc>
        <w:tc>
          <w:tcPr>
            <w:tcW w:type="dxa" w:w="877"/>
          </w:tcPr>
          <w:p>
            <w:pPr>
              <w:spacing w:after="20"/>
            </w:pPr>
            <w:r>
              <w:rPr>
                <w:rFonts w:ascii="Calibri" w:hAnsi="Calibri"/>
                <w:sz w:val="15"/>
              </w:rPr>
              <w:t>0.00</w:t>
            </w:r>
          </w:p>
        </w:tc>
        <w:tc>
          <w:tcPr>
            <w:tcW w:type="dxa" w:w="877"/>
          </w:tcPr>
          <w:p>
            <w:pPr>
              <w:spacing w:after="20"/>
            </w:pPr>
            <w:r>
              <w:rPr>
                <w:rFonts w:ascii="Calibri" w:hAnsi="Calibri"/>
                <w:sz w:val="15"/>
              </w:rPr>
              <w:t>0.079</w:t>
            </w:r>
          </w:p>
        </w:tc>
        <w:tc>
          <w:tcPr>
            <w:tcW w:type="dxa" w:w="877"/>
          </w:tcPr>
          <w:p>
            <w:pPr>
              <w:spacing w:after="20"/>
            </w:pPr>
            <w:r>
              <w:rPr>
                <w:rFonts w:ascii="Calibri" w:hAnsi="Calibri"/>
                <w:sz w:val="15"/>
              </w:rPr>
              <w:t>0.075</w:t>
            </w:r>
          </w:p>
        </w:tc>
        <w:tc>
          <w:tcPr>
            <w:tcW w:type="dxa" w:w="877"/>
          </w:tcPr>
          <w:p>
            <w:pPr>
              <w:spacing w:after="20"/>
            </w:pPr>
            <w:r>
              <w:rPr>
                <w:rFonts w:ascii="Calibri" w:hAnsi="Calibri"/>
                <w:sz w:val="15"/>
              </w:rPr>
              <w:t>0.142</w:t>
            </w:r>
          </w:p>
        </w:tc>
        <w:tc>
          <w:tcPr>
            <w:tcW w:type="dxa" w:w="877"/>
          </w:tcPr>
          <w:p>
            <w:pPr>
              <w:spacing w:after="20"/>
            </w:pPr>
            <w:r>
              <w:rPr>
                <w:rFonts w:ascii="Calibri" w:hAnsi="Calibri"/>
                <w:sz w:val="15"/>
              </w:rPr>
              <w:t>0.269</w:t>
            </w:r>
          </w:p>
        </w:tc>
        <w:tc>
          <w:tcPr>
            <w:tcW w:type="dxa" w:w="877"/>
          </w:tcPr>
          <w:p>
            <w:pPr>
              <w:spacing w:after="20"/>
            </w:pPr>
            <w:r>
              <w:rPr>
                <w:rFonts w:ascii="Calibri" w:hAnsi="Calibri"/>
                <w:sz w:val="15"/>
              </w:rPr>
              <w:t>100.0 %</w:t>
            </w:r>
          </w:p>
        </w:tc>
        <w:tc>
          <w:tcPr>
            <w:tcW w:type="dxa" w:w="877"/>
          </w:tcPr>
          <w:p>
            <w:pPr>
              <w:spacing w:after="20"/>
            </w:pPr>
            <w:r>
              <w:rPr>
                <w:rFonts w:ascii="Calibri" w:hAnsi="Calibri"/>
                <w:sz w:val="15"/>
              </w:rPr>
              <w:t>1.78</w:t>
            </w:r>
          </w:p>
        </w:tc>
        <w:tc>
          <w:tcPr>
            <w:tcW w:type="dxa" w:w="877"/>
          </w:tcPr>
          <w:p>
            <w:pPr>
              <w:spacing w:after="20"/>
            </w:pPr>
            <w:r>
              <w:rPr>
                <w:rFonts w:ascii="Calibri" w:hAnsi="Calibri"/>
                <w:sz w:val="15"/>
              </w:rPr>
              <w:t>0</w:t>
            </w:r>
          </w:p>
        </w:tc>
      </w:tr>
      <w:tr>
        <w:tc>
          <w:tcPr>
            <w:tcW w:type="dxa" w:w="877"/>
          </w:tcPr>
          <w:p>
            <w:pPr>
              <w:spacing w:after="20"/>
            </w:pPr>
            <w:r>
              <w:rPr>
                <w:rFonts w:ascii="Calibri" w:hAnsi="Calibri"/>
                <w:sz w:val="15"/>
              </w:rPr>
              <w:t>Thin cloud</w:t>
            </w:r>
          </w:p>
        </w:tc>
        <w:tc>
          <w:tcPr>
            <w:tcW w:type="dxa" w:w="877"/>
          </w:tcPr>
          <w:p>
            <w:pPr>
              <w:spacing w:after="20"/>
            </w:pPr>
            <w:r>
              <w:rPr>
                <w:rFonts w:ascii="Calibri" w:hAnsi="Calibri"/>
                <w:sz w:val="15"/>
              </w:rPr>
              <w:t>Radial dome</w:t>
            </w:r>
          </w:p>
        </w:tc>
        <w:tc>
          <w:tcPr>
            <w:tcW w:type="dxa" w:w="877"/>
          </w:tcPr>
          <w:p>
            <w:pPr>
              <w:spacing w:after="20"/>
            </w:pPr>
            <w:r>
              <w:rPr>
                <w:rFonts w:ascii="Calibri" w:hAnsi="Calibri"/>
                <w:sz w:val="15"/>
              </w:rPr>
              <w:t>0.45</w:t>
            </w:r>
          </w:p>
        </w:tc>
        <w:tc>
          <w:tcPr>
            <w:tcW w:type="dxa" w:w="877"/>
          </w:tcPr>
          <w:p>
            <w:pPr>
              <w:spacing w:after="20"/>
            </w:pPr>
            <w:r>
              <w:rPr>
                <w:rFonts w:ascii="Calibri" w:hAnsi="Calibri"/>
                <w:sz w:val="15"/>
              </w:rPr>
              <w:t>0.30</w:t>
            </w:r>
          </w:p>
        </w:tc>
        <w:tc>
          <w:tcPr>
            <w:tcW w:type="dxa" w:w="877"/>
          </w:tcPr>
          <w:p>
            <w:pPr>
              <w:spacing w:after="20"/>
            </w:pPr>
            <w:r>
              <w:rPr>
                <w:rFonts w:ascii="Calibri" w:hAnsi="Calibri"/>
                <w:sz w:val="15"/>
              </w:rPr>
              <w:t>5.687</w:t>
            </w:r>
          </w:p>
        </w:tc>
        <w:tc>
          <w:tcPr>
            <w:tcW w:type="dxa" w:w="877"/>
          </w:tcPr>
          <w:p>
            <w:pPr>
              <w:spacing w:after="20"/>
            </w:pPr>
            <w:r>
              <w:rPr>
                <w:rFonts w:ascii="Calibri" w:hAnsi="Calibri"/>
                <w:sz w:val="15"/>
              </w:rPr>
              <w:t>2.120</w:t>
            </w:r>
          </w:p>
        </w:tc>
        <w:tc>
          <w:tcPr>
            <w:tcW w:type="dxa" w:w="877"/>
          </w:tcPr>
          <w:p>
            <w:pPr>
              <w:spacing w:after="20"/>
            </w:pPr>
            <w:r>
              <w:rPr>
                <w:rFonts w:ascii="Calibri" w:hAnsi="Calibri"/>
                <w:sz w:val="15"/>
              </w:rPr>
              <w:t>8.432</w:t>
            </w:r>
          </w:p>
        </w:tc>
        <w:tc>
          <w:tcPr>
            <w:tcW w:type="dxa" w:w="877"/>
          </w:tcPr>
          <w:p>
            <w:pPr>
              <w:spacing w:after="20"/>
            </w:pPr>
            <w:r>
              <w:rPr>
                <w:rFonts w:ascii="Calibri" w:hAnsi="Calibri"/>
                <w:sz w:val="15"/>
              </w:rPr>
              <w:t>179.911</w:t>
            </w:r>
          </w:p>
        </w:tc>
        <w:tc>
          <w:tcPr>
            <w:tcW w:type="dxa" w:w="877"/>
          </w:tcPr>
          <w:p>
            <w:pPr>
              <w:spacing w:after="20"/>
            </w:pPr>
            <w:r>
              <w:rPr>
                <w:rFonts w:ascii="Calibri" w:hAnsi="Calibri"/>
                <w:sz w:val="15"/>
              </w:rPr>
              <w:t>75.0 %</w:t>
            </w:r>
          </w:p>
        </w:tc>
        <w:tc>
          <w:tcPr>
            <w:tcW w:type="dxa" w:w="877"/>
          </w:tcPr>
          <w:p>
            <w:pPr>
              <w:spacing w:after="20"/>
            </w:pPr>
            <w:r>
              <w:rPr>
                <w:rFonts w:ascii="Calibri" w:hAnsi="Calibri"/>
                <w:sz w:val="15"/>
              </w:rPr>
              <w:t>1.74</w:t>
            </w:r>
          </w:p>
        </w:tc>
        <w:tc>
          <w:tcPr>
            <w:tcW w:type="dxa" w:w="877"/>
          </w:tcPr>
          <w:p>
            <w:pPr>
              <w:spacing w:after="20"/>
            </w:pPr>
            <w:r>
              <w:rPr>
                <w:rFonts w:ascii="Calibri" w:hAnsi="Calibri"/>
                <w:sz w:val="15"/>
              </w:rPr>
              <w:t>3/200</w:t>
            </w:r>
          </w:p>
        </w:tc>
      </w:tr>
      <w:tr>
        <w:tc>
          <w:tcPr>
            <w:tcW w:type="dxa" w:w="877"/>
          </w:tcPr>
          <w:p>
            <w:pPr>
              <w:spacing w:after="20"/>
            </w:pPr>
            <w:r>
              <w:rPr>
                <w:rFonts w:ascii="Calibri" w:hAnsi="Calibri"/>
                <w:sz w:val="15"/>
              </w:rPr>
              <w:t>Heavy cloud</w:t>
            </w:r>
          </w:p>
        </w:tc>
        <w:tc>
          <w:tcPr>
            <w:tcW w:type="dxa" w:w="877"/>
          </w:tcPr>
          <w:p>
            <w:pPr>
              <w:spacing w:after="20"/>
            </w:pPr>
            <w:r>
              <w:rPr>
                <w:rFonts w:ascii="Calibri" w:hAnsi="Calibri"/>
                <w:sz w:val="15"/>
              </w:rPr>
              <w:t>Radial dome</w:t>
            </w:r>
          </w:p>
        </w:tc>
        <w:tc>
          <w:tcPr>
            <w:tcW w:type="dxa" w:w="877"/>
          </w:tcPr>
          <w:p>
            <w:pPr>
              <w:spacing w:after="20"/>
            </w:pPr>
            <w:r>
              <w:rPr>
                <w:rFonts w:ascii="Calibri" w:hAnsi="Calibri"/>
                <w:sz w:val="15"/>
              </w:rPr>
              <w:t>0.20</w:t>
            </w:r>
          </w:p>
        </w:tc>
        <w:tc>
          <w:tcPr>
            <w:tcW w:type="dxa" w:w="877"/>
          </w:tcPr>
          <w:p>
            <w:pPr>
              <w:spacing w:after="20"/>
            </w:pPr>
            <w:r>
              <w:rPr>
                <w:rFonts w:ascii="Calibri" w:hAnsi="Calibri"/>
                <w:sz w:val="15"/>
              </w:rPr>
              <w:t>0.60</w:t>
            </w:r>
          </w:p>
        </w:tc>
        <w:tc>
          <w:tcPr>
            <w:tcW w:type="dxa" w:w="877"/>
          </w:tcPr>
          <w:p>
            <w:pPr>
              <w:spacing w:after="20"/>
            </w:pPr>
            <w:r>
              <w:rPr>
                <w:rFonts w:ascii="Calibri" w:hAnsi="Calibri"/>
                <w:sz w:val="15"/>
              </w:rPr>
              <w:t>65.634</w:t>
            </w:r>
          </w:p>
        </w:tc>
        <w:tc>
          <w:tcPr>
            <w:tcW w:type="dxa" w:w="877"/>
          </w:tcPr>
          <w:p>
            <w:pPr>
              <w:spacing w:after="20"/>
            </w:pPr>
            <w:r>
              <w:rPr>
                <w:rFonts w:ascii="Calibri" w:hAnsi="Calibri"/>
                <w:sz w:val="15"/>
              </w:rPr>
              <w:t>20.783</w:t>
            </w:r>
          </w:p>
        </w:tc>
        <w:tc>
          <w:tcPr>
            <w:tcW w:type="dxa" w:w="877"/>
          </w:tcPr>
          <w:p>
            <w:pPr>
              <w:spacing w:after="20"/>
            </w:pPr>
            <w:r>
              <w:rPr>
                <w:rFonts w:ascii="Calibri" w:hAnsi="Calibri"/>
                <w:sz w:val="15"/>
              </w:rPr>
              <w:t>177.324</w:t>
            </w:r>
          </w:p>
        </w:tc>
        <w:tc>
          <w:tcPr>
            <w:tcW w:type="dxa" w:w="877"/>
          </w:tcPr>
          <w:p>
            <w:pPr>
              <w:spacing w:after="20"/>
            </w:pPr>
            <w:r>
              <w:rPr>
                <w:rFonts w:ascii="Calibri" w:hAnsi="Calibri"/>
                <w:sz w:val="15"/>
              </w:rPr>
              <w:t>179.839</w:t>
            </w:r>
          </w:p>
        </w:tc>
        <w:tc>
          <w:tcPr>
            <w:tcW w:type="dxa" w:w="877"/>
          </w:tcPr>
          <w:p>
            <w:pPr>
              <w:spacing w:after="20"/>
            </w:pPr>
            <w:r>
              <w:rPr>
                <w:rFonts w:ascii="Calibri" w:hAnsi="Calibri"/>
                <w:sz w:val="15"/>
              </w:rPr>
              <w:t>18.5 %</w:t>
            </w:r>
          </w:p>
        </w:tc>
        <w:tc>
          <w:tcPr>
            <w:tcW w:type="dxa" w:w="877"/>
          </w:tcPr>
          <w:p>
            <w:pPr>
              <w:spacing w:after="20"/>
            </w:pPr>
            <w:r>
              <w:rPr>
                <w:rFonts w:ascii="Calibri" w:hAnsi="Calibri"/>
                <w:sz w:val="15"/>
              </w:rPr>
              <w:t>1.53</w:t>
            </w:r>
          </w:p>
        </w:tc>
        <w:tc>
          <w:tcPr>
            <w:tcW w:type="dxa" w:w="877"/>
          </w:tcPr>
          <w:p>
            <w:pPr>
              <w:spacing w:after="20"/>
            </w:pPr>
            <w:r>
              <w:rPr>
                <w:rFonts w:ascii="Calibri" w:hAnsi="Calibri"/>
                <w:sz w:val="15"/>
              </w:rPr>
              <w:t>75/200</w:t>
            </w:r>
          </w:p>
        </w:tc>
      </w:tr>
    </w:tbl>
    <w:p>
      <w:pPr>
        <w:spacing w:after="140"/>
      </w:pPr>
      <w:r>
        <w:rPr>
          <w:b w:val="0"/>
          <w:i w:val="0"/>
        </w:rPr>
      </w:r>
    </w:p>
    <w:p>
      <w:pPr>
        <w:spacing w:after="200"/>
        <w:ind w:left="72"/>
        <w:pBdr>
          <w:left w:val="single" w:sz="18" w:space="10" w:color="16305C"/>
        </w:pBdr>
        <w:shd w:val="clear" w:fill="F1F5FB"/>
      </w:pPr>
      <w:r>
        <w:rPr>
          <w:sz w:val="19"/>
        </w:rPr>
        <w:t>Source files: outputs/n200_flat_clear.txt, n200_flat_thin.txt, n200_flat_heavy.txt, n200_radial_clear.txt, n200_radial_thin.txt, n200_radial_heavy.txt, collected in outputs/results_table.txt. Re-run and re-check before submitting.</w:t>
      </w:r>
    </w:p>
    <w:p>
      <w:pPr>
        <w:pStyle w:val="Heading2"/>
      </w:pPr>
      <w:r>
        <w:t>Blocks from the 30 July version that you should NOT paste</w:t>
      </w:r>
    </w:p>
    <w:p>
      <w:pPr>
        <w:spacing w:after="140"/>
      </w:pPr>
      <w:r>
        <w:rPr>
          <w:b/>
          <w:i w:val="0"/>
          <w:sz w:val="20"/>
        </w:rPr>
        <w:t xml:space="preserve">Old Block 5, §4.2 complete replacement. </w:t>
      </w:r>
      <w:r>
        <w:rPr>
          <w:b w:val="0"/>
          <w:i w:val="0"/>
          <w:sz w:val="20"/>
        </w:rPr>
        <w:t>draft3 §4.2 already carries R = 40 mm, N = 8, L = 62.83 mm and W = 31.42 mm. Only the axis paragraph, the mount description and the NOTE block still need work, which Blocks 7, 8 and 9 above cover. Pasting the old block wholesale would delete text you have already fixed.</w:t>
      </w:r>
    </w:p>
    <w:p>
      <w:pPr>
        <w:spacing w:after="140"/>
      </w:pPr>
      <w:r>
        <w:rPr>
          <w:b/>
          <w:i w:val="0"/>
          <w:sz w:val="20"/>
        </w:rPr>
        <w:t xml:space="preserve">Old Block 10, §5.4 dataset paragraph. </w:t>
      </w:r>
      <w:r>
        <w:rPr>
          <w:b w:val="0"/>
          <w:i w:val="0"/>
          <w:sz w:val="20"/>
        </w:rPr>
        <w:t>§5.4 has been rewritten in draft3 and is now the strongest section in Chapter 5. It already explains why a faithful synthetic image needs far more than the position of the sun, and it already states that the final approach uses the physical camera. Block 15 above folds in the dataset numbers and fixes the opening sentence; nothing else is needed.</w:t>
      </w:r>
    </w:p>
    <w:p>
      <w:pPr>
        <w:spacing w:after="140"/>
      </w:pPr>
      <w:r>
        <w:rPr>
          <w:b/>
          <w:i w:val="0"/>
          <w:sz w:val="20"/>
        </w:rPr>
        <w:t xml:space="preserve">The keywords, the AI declaration and the page count. </w:t>
      </w:r>
      <w:r>
        <w:rPr>
          <w:b w:val="0"/>
          <w:i w:val="0"/>
          <w:sz w:val="20"/>
        </w:rPr>
        <w:t>All three were placeholders in thesis1 and are filled in draft3. The keywords at line 58 are correct. Check only that the title page count, 49 p. and 1 app. p., still matches once Chapter 8 and the appendix are final.</w:t>
      </w:r>
    </w:p>
    <w:p>
      <w:pPr>
        <w:spacing w:after="140"/>
      </w:pPr>
      <w:r>
        <w:rPr>
          <w:b/>
          <w:i w:val="0"/>
          <w:sz w:val="20"/>
        </w:rPr>
        <w:t xml:space="preserve">The Chapter 1 duplicate paragraph. </w:t>
      </w:r>
      <w:r>
        <w:rPr>
          <w:b w:val="0"/>
          <w:i w:val="0"/>
          <w:sz w:val="20"/>
        </w:rPr>
        <w:t>The duplicated sky compass explanation that appeared twice in thesis1 is gone from draft3. The Chapter 1 typos listed in the old plan should still be checked, but the structural problem is resolved.</w:t>
      </w:r>
    </w:p>
    <w:p>
      <w:pPr>
        <w:pStyle w:val="Heading2"/>
      </w:pPr>
      <w:r>
        <w:t>Order of pasting</w:t>
      </w:r>
    </w:p>
    <w:p>
      <w:pPr>
        <w:spacing w:after="140"/>
      </w:pPr>
      <w:r>
        <w:rPr>
          <w:b w:val="0"/>
          <w:i w:val="0"/>
          <w:sz w:val="20"/>
        </w:rPr>
        <w:t>Blocks 20, 27 and 15 first: they are three sentences between them and they answer the question your supervisor actually asked. Then Block 19, the new §6.4, because it repairs a broken cross-reference and is the only block that depends on the weather. Then Blocks 17, 18 and the table, which carry the corrected physics and the current numbers. Then 21, 22 and 26, which make Chapter 7 and the conclusion agree with Chapter 6. The rest are independent of each other and can be pasted in any order.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6305C"/>
      <w:sz w:val="38"/>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6305C"/>
      <w:sz w:val="26"/>
      <w:szCs w:val="26"/>
    </w:rPr>
  </w:style>
  <w:style w:type="paragraph" w:styleId="Heading3">
    <w:name w:val="heading 3"/>
    <w:basedOn w:val="Normal"/>
    <w:next w:val="Normal"/>
    <w:link w:val="Heading3Char"/>
    <w:uiPriority w:val="9"/>
    <w:unhideWhenUsed/>
    <w:qFormat/>
    <w:rsid w:val="00FC693F"/>
    <w:pPr>
      <w:keepNext/>
      <w:keepLines/>
      <w:spacing w:before="320" w:after="100"/>
      <w:outlineLvl w:val="2"/>
    </w:pPr>
    <w:rPr>
      <w:rFonts w:asciiTheme="majorHAnsi" w:eastAsiaTheme="majorEastAsia" w:hAnsiTheme="majorHAnsi" w:cstheme="majorBidi" w:ascii="Calibri" w:hAnsi="Calibri"/>
      <w:b/>
      <w:bCs/>
      <w:color w:val="8B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