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C4A5" w14:textId="77777777" w:rsidR="00A86264" w:rsidRDefault="00000000">
      <w:pPr>
        <w:pStyle w:val="Heading1"/>
        <w:jc w:val="center"/>
      </w:pPr>
      <w:r>
        <w:t>Report on Intellectual Property Rights and Patents</w:t>
      </w:r>
    </w:p>
    <w:p w14:paraId="74C0DD95" w14:textId="77777777" w:rsidR="00A86264" w:rsidRDefault="00000000">
      <w:pPr>
        <w:pStyle w:val="Heading3"/>
      </w:pPr>
      <w:r>
        <w:t xml:space="preserve">With reference to the project </w:t>
      </w:r>
      <w:r>
        <w:rPr>
          <w:i/>
        </w:rPr>
        <w:t>MicroAPI Guard — A Backend-Agnostic ML API Security Gateway</w:t>
      </w:r>
    </w:p>
    <w:p w14:paraId="26018FD9" w14:textId="77777777" w:rsidR="00A86264" w:rsidRDefault="00000000">
      <w:pPr>
        <w:pStyle w:val="Heading2"/>
      </w:pPr>
      <w:r>
        <w:t>i) What is IPR?</w:t>
      </w:r>
    </w:p>
    <w:p w14:paraId="24F82EE8" w14:textId="77777777" w:rsidR="00A86264" w:rsidRDefault="00000000">
      <w:r>
        <w:rPr>
          <w:b/>
        </w:rPr>
        <w:t>Intellectual Property Rights (IPR)</w:t>
      </w:r>
      <w:r>
        <w:t xml:space="preserve"> are the legal rights granted to a person or organisation over the creations of their mind — inventions, designs, literary and artistic works, symbols, names and images used in commerce. Intellectual property is </w:t>
      </w:r>
      <w:r>
        <w:rPr>
          <w:i/>
        </w:rPr>
        <w:t>intangible</w:t>
      </w:r>
      <w:r>
        <w:t xml:space="preserve"> property: unlike a machine or a building, it can be copied at near-zero cost, so the law creates an artificial, time-limited monopoly to give creators an incentive to invent and to disclose.</w:t>
      </w:r>
    </w:p>
    <w:p w14:paraId="602C4129" w14:textId="77777777" w:rsidR="00A86264" w:rsidRDefault="00000000">
      <w:r>
        <w:t>The main categories of IPR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86264" w14:paraId="73315A3E" w14:textId="77777777">
        <w:tc>
          <w:tcPr>
            <w:tcW w:w="2160" w:type="dxa"/>
          </w:tcPr>
          <w:p w14:paraId="1CCCBBA8" w14:textId="77777777" w:rsidR="00A86264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7547D5DF" w14:textId="77777777" w:rsidR="00A86264" w:rsidRDefault="00000000">
            <w:r>
              <w:rPr>
                <w:b/>
              </w:rPr>
              <w:t>Protects</w:t>
            </w:r>
          </w:p>
        </w:tc>
        <w:tc>
          <w:tcPr>
            <w:tcW w:w="2160" w:type="dxa"/>
          </w:tcPr>
          <w:p w14:paraId="5FE4D4E7" w14:textId="77777777" w:rsidR="00A86264" w:rsidRDefault="00000000">
            <w:r>
              <w:rPr>
                <w:b/>
              </w:rPr>
              <w:t>Typical Term (India)</w:t>
            </w:r>
          </w:p>
        </w:tc>
        <w:tc>
          <w:tcPr>
            <w:tcW w:w="2160" w:type="dxa"/>
          </w:tcPr>
          <w:p w14:paraId="68C89CB9" w14:textId="77777777" w:rsidR="00A86264" w:rsidRDefault="00000000">
            <w:r>
              <w:rPr>
                <w:b/>
              </w:rPr>
              <w:t>Governing Act</w:t>
            </w:r>
          </w:p>
        </w:tc>
      </w:tr>
      <w:tr w:rsidR="00A86264" w14:paraId="3EB5525B" w14:textId="77777777">
        <w:tc>
          <w:tcPr>
            <w:tcW w:w="2160" w:type="dxa"/>
          </w:tcPr>
          <w:p w14:paraId="475FF216" w14:textId="77777777" w:rsidR="00A86264" w:rsidRDefault="00000000">
            <w:r>
              <w:rPr>
                <w:b/>
              </w:rPr>
              <w:t>Patent</w:t>
            </w:r>
          </w:p>
        </w:tc>
        <w:tc>
          <w:tcPr>
            <w:tcW w:w="2160" w:type="dxa"/>
          </w:tcPr>
          <w:p w14:paraId="46D70FAE" w14:textId="77777777" w:rsidR="00A86264" w:rsidRDefault="00000000">
            <w:r>
              <w:t>New, inventive, industrially applicable technical inventions</w:t>
            </w:r>
          </w:p>
        </w:tc>
        <w:tc>
          <w:tcPr>
            <w:tcW w:w="2160" w:type="dxa"/>
          </w:tcPr>
          <w:p w14:paraId="4381704F" w14:textId="77777777" w:rsidR="00A86264" w:rsidRDefault="00000000">
            <w:r>
              <w:t>20 years from filing</w:t>
            </w:r>
          </w:p>
        </w:tc>
        <w:tc>
          <w:tcPr>
            <w:tcW w:w="2160" w:type="dxa"/>
          </w:tcPr>
          <w:p w14:paraId="57BE6854" w14:textId="77777777" w:rsidR="00A86264" w:rsidRDefault="00000000">
            <w:r>
              <w:t>Patents Act, 1970</w:t>
            </w:r>
          </w:p>
        </w:tc>
      </w:tr>
      <w:tr w:rsidR="00A86264" w14:paraId="0BFAA5CA" w14:textId="77777777">
        <w:tc>
          <w:tcPr>
            <w:tcW w:w="2160" w:type="dxa"/>
          </w:tcPr>
          <w:p w14:paraId="4D253FDB" w14:textId="77777777" w:rsidR="00A86264" w:rsidRDefault="00000000">
            <w:r>
              <w:rPr>
                <w:b/>
              </w:rPr>
              <w:t>Copyright</w:t>
            </w:r>
          </w:p>
        </w:tc>
        <w:tc>
          <w:tcPr>
            <w:tcW w:w="2160" w:type="dxa"/>
          </w:tcPr>
          <w:p w14:paraId="290F8363" w14:textId="77777777" w:rsidR="00A86264" w:rsidRDefault="00000000">
            <w:r>
              <w:t xml:space="preserve">Original literary, dramatic, musical, artistic works — </w:t>
            </w:r>
            <w:r>
              <w:rPr>
                <w:b/>
              </w:rPr>
              <w:t>including computer source code</w:t>
            </w:r>
          </w:p>
        </w:tc>
        <w:tc>
          <w:tcPr>
            <w:tcW w:w="2160" w:type="dxa"/>
          </w:tcPr>
          <w:p w14:paraId="533023BD" w14:textId="77777777" w:rsidR="00A86264" w:rsidRDefault="00000000">
            <w:r>
              <w:t>Life of author + 60 years</w:t>
            </w:r>
          </w:p>
        </w:tc>
        <w:tc>
          <w:tcPr>
            <w:tcW w:w="2160" w:type="dxa"/>
          </w:tcPr>
          <w:p w14:paraId="78D7DB07" w14:textId="77777777" w:rsidR="00A86264" w:rsidRDefault="00000000">
            <w:r>
              <w:t>Copyright Act, 1957</w:t>
            </w:r>
          </w:p>
        </w:tc>
      </w:tr>
      <w:tr w:rsidR="00A86264" w14:paraId="45B845A9" w14:textId="77777777">
        <w:tc>
          <w:tcPr>
            <w:tcW w:w="2160" w:type="dxa"/>
          </w:tcPr>
          <w:p w14:paraId="29B6EECE" w14:textId="77777777" w:rsidR="00A86264" w:rsidRDefault="00000000">
            <w:r>
              <w:rPr>
                <w:b/>
              </w:rPr>
              <w:t>Trademark</w:t>
            </w:r>
          </w:p>
        </w:tc>
        <w:tc>
          <w:tcPr>
            <w:tcW w:w="2160" w:type="dxa"/>
          </w:tcPr>
          <w:p w14:paraId="69F4260E" w14:textId="77777777" w:rsidR="00A86264" w:rsidRDefault="00000000">
            <w:r>
              <w:t>Brand names, logos, marks distinguishing goods/services</w:t>
            </w:r>
          </w:p>
        </w:tc>
        <w:tc>
          <w:tcPr>
            <w:tcW w:w="2160" w:type="dxa"/>
          </w:tcPr>
          <w:p w14:paraId="5664E364" w14:textId="77777777" w:rsidR="00A86264" w:rsidRDefault="00000000">
            <w:r>
              <w:t>10 years, renewable indefinitely</w:t>
            </w:r>
          </w:p>
        </w:tc>
        <w:tc>
          <w:tcPr>
            <w:tcW w:w="2160" w:type="dxa"/>
          </w:tcPr>
          <w:p w14:paraId="77745A47" w14:textId="77777777" w:rsidR="00A86264" w:rsidRDefault="00000000">
            <w:r>
              <w:t>Trade Marks Act, 1999</w:t>
            </w:r>
          </w:p>
        </w:tc>
      </w:tr>
      <w:tr w:rsidR="00A86264" w14:paraId="5A08B3D8" w14:textId="77777777">
        <w:tc>
          <w:tcPr>
            <w:tcW w:w="2160" w:type="dxa"/>
          </w:tcPr>
          <w:p w14:paraId="49554594" w14:textId="77777777" w:rsidR="00A86264" w:rsidRDefault="00000000">
            <w:r>
              <w:rPr>
                <w:b/>
              </w:rPr>
              <w:t>Industrial Design</w:t>
            </w:r>
          </w:p>
        </w:tc>
        <w:tc>
          <w:tcPr>
            <w:tcW w:w="2160" w:type="dxa"/>
          </w:tcPr>
          <w:p w14:paraId="675B08CB" w14:textId="77777777" w:rsidR="00A86264" w:rsidRDefault="00000000">
            <w:r>
              <w:t>Aesthetic shape, configuration, ornamentation of an article</w:t>
            </w:r>
          </w:p>
        </w:tc>
        <w:tc>
          <w:tcPr>
            <w:tcW w:w="2160" w:type="dxa"/>
          </w:tcPr>
          <w:p w14:paraId="2A6D3F45" w14:textId="77777777" w:rsidR="00A86264" w:rsidRDefault="00000000">
            <w:r>
              <w:t>10 + 5 years</w:t>
            </w:r>
          </w:p>
        </w:tc>
        <w:tc>
          <w:tcPr>
            <w:tcW w:w="2160" w:type="dxa"/>
          </w:tcPr>
          <w:p w14:paraId="3C2106A5" w14:textId="77777777" w:rsidR="00A86264" w:rsidRDefault="00000000">
            <w:r>
              <w:t>Designs Act, 2000</w:t>
            </w:r>
          </w:p>
        </w:tc>
      </w:tr>
      <w:tr w:rsidR="00A86264" w14:paraId="09699E91" w14:textId="77777777">
        <w:tc>
          <w:tcPr>
            <w:tcW w:w="2160" w:type="dxa"/>
          </w:tcPr>
          <w:p w14:paraId="1AE83F63" w14:textId="77777777" w:rsidR="00A86264" w:rsidRDefault="00000000">
            <w:r>
              <w:rPr>
                <w:b/>
              </w:rPr>
              <w:t>Trade Secret</w:t>
            </w:r>
          </w:p>
        </w:tc>
        <w:tc>
          <w:tcPr>
            <w:tcW w:w="2160" w:type="dxa"/>
          </w:tcPr>
          <w:p w14:paraId="5AD46B3E" w14:textId="77777777" w:rsidR="00A86264" w:rsidRDefault="00000000">
            <w:r>
              <w:t>Confidential business/technical information</w:t>
            </w:r>
          </w:p>
        </w:tc>
        <w:tc>
          <w:tcPr>
            <w:tcW w:w="2160" w:type="dxa"/>
          </w:tcPr>
          <w:p w14:paraId="2222FECB" w14:textId="77777777" w:rsidR="00A86264" w:rsidRDefault="00000000">
            <w:r>
              <w:t>Unlimited, while secrecy lasts</w:t>
            </w:r>
          </w:p>
        </w:tc>
        <w:tc>
          <w:tcPr>
            <w:tcW w:w="2160" w:type="dxa"/>
          </w:tcPr>
          <w:p w14:paraId="33958059" w14:textId="77777777" w:rsidR="00A86264" w:rsidRDefault="00000000">
            <w:r>
              <w:t>Contract / common law</w:t>
            </w:r>
          </w:p>
        </w:tc>
      </w:tr>
      <w:tr w:rsidR="00A86264" w14:paraId="259CF2BA" w14:textId="77777777">
        <w:tc>
          <w:tcPr>
            <w:tcW w:w="2160" w:type="dxa"/>
          </w:tcPr>
          <w:p w14:paraId="33F4D80D" w14:textId="77777777" w:rsidR="00A86264" w:rsidRDefault="00000000">
            <w:r>
              <w:rPr>
                <w:b/>
              </w:rPr>
              <w:t>Geographical Indication</w:t>
            </w:r>
          </w:p>
        </w:tc>
        <w:tc>
          <w:tcPr>
            <w:tcW w:w="2160" w:type="dxa"/>
          </w:tcPr>
          <w:p w14:paraId="5311271D" w14:textId="77777777" w:rsidR="00A86264" w:rsidRDefault="00000000">
            <w:r>
              <w:t>Goods originating from a specific region</w:t>
            </w:r>
          </w:p>
        </w:tc>
        <w:tc>
          <w:tcPr>
            <w:tcW w:w="2160" w:type="dxa"/>
          </w:tcPr>
          <w:p w14:paraId="54166CCF" w14:textId="77777777" w:rsidR="00A86264" w:rsidRDefault="00000000">
            <w:r>
              <w:t>10 years, renewable</w:t>
            </w:r>
          </w:p>
        </w:tc>
        <w:tc>
          <w:tcPr>
            <w:tcW w:w="2160" w:type="dxa"/>
          </w:tcPr>
          <w:p w14:paraId="7B5922E7" w14:textId="77777777" w:rsidR="00A86264" w:rsidRDefault="00000000">
            <w:r>
              <w:t>GI Act, 1999</w:t>
            </w:r>
          </w:p>
        </w:tc>
      </w:tr>
    </w:tbl>
    <w:p w14:paraId="11189853" w14:textId="77777777" w:rsidR="00A86264" w:rsidRDefault="00A86264"/>
    <w:p w14:paraId="779857F4" w14:textId="77777777" w:rsidR="00A86264" w:rsidRDefault="00000000">
      <w:r>
        <w:t xml:space="preserve">At the international level IPR is coordinated by </w:t>
      </w:r>
      <w:r>
        <w:rPr>
          <w:b/>
        </w:rPr>
        <w:t>WIPO</w:t>
      </w:r>
      <w:r>
        <w:t xml:space="preserve"> (World Intellectual Property Organization) and harmonised by the </w:t>
      </w:r>
      <w:r>
        <w:rPr>
          <w:b/>
        </w:rPr>
        <w:t>TRIPS Agreement</w:t>
      </w:r>
      <w:r>
        <w:t xml:space="preserve"> under the WTO, to which India is a signatory.</w:t>
      </w:r>
    </w:p>
    <w:p w14:paraId="2A732780" w14:textId="77777777" w:rsidR="00A86264" w:rsidRDefault="00000000">
      <w:r>
        <w:rPr>
          <w:b/>
        </w:rPr>
        <w:t>Relevance to this project.</w:t>
      </w:r>
      <w:r>
        <w:t xml:space="preserve"> The source code of MicroAPI Guard is automatically protected by </w:t>
      </w:r>
      <w:r>
        <w:rPr>
          <w:b/>
        </w:rPr>
        <w:t>copyright</w:t>
      </w:r>
      <w:r>
        <w:t xml:space="preserve"> the moment it is written. The name and logo could be protected as a </w:t>
      </w:r>
      <w:r>
        <w:rPr>
          <w:b/>
        </w:rPr>
        <w:t>trademark</w:t>
      </w:r>
      <w:r>
        <w:t xml:space="preserve">. The </w:t>
      </w:r>
      <w:r>
        <w:rPr>
          <w:i/>
        </w:rPr>
        <w:t>technical method</w:t>
      </w:r>
      <w:r>
        <w:t xml:space="preserve"> — the four-layer cascade of signature rules, Isolation Forest, autoencoder and </w:t>
      </w:r>
      <w:r>
        <w:lastRenderedPageBreak/>
        <w:t xml:space="preserve">meta-learner with an FPR-budgeted threshold — is the part that would be the subject of a </w:t>
      </w:r>
      <w:r>
        <w:rPr>
          <w:b/>
        </w:rPr>
        <w:t>patent</w:t>
      </w:r>
      <w:r>
        <w:t>.</w:t>
      </w:r>
    </w:p>
    <w:p w14:paraId="1EBF16B8" w14:textId="77777777" w:rsidR="00A86264" w:rsidRDefault="00000000">
      <w:pPr>
        <w:pStyle w:val="Heading2"/>
      </w:pPr>
      <w:r>
        <w:t>ii) What is a Patent?</w:t>
      </w:r>
    </w:p>
    <w:p w14:paraId="23D753AF" w14:textId="77777777" w:rsidR="00A86264" w:rsidRDefault="00000000">
      <w:r>
        <w:t xml:space="preserve">A </w:t>
      </w:r>
      <w:r>
        <w:rPr>
          <w:b/>
        </w:rPr>
        <w:t>patent</w:t>
      </w:r>
      <w:r>
        <w:t xml:space="preserve"> is an exclusive right granted by the State to an inventor, for a limited period, in exchange for a full public disclosure of the invention. It gives the patentee the right to </w:t>
      </w:r>
      <w:r>
        <w:rPr>
          <w:b/>
        </w:rPr>
        <w:t>exclude</w:t>
      </w:r>
      <w:r>
        <w:t xml:space="preserve"> others from making, using, selling, offering for sale or importing the invention without permission. It is a </w:t>
      </w:r>
      <w:r>
        <w:rPr>
          <w:i/>
        </w:rPr>
        <w:t>negative</w:t>
      </w:r>
      <w:r>
        <w:t xml:space="preserve"> right — it does not by itself grant the right to practise the invention, only to stop others.</w:t>
      </w:r>
    </w:p>
    <w:p w14:paraId="16B214F4" w14:textId="77777777" w:rsidR="00A86264" w:rsidRDefault="00000000">
      <w:pPr>
        <w:pStyle w:val="Heading3"/>
      </w:pPr>
      <w:r>
        <w:t>Conditions of patentability (Sections 2(1)(j), 2(1)(ja), 3 and 4, Patents Act, 1970)</w:t>
      </w:r>
    </w:p>
    <w:p w14:paraId="48DA86D8" w14:textId="77777777" w:rsidR="00A86264" w:rsidRDefault="00000000">
      <w:pPr>
        <w:pStyle w:val="ListNumber"/>
      </w:pPr>
      <w:r>
        <w:rPr>
          <w:b/>
        </w:rPr>
        <w:t>Novelty</w:t>
      </w:r>
      <w:r>
        <w:t xml:space="preserve"> — the invention must not form part of the "prior art", i.e. not published,</w:t>
      </w:r>
    </w:p>
    <w:p w14:paraId="0273DAC6" w14:textId="77777777" w:rsidR="00A86264" w:rsidRDefault="00000000">
      <w:r>
        <w:t>used or disclosed anywhere in the world before the priority date.</w:t>
      </w:r>
    </w:p>
    <w:p w14:paraId="319C8A4A" w14:textId="77777777" w:rsidR="00A86264" w:rsidRDefault="00000000">
      <w:pPr>
        <w:pStyle w:val="ListNumber"/>
      </w:pPr>
      <w:r>
        <w:rPr>
          <w:b/>
        </w:rPr>
        <w:t>Inventive Step / Non-obviousness</w:t>
      </w:r>
      <w:r>
        <w:t xml:space="preserve"> — it must involve a technical advance or economic</w:t>
      </w:r>
    </w:p>
    <w:p w14:paraId="5D7200BD" w14:textId="77777777" w:rsidR="00A86264" w:rsidRDefault="00000000">
      <w:r>
        <w:t xml:space="preserve">significance that is not obvious to a </w:t>
      </w:r>
      <w:r>
        <w:rPr>
          <w:i/>
        </w:rPr>
        <w:t>person skilled in the art</w:t>
      </w:r>
      <w:r>
        <w:t>.</w:t>
      </w:r>
    </w:p>
    <w:p w14:paraId="79934AEB" w14:textId="77777777" w:rsidR="00A86264" w:rsidRDefault="00000000">
      <w:pPr>
        <w:pStyle w:val="ListNumber"/>
      </w:pPr>
      <w:r>
        <w:rPr>
          <w:b/>
        </w:rPr>
        <w:t>Industrial Applicability</w:t>
      </w:r>
      <w:r>
        <w:t xml:space="preserve"> — it must be capable of being made or used in industry.</w:t>
      </w:r>
    </w:p>
    <w:p w14:paraId="22AE07AB" w14:textId="77777777" w:rsidR="00A86264" w:rsidRDefault="00000000">
      <w:pPr>
        <w:pStyle w:val="ListNumber"/>
      </w:pPr>
      <w:r>
        <w:rPr>
          <w:b/>
        </w:rPr>
        <w:t>Not falling under Sections 3 and 4</w:t>
      </w:r>
      <w:r>
        <w:t xml:space="preserve"> — the excluded categories.</w:t>
      </w:r>
    </w:p>
    <w:p w14:paraId="0968ECFD" w14:textId="77777777" w:rsidR="00A86264" w:rsidRDefault="00000000">
      <w:pPr>
        <w:pStyle w:val="Heading3"/>
      </w:pPr>
      <w:r>
        <w:t>The critical exclusion for a software project — Section 3(k)</w:t>
      </w:r>
    </w:p>
    <w:p w14:paraId="19584C6D" w14:textId="77777777" w:rsidR="00A86264" w:rsidRDefault="00000000">
      <w:r>
        <w:t xml:space="preserve">Section 3(k) bars </w:t>
      </w:r>
      <w:r>
        <w:rPr>
          <w:i/>
        </w:rPr>
        <w:t>"a mathematical or business method or a computer programme per se or algorithms."</w:t>
      </w:r>
      <w:r>
        <w:t xml:space="preserve"> This is the single biggest hurdle for a software patent in India. The </w:t>
      </w:r>
      <w:r>
        <w:rPr>
          <w:b/>
        </w:rPr>
        <w:t>CRI Guidelines (Computer Related Inventions, 2017)</w:t>
      </w:r>
      <w:r>
        <w:t xml:space="preserve"> clarify that a claim is allowable if the software produces a </w:t>
      </w:r>
      <w:r>
        <w:rPr>
          <w:b/>
        </w:rPr>
        <w:t>technical effect</w:t>
      </w:r>
      <w:r>
        <w:t xml:space="preserve"> or works in combination with </w:t>
      </w:r>
      <w:r>
        <w:rPr>
          <w:b/>
        </w:rPr>
        <w:t>novel hardware</w:t>
      </w:r>
      <w:r>
        <w:t xml:space="preserve"> — for example improving the security, throughput, memory usage or reliability of a computing system, rather than merely automating a mental or business process.</w:t>
      </w:r>
    </w:p>
    <w:p w14:paraId="6B78B302" w14:textId="77777777" w:rsidR="00A86264" w:rsidRDefault="00000000">
      <w:r>
        <w:t xml:space="preserve">For MicroAPI Guard, a claim drafted as </w:t>
      </w:r>
      <w:r>
        <w:rPr>
          <w:i/>
        </w:rPr>
        <w:t>"a machine-learning algorithm for classifying requests"</w:t>
      </w:r>
      <w:r>
        <w:t xml:space="preserve"> would be refused under 3(k). A claim drafted as </w:t>
      </w:r>
      <w:r>
        <w:rPr>
          <w:i/>
        </w:rPr>
        <w:t>"a gateway apparatus that reduces intrusion-detection false positives while sustaining sub-15 ms inference latency by cascading a signature stage with a stacked unsupervised ensemble"</w:t>
      </w:r>
      <w:r>
        <w:t xml:space="preserve"> asserts a concrete </w:t>
      </w:r>
      <w:r>
        <w:rPr>
          <w:b/>
        </w:rPr>
        <w:t>technical effect on the operation of the computer and the network</w:t>
      </w:r>
      <w:r>
        <w:t>, and is far more defensible.</w:t>
      </w:r>
    </w:p>
    <w:p w14:paraId="10784386" w14:textId="77777777" w:rsidR="00A86264" w:rsidRDefault="00000000">
      <w:r>
        <w:rPr>
          <w:b/>
        </w:rPr>
        <w:t>Types of patent applications:</w:t>
      </w:r>
      <w:r>
        <w:t xml:space="preserve"> Ordinary, Provisional, Complete, Convention, PCT National Phase, Divisional, and Patent of Addition.</w:t>
      </w:r>
    </w:p>
    <w:p w14:paraId="70C31F74" w14:textId="77777777" w:rsidR="00A86264" w:rsidRDefault="00000000">
      <w:pPr>
        <w:pStyle w:val="Heading2"/>
      </w:pPr>
      <w:r>
        <w:t>iii) What is the Need of a Patent?</w:t>
      </w:r>
    </w:p>
    <w:p w14:paraId="089A92B1" w14:textId="77777777" w:rsidR="00A86264" w:rsidRDefault="00000000">
      <w:pPr>
        <w:pStyle w:val="ListNumber"/>
      </w:pPr>
      <w:r>
        <w:rPr>
          <w:b/>
        </w:rPr>
        <w:t>Exclusivity and protection from copying.</w:t>
      </w:r>
      <w:r>
        <w:t xml:space="preserve"> Without a patent, a competitor who sees</w:t>
      </w:r>
    </w:p>
    <w:p w14:paraId="2CFA32FE" w14:textId="77777777" w:rsidR="00A86264" w:rsidRDefault="00000000">
      <w:r>
        <w:t xml:space="preserve">the deployed gateway can reimplement the four-layer pipeline and sell it, and the inventor has no remedy — copyright protects only the </w:t>
      </w:r>
      <w:r>
        <w:rPr>
          <w:i/>
        </w:rPr>
        <w:t>expression</w:t>
      </w:r>
      <w:r>
        <w:t xml:space="preserve"> (the code as written), not the </w:t>
      </w:r>
      <w:r>
        <w:rPr>
          <w:i/>
        </w:rPr>
        <w:t>idea or method</w:t>
      </w:r>
      <w:r>
        <w:t>, which can be freely re-coded.</w:t>
      </w:r>
    </w:p>
    <w:p w14:paraId="158317F0" w14:textId="77777777" w:rsidR="00A86264" w:rsidRDefault="00000000">
      <w:pPr>
        <w:pStyle w:val="ListNumber"/>
      </w:pPr>
      <w:r>
        <w:rPr>
          <w:b/>
        </w:rPr>
        <w:lastRenderedPageBreak/>
        <w:t>Return on R&amp;D investment.</w:t>
      </w:r>
      <w:r>
        <w:t xml:space="preserve"> Building, training, tuning and validating a detection</w:t>
      </w:r>
    </w:p>
    <w:p w14:paraId="613A079C" w14:textId="77777777" w:rsidR="00A86264" w:rsidRDefault="00000000">
      <w:r>
        <w:t>pipeline costs time, compute and expertise. A 20-year monopoly is the mechanism by which that investment is recovered.</w:t>
      </w:r>
    </w:p>
    <w:p w14:paraId="0A42D912" w14:textId="77777777" w:rsidR="00A86264" w:rsidRDefault="00000000">
      <w:pPr>
        <w:pStyle w:val="ListNumber"/>
      </w:pPr>
      <w:r>
        <w:rPr>
          <w:b/>
        </w:rPr>
        <w:t>Commercialisation instruments.</w:t>
      </w:r>
      <w:r>
        <w:t xml:space="preserve"> A patent is a transferable asset. It can be</w:t>
      </w:r>
    </w:p>
    <w:p w14:paraId="418E4282" w14:textId="77777777" w:rsidR="00A86264" w:rsidRDefault="00000000">
      <w:r>
        <w:rPr>
          <w:b/>
        </w:rPr>
        <w:t>licensed</w:t>
      </w:r>
      <w:r>
        <w:t xml:space="preserve"> (royalty income), </w:t>
      </w:r>
      <w:r>
        <w:rPr>
          <w:b/>
        </w:rPr>
        <w:t>assigned</w:t>
      </w:r>
      <w:r>
        <w:t xml:space="preserve"> (sold outright), or contributed to a joint venture. Start-ups are frequently valued on their patent portfolio.</w:t>
      </w:r>
    </w:p>
    <w:p w14:paraId="099A4D32" w14:textId="77777777" w:rsidR="00A86264" w:rsidRDefault="00000000">
      <w:pPr>
        <w:pStyle w:val="ListNumber"/>
      </w:pPr>
      <w:r>
        <w:rPr>
          <w:b/>
        </w:rPr>
        <w:t>Attracting investment.</w:t>
      </w:r>
      <w:r>
        <w:t xml:space="preserve"> Venture-capital and incubator due diligence explicitly</w:t>
      </w:r>
    </w:p>
    <w:p w14:paraId="7F903414" w14:textId="77777777" w:rsidR="00A86264" w:rsidRDefault="00000000">
      <w:r>
        <w:t>examines IP ownership; even a filed provisional materially improves valuation and credibility.</w:t>
      </w:r>
    </w:p>
    <w:p w14:paraId="5A2AD6F4" w14:textId="77777777" w:rsidR="00A86264" w:rsidRDefault="00000000">
      <w:pPr>
        <w:pStyle w:val="ListNumber"/>
      </w:pPr>
      <w:r>
        <w:rPr>
          <w:b/>
        </w:rPr>
        <w:t>Defensive value and freedom to operate.</w:t>
      </w:r>
      <w:r>
        <w:t xml:space="preserve"> A portfolio deters infringement suits and</w:t>
      </w:r>
    </w:p>
    <w:p w14:paraId="388539DD" w14:textId="77777777" w:rsidR="00A86264" w:rsidRDefault="00000000">
      <w:r>
        <w:t>provides cross-licensing leverage against larger competitors.</w:t>
      </w:r>
    </w:p>
    <w:p w14:paraId="6A09AA59" w14:textId="77777777" w:rsidR="00A86264" w:rsidRDefault="00000000">
      <w:pPr>
        <w:pStyle w:val="ListNumber"/>
      </w:pPr>
      <w:r>
        <w:rPr>
          <w:b/>
        </w:rPr>
        <w:t>Public disclosure and knowledge diffusion.</w:t>
      </w:r>
      <w:r>
        <w:t xml:space="preserve"> In return for the monopoly the</w:t>
      </w:r>
    </w:p>
    <w:p w14:paraId="0FD91B16" w14:textId="77777777" w:rsidR="00A86264" w:rsidRDefault="00000000">
      <w:r>
        <w:t>invention is published, so society gains a searchable technical record; after 20 years it enters the public domain.</w:t>
      </w:r>
    </w:p>
    <w:p w14:paraId="16F0CD0C" w14:textId="77777777" w:rsidR="00A86264" w:rsidRDefault="00000000">
      <w:pPr>
        <w:pStyle w:val="ListNumber"/>
      </w:pPr>
      <w:r>
        <w:rPr>
          <w:b/>
        </w:rPr>
        <w:t>Establishing priority.</w:t>
      </w:r>
      <w:r>
        <w:t xml:space="preserve"> In a first-to-file system the filing date fixes ownership.</w:t>
      </w:r>
    </w:p>
    <w:p w14:paraId="2EF705B9" w14:textId="77777777" w:rsidR="00A86264" w:rsidRDefault="00000000">
      <w:r>
        <w:t xml:space="preserve">Publishing a paper </w:t>
      </w:r>
      <w:r>
        <w:rPr>
          <w:i/>
        </w:rPr>
        <w:t>before</w:t>
      </w:r>
      <w:r>
        <w:t xml:space="preserve"> filing destroys novelty worldwide.</w:t>
      </w:r>
    </w:p>
    <w:p w14:paraId="55A3652B" w14:textId="77777777" w:rsidR="00A86264" w:rsidRDefault="00000000">
      <w:pPr>
        <w:pStyle w:val="ListNumber"/>
      </w:pPr>
      <w:r>
        <w:rPr>
          <w:b/>
        </w:rPr>
        <w:t>Academic and institutional credit.</w:t>
      </w:r>
      <w:r>
        <w:t xml:space="preserve"> For a final-year project, a filed patent</w:t>
      </w:r>
    </w:p>
    <w:p w14:paraId="786D1017" w14:textId="77777777" w:rsidR="00A86264" w:rsidRDefault="00000000">
      <w:r>
        <w:t>strengthens the originality claim and the institution's IPR record.</w:t>
      </w:r>
    </w:p>
    <w:p w14:paraId="0B0F2AA9" w14:textId="77777777" w:rsidR="00A86264" w:rsidRDefault="00000000">
      <w:pPr>
        <w:pStyle w:val="Heading2"/>
      </w:pPr>
      <w:r>
        <w:t>iv) What is the Significance of a Patent?</w:t>
      </w:r>
    </w:p>
    <w:p w14:paraId="5FE442E0" w14:textId="77777777" w:rsidR="00A86264" w:rsidRDefault="00000000">
      <w:pPr>
        <w:pStyle w:val="Heading3"/>
      </w:pPr>
      <w:r>
        <w:t>To the inventor</w:t>
      </w:r>
    </w:p>
    <w:p w14:paraId="52E66F07" w14:textId="77777777" w:rsidR="00A86264" w:rsidRDefault="00000000">
      <w:pPr>
        <w:pStyle w:val="ListBullet"/>
      </w:pPr>
      <w:r>
        <w:t>A legally enforceable monopoly for 20 years from the date of filing.</w:t>
      </w:r>
    </w:p>
    <w:p w14:paraId="6D3E4FB5" w14:textId="77777777" w:rsidR="00A86264" w:rsidRDefault="00000000">
      <w:pPr>
        <w:pStyle w:val="ListBullet"/>
      </w:pPr>
      <w:r>
        <w:t>Formal recognition of authorship and technical contribution.</w:t>
      </w:r>
    </w:p>
    <w:p w14:paraId="0A84CFBD" w14:textId="77777777" w:rsidR="00A86264" w:rsidRDefault="00000000">
      <w:pPr>
        <w:pStyle w:val="ListBullet"/>
      </w:pPr>
      <w:r>
        <w:t>Convertible into revenue through licensing, assignment or a product business.</w:t>
      </w:r>
    </w:p>
    <w:p w14:paraId="2422383D" w14:textId="77777777" w:rsidR="00A86264" w:rsidRDefault="00000000">
      <w:pPr>
        <w:pStyle w:val="Heading3"/>
      </w:pPr>
      <w:r>
        <w:t>To industry and the economy</w:t>
      </w:r>
    </w:p>
    <w:p w14:paraId="4FD446F0" w14:textId="77777777" w:rsidR="00A86264" w:rsidRDefault="00000000">
      <w:pPr>
        <w:pStyle w:val="ListBullet"/>
      </w:pPr>
      <w:r>
        <w:t>Encourages sustained R&amp;D spending by making innovation profitable.</w:t>
      </w:r>
    </w:p>
    <w:p w14:paraId="1DB249AB" w14:textId="77777777" w:rsidR="00A86264" w:rsidRDefault="00000000">
      <w:pPr>
        <w:pStyle w:val="ListBullet"/>
      </w:pPr>
      <w:r>
        <w:t xml:space="preserve">Creates a </w:t>
      </w:r>
      <w:r>
        <w:rPr>
          <w:b/>
        </w:rPr>
        <w:t>technology market</w:t>
      </w:r>
      <w:r>
        <w:t>: patents can be traded, pooled and cross-licensed.</w:t>
      </w:r>
    </w:p>
    <w:p w14:paraId="5BC0EED9" w14:textId="77777777" w:rsidR="00A86264" w:rsidRDefault="00000000">
      <w:pPr>
        <w:pStyle w:val="ListBullet"/>
      </w:pPr>
      <w:r>
        <w:t>The published patent database is one of the largest technical literatures in the world</w:t>
      </w:r>
    </w:p>
    <w:p w14:paraId="1397F0D9" w14:textId="77777777" w:rsidR="00A86264" w:rsidRDefault="00000000">
      <w:r>
        <w:t>— a large share of the technical information disclosed in patents appears nowhere else, so patent searching prevents duplicated research effort.</w:t>
      </w:r>
    </w:p>
    <w:p w14:paraId="46FF6B88" w14:textId="77777777" w:rsidR="00A86264" w:rsidRDefault="00000000">
      <w:pPr>
        <w:pStyle w:val="Heading3"/>
      </w:pPr>
      <w:r>
        <w:lastRenderedPageBreak/>
        <w:t>To society</w:t>
      </w:r>
    </w:p>
    <w:p w14:paraId="4FCD0ACF" w14:textId="77777777" w:rsidR="00A86264" w:rsidRDefault="00000000">
      <w:pPr>
        <w:pStyle w:val="ListBullet"/>
      </w:pPr>
      <w:r>
        <w:t>Guarantees eventual free public access once the term expires (generic medicines being</w:t>
      </w:r>
    </w:p>
    <w:p w14:paraId="08248F34" w14:textId="77777777" w:rsidR="00A86264" w:rsidRDefault="00000000">
      <w:r>
        <w:t>the classic example).</w:t>
      </w:r>
    </w:p>
    <w:p w14:paraId="7D9675DC" w14:textId="77777777" w:rsidR="00A86264" w:rsidRDefault="00000000">
      <w:pPr>
        <w:pStyle w:val="ListBullet"/>
      </w:pPr>
      <w:r>
        <w:t xml:space="preserve">Enforces disclosure: the </w:t>
      </w:r>
      <w:r>
        <w:rPr>
          <w:i/>
        </w:rPr>
        <w:t>quid pro quo</w:t>
      </w:r>
      <w:r>
        <w:t xml:space="preserve"> of patent law is that secrecy is traded for</w:t>
      </w:r>
    </w:p>
    <w:p w14:paraId="10346D10" w14:textId="77777777" w:rsidR="00A86264" w:rsidRDefault="00000000">
      <w:r>
        <w:t>protection, so knowledge is not lost when a company folds.</w:t>
      </w:r>
    </w:p>
    <w:p w14:paraId="4648C745" w14:textId="77777777" w:rsidR="00A86264" w:rsidRDefault="00000000">
      <w:pPr>
        <w:pStyle w:val="Heading3"/>
      </w:pPr>
      <w:r>
        <w:t>In the specific context of cyber-security software</w:t>
      </w:r>
    </w:p>
    <w:p w14:paraId="71116E57" w14:textId="77777777" w:rsidR="00A86264" w:rsidRDefault="00000000">
      <w:pPr>
        <w:pStyle w:val="ListBullet"/>
      </w:pPr>
      <w:r>
        <w:t>Security methods are easy to reverse-engineer from observable behaviour, so trade</w:t>
      </w:r>
    </w:p>
    <w:p w14:paraId="44C2FC5C" w14:textId="77777777" w:rsidR="00A86264" w:rsidRDefault="00000000">
      <w:r>
        <w:t>secrecy alone is weak; patents are one of the few durable protections.</w:t>
      </w:r>
    </w:p>
    <w:p w14:paraId="07583FE6" w14:textId="77777777" w:rsidR="00A86264" w:rsidRDefault="00000000">
      <w:pPr>
        <w:pStyle w:val="ListBullet"/>
      </w:pPr>
      <w:r>
        <w:t xml:space="preserve">A patent lets the method be </w:t>
      </w:r>
      <w:r>
        <w:rPr>
          <w:b/>
        </w:rPr>
        <w:t>published and peer-reviewed</w:t>
      </w:r>
      <w:r>
        <w:t xml:space="preserve"> — important for a</w:t>
      </w:r>
    </w:p>
    <w:p w14:paraId="5F98124D" w14:textId="77777777" w:rsidR="00A86264" w:rsidRDefault="00000000">
      <w:r>
        <w:t xml:space="preserve">scientific security claim — without surrendering commercial rights, </w:t>
      </w:r>
      <w:r>
        <w:rPr>
          <w:i/>
        </w:rPr>
        <w:t>provided filing precedes publication</w:t>
      </w:r>
      <w:r>
        <w:t>.</w:t>
      </w:r>
    </w:p>
    <w:p w14:paraId="6802F334" w14:textId="77777777" w:rsidR="00A86264" w:rsidRDefault="00000000">
      <w:pPr>
        <w:pStyle w:val="ListBullet"/>
      </w:pPr>
      <w:r>
        <w:rPr>
          <w:b/>
        </w:rPr>
        <w:t>Caution:</w:t>
      </w:r>
      <w:r>
        <w:t xml:space="preserve"> patenting also means full disclosure of the detection logic, which an</w:t>
      </w:r>
    </w:p>
    <w:p w14:paraId="54390CEC" w14:textId="77777777" w:rsidR="00A86264" w:rsidRDefault="00000000">
      <w:r>
        <w:t xml:space="preserve">attacker can read. Many security vendors therefore patent the </w:t>
      </w:r>
      <w:r>
        <w:rPr>
          <w:i/>
        </w:rPr>
        <w:t>architecture</w:t>
      </w:r>
      <w:r>
        <w:t xml:space="preserve"> while keeping the </w:t>
      </w:r>
      <w:r>
        <w:rPr>
          <w:i/>
        </w:rPr>
        <w:t>specific rule set, thresholds and trained weights</w:t>
      </w:r>
      <w:r>
        <w:t xml:space="preserve"> as trade secrets. That hybrid strategy suits MicroAPI Guard: patent the cascade and the calibration mechanism; keep the 26 L1 signatures and the learned model parameters confidential.</w:t>
      </w:r>
    </w:p>
    <w:p w14:paraId="2BB19D51" w14:textId="77777777" w:rsidR="00A86264" w:rsidRDefault="00000000">
      <w:pPr>
        <w:pStyle w:val="Heading2"/>
      </w:pPr>
      <w:r>
        <w:t>v) Five Patents Related to Our Project</w:t>
      </w:r>
    </w:p>
    <w:p w14:paraId="57ECEF43" w14:textId="77777777" w:rsidR="00A86264" w:rsidRDefault="00000000">
      <w:r>
        <w:t>The following granted patents constitute the closest located prior art to MicroAPI Guard. They were found by keyword search on Google Patents and USPTO Patent Public Search.</w:t>
      </w:r>
    </w:p>
    <w:p w14:paraId="37A3B814" w14:textId="77777777" w:rsidR="00A86264" w:rsidRDefault="00000000">
      <w:r>
        <w:rPr>
          <w:b/>
        </w:rPr>
        <w:t>1. US 8,990,942 B2 — "Methods and systems for API-level intrusion detection"</w:t>
      </w:r>
      <w:r>
        <w:t xml:space="preserve"> Closest match in </w:t>
      </w:r>
      <w:r>
        <w:rPr>
          <w:i/>
        </w:rPr>
        <w:t>domain</w:t>
      </w:r>
      <w:r>
        <w:t xml:space="preserve">: detects intrusions at the API/application layer rather than the packet layer, with IDS rules coded alongside the application. </w:t>
      </w:r>
      <w:r>
        <w:rPr>
          <w:i/>
        </w:rPr>
        <w:t>Distinction:</w:t>
      </w:r>
      <w:r>
        <w:t xml:space="preserve"> rule-driven and application-coupled. MicroAPI Guard is </w:t>
      </w:r>
      <w:r>
        <w:rPr>
          <w:b/>
        </w:rPr>
        <w:t>backend-agnostic</w:t>
      </w:r>
      <w:r>
        <w:t xml:space="preserve"> — a reverse proxy requiring no change to the protected application — and layers unsupervised ML above the rules.</w:t>
      </w:r>
    </w:p>
    <w:p w14:paraId="1ED9AFD5" w14:textId="77777777" w:rsidR="00A86264" w:rsidRDefault="00000000">
      <w:r>
        <w:rPr>
          <w:b/>
        </w:rPr>
        <w:t>2. US 10,270,788 B2 — "Machine learning based anomaly detection"</w:t>
      </w:r>
      <w:r>
        <w:t xml:space="preserve"> Constructs activity models on a per-tenant and per-user basis using an </w:t>
      </w:r>
      <w:r>
        <w:rPr>
          <w:b/>
        </w:rPr>
        <w:t>online streaming machine learner</w:t>
      </w:r>
      <w:r>
        <w:t xml:space="preserve">, scoring deviations from the learned profile. </w:t>
      </w:r>
      <w:r>
        <w:rPr>
          <w:i/>
        </w:rPr>
        <w:t>Distinction:</w:t>
      </w:r>
      <w:r>
        <w:t xml:space="preserve"> a single behavioural model. Ours is a </w:t>
      </w:r>
      <w:r>
        <w:rPr>
          <w:b/>
        </w:rPr>
        <w:t>stacked four-layer cascade</w:t>
      </w:r>
      <w:r>
        <w:t xml:space="preserve"> (signature rules → Isolation Forest → autoencoder → supervised meta-learner) with an explicit false-positive budget governing the decision threshold.</w:t>
      </w:r>
    </w:p>
    <w:p w14:paraId="203B4CAE" w14:textId="77777777" w:rsidR="00A86264" w:rsidRDefault="00000000">
      <w:r>
        <w:rPr>
          <w:b/>
        </w:rPr>
        <w:t>3. US 11,934,563 B2 — "Anomaly detection apparatus, anomaly detection method, and computer-readable medium"</w:t>
      </w:r>
      <w:r>
        <w:t xml:space="preserve"> Computes an anomaly score for network data using the </w:t>
      </w:r>
      <w:r>
        <w:rPr>
          <w:b/>
        </w:rPr>
        <w:t>Isolation Forest</w:t>
      </w:r>
      <w:r>
        <w:t xml:space="preserve"> — directly overlapping our L2 stage. </w:t>
      </w:r>
      <w:r>
        <w:rPr>
          <w:i/>
        </w:rPr>
        <w:t>Distinction:</w:t>
      </w:r>
      <w:r>
        <w:t xml:space="preserve"> claims Isolation-Forest scoring generally; </w:t>
      </w:r>
      <w:r>
        <w:lastRenderedPageBreak/>
        <w:t>does not cover combining it with a reconstruction-error autoencoder under a learned meta-classifier, nor HTTP/API request feature extraction.</w:t>
      </w:r>
    </w:p>
    <w:p w14:paraId="1DF981EF" w14:textId="77777777" w:rsidR="00A86264" w:rsidRDefault="00000000">
      <w:r>
        <w:rPr>
          <w:b/>
        </w:rPr>
        <w:t>4. US 10,911,468 B2 — "Sharing of machine learning model state between batch and real-time processing paths for detection of network security issues"</w:t>
      </w:r>
      <w:r>
        <w:t xml:space="preserve"> Addresses the train/serve split — the same class of problem our shared </w:t>
      </w:r>
      <w:r>
        <w:rPr>
          <w:rFonts w:ascii="Consolas" w:hAnsi="Consolas"/>
          <w:sz w:val="19"/>
        </w:rPr>
        <w:t>common/</w:t>
      </w:r>
      <w:r>
        <w:t xml:space="preserve"> feature module solves (train–serve symmetry). </w:t>
      </w:r>
      <w:r>
        <w:rPr>
          <w:i/>
        </w:rPr>
        <w:t>Distinction:</w:t>
      </w:r>
      <w:r>
        <w:t xml:space="preserve"> concerned with synchronising model state across two pipelines. Ours enforces symmetry through a </w:t>
      </w:r>
      <w:r>
        <w:rPr>
          <w:b/>
        </w:rPr>
        <w:t>feature contract validated at model-load time</w:t>
      </w:r>
      <w:r>
        <w:t xml:space="preserve"> (the gateway refuses to start on a feature mismatch) and adds an offline </w:t>
      </w:r>
      <w:r>
        <w:rPr>
          <w:b/>
        </w:rPr>
        <w:t>calibration</w:t>
      </w:r>
      <w:r>
        <w:t xml:space="preserve"> step that adapts to a new backend without retraining.</w:t>
      </w:r>
    </w:p>
    <w:p w14:paraId="07FA75AF" w14:textId="77777777" w:rsidR="00A86264" w:rsidRDefault="00000000">
      <w:r>
        <w:rPr>
          <w:b/>
        </w:rPr>
        <w:t>5. US 7,424,744 B1 — "Signature based network intrusion detection system and method"</w:t>
      </w:r>
      <w:r>
        <w:t xml:space="preserve"> Corresponds to our L1 stage: deterministic signature matching against known attack patterns. </w:t>
      </w:r>
      <w:r>
        <w:rPr>
          <w:i/>
        </w:rPr>
        <w:t>Distinction:</w:t>
      </w:r>
      <w:r>
        <w:t xml:space="preserve"> purely signature-based and therefore blind to zero-day attacks. Our L1 exists only as a fast pre-filter; L1-blocked requests are excluded from the ML stages, and </w:t>
      </w:r>
      <w:r>
        <w:rPr>
          <w:b/>
        </w:rPr>
        <w:t>withheld novel attack families</w:t>
      </w:r>
      <w:r>
        <w:t xml:space="preserve"> (</w:t>
      </w:r>
      <w:r>
        <w:rPr>
          <w:rFonts w:ascii="Consolas" w:hAnsi="Consolas"/>
          <w:sz w:val="19"/>
        </w:rPr>
        <w:t>cmdi</w:t>
      </w:r>
      <w:r>
        <w:t xml:space="preserve">, </w:t>
      </w:r>
      <w:r>
        <w:rPr>
          <w:rFonts w:ascii="Consolas" w:hAnsi="Consolas"/>
          <w:sz w:val="19"/>
        </w:rPr>
        <w:t>exfil</w:t>
      </w:r>
      <w:r>
        <w:t xml:space="preserve">, </w:t>
      </w:r>
      <w:r>
        <w:rPr>
          <w:rFonts w:ascii="Consolas" w:hAnsi="Consolas"/>
          <w:sz w:val="19"/>
        </w:rPr>
        <w:t>ssti</w:t>
      </w:r>
      <w:r>
        <w:t>) are used to measure genuine zero-day recall.</w:t>
      </w:r>
    </w:p>
    <w:p w14:paraId="2E817578" w14:textId="77777777" w:rsidR="00A86264" w:rsidRDefault="00000000">
      <w:pPr>
        <w:pStyle w:val="Heading3"/>
      </w:pPr>
      <w:r>
        <w:t>Interpretation of the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86264" w14:paraId="3B99ABD8" w14:textId="77777777">
        <w:tc>
          <w:tcPr>
            <w:tcW w:w="2880" w:type="dxa"/>
          </w:tcPr>
          <w:p w14:paraId="37844D98" w14:textId="77777777" w:rsidR="00A86264" w:rsidRDefault="00000000">
            <w:r>
              <w:rPr>
                <w:b/>
              </w:rPr>
              <w:t>Prior-art element</w:t>
            </w:r>
          </w:p>
        </w:tc>
        <w:tc>
          <w:tcPr>
            <w:tcW w:w="2880" w:type="dxa"/>
          </w:tcPr>
          <w:p w14:paraId="69A18141" w14:textId="77777777" w:rsidR="00A86264" w:rsidRDefault="00000000">
            <w:r>
              <w:rPr>
                <w:b/>
              </w:rPr>
              <w:t>Covered by</w:t>
            </w:r>
          </w:p>
        </w:tc>
        <w:tc>
          <w:tcPr>
            <w:tcW w:w="2880" w:type="dxa"/>
          </w:tcPr>
          <w:p w14:paraId="73E88DED" w14:textId="77777777" w:rsidR="00A86264" w:rsidRDefault="00000000">
            <w:r>
              <w:rPr>
                <w:b/>
              </w:rPr>
              <w:t>Present in our work</w:t>
            </w:r>
          </w:p>
        </w:tc>
      </w:tr>
      <w:tr w:rsidR="00A86264" w14:paraId="2A5670FF" w14:textId="77777777">
        <w:tc>
          <w:tcPr>
            <w:tcW w:w="2880" w:type="dxa"/>
          </w:tcPr>
          <w:p w14:paraId="116242EE" w14:textId="77777777" w:rsidR="00A86264" w:rsidRDefault="00000000">
            <w:r>
              <w:t>API-layer intrusion detection</w:t>
            </w:r>
          </w:p>
        </w:tc>
        <w:tc>
          <w:tcPr>
            <w:tcW w:w="2880" w:type="dxa"/>
          </w:tcPr>
          <w:p w14:paraId="01AE668D" w14:textId="77777777" w:rsidR="00A86264" w:rsidRDefault="00000000">
            <w:r>
              <w:t>US 8,990,942</w:t>
            </w:r>
          </w:p>
        </w:tc>
        <w:tc>
          <w:tcPr>
            <w:tcW w:w="2880" w:type="dxa"/>
          </w:tcPr>
          <w:p w14:paraId="1AA0EAA5" w14:textId="77777777" w:rsidR="00A86264" w:rsidRDefault="00000000">
            <w:r>
              <w:t>Yes — but backend-agnostic</w:t>
            </w:r>
          </w:p>
        </w:tc>
      </w:tr>
      <w:tr w:rsidR="00A86264" w14:paraId="224F2B0E" w14:textId="77777777">
        <w:tc>
          <w:tcPr>
            <w:tcW w:w="2880" w:type="dxa"/>
          </w:tcPr>
          <w:p w14:paraId="5139A1D4" w14:textId="77777777" w:rsidR="00A86264" w:rsidRDefault="00000000">
            <w:r>
              <w:t>Behavioural ML anomaly scoring</w:t>
            </w:r>
          </w:p>
        </w:tc>
        <w:tc>
          <w:tcPr>
            <w:tcW w:w="2880" w:type="dxa"/>
          </w:tcPr>
          <w:p w14:paraId="2B022EE3" w14:textId="77777777" w:rsidR="00A86264" w:rsidRDefault="00000000">
            <w:r>
              <w:t>US 10,270,788</w:t>
            </w:r>
          </w:p>
        </w:tc>
        <w:tc>
          <w:tcPr>
            <w:tcW w:w="2880" w:type="dxa"/>
          </w:tcPr>
          <w:p w14:paraId="0DCD9163" w14:textId="77777777" w:rsidR="00A86264" w:rsidRDefault="00000000">
            <w:r>
              <w:t>Yes — as one of four layers</w:t>
            </w:r>
          </w:p>
        </w:tc>
      </w:tr>
      <w:tr w:rsidR="00A86264" w14:paraId="310757DE" w14:textId="77777777">
        <w:tc>
          <w:tcPr>
            <w:tcW w:w="2880" w:type="dxa"/>
          </w:tcPr>
          <w:p w14:paraId="52337261" w14:textId="77777777" w:rsidR="00A86264" w:rsidRDefault="00000000">
            <w:r>
              <w:t>Isolation Forest scoring</w:t>
            </w:r>
          </w:p>
        </w:tc>
        <w:tc>
          <w:tcPr>
            <w:tcW w:w="2880" w:type="dxa"/>
          </w:tcPr>
          <w:p w14:paraId="1AB7D938" w14:textId="77777777" w:rsidR="00A86264" w:rsidRDefault="00000000">
            <w:r>
              <w:t>US 11,934,563</w:t>
            </w:r>
          </w:p>
        </w:tc>
        <w:tc>
          <w:tcPr>
            <w:tcW w:w="2880" w:type="dxa"/>
          </w:tcPr>
          <w:p w14:paraId="1A14F4FD" w14:textId="77777777" w:rsidR="00A86264" w:rsidRDefault="00000000">
            <w:r>
              <w:t>Yes — L2 only</w:t>
            </w:r>
          </w:p>
        </w:tc>
      </w:tr>
      <w:tr w:rsidR="00A86264" w14:paraId="7CEBFF38" w14:textId="77777777">
        <w:tc>
          <w:tcPr>
            <w:tcW w:w="2880" w:type="dxa"/>
          </w:tcPr>
          <w:p w14:paraId="01C29DD8" w14:textId="77777777" w:rsidR="00A86264" w:rsidRDefault="00000000">
            <w:r>
              <w:t>Train/serve model-state consistency</w:t>
            </w:r>
          </w:p>
        </w:tc>
        <w:tc>
          <w:tcPr>
            <w:tcW w:w="2880" w:type="dxa"/>
          </w:tcPr>
          <w:p w14:paraId="222E11CE" w14:textId="77777777" w:rsidR="00A86264" w:rsidRDefault="00000000">
            <w:r>
              <w:t>US 10,911,468</w:t>
            </w:r>
          </w:p>
        </w:tc>
        <w:tc>
          <w:tcPr>
            <w:tcW w:w="2880" w:type="dxa"/>
          </w:tcPr>
          <w:p w14:paraId="5C6DD75D" w14:textId="77777777" w:rsidR="00A86264" w:rsidRDefault="00000000">
            <w:r>
              <w:t>Yes — via feature contract</w:t>
            </w:r>
          </w:p>
        </w:tc>
      </w:tr>
      <w:tr w:rsidR="00A86264" w14:paraId="09376736" w14:textId="77777777">
        <w:tc>
          <w:tcPr>
            <w:tcW w:w="2880" w:type="dxa"/>
          </w:tcPr>
          <w:p w14:paraId="04AB11E4" w14:textId="77777777" w:rsidR="00A86264" w:rsidRDefault="00000000">
            <w:r>
              <w:t>Signature matching</w:t>
            </w:r>
          </w:p>
        </w:tc>
        <w:tc>
          <w:tcPr>
            <w:tcW w:w="2880" w:type="dxa"/>
          </w:tcPr>
          <w:p w14:paraId="31DA05C3" w14:textId="77777777" w:rsidR="00A86264" w:rsidRDefault="00000000">
            <w:r>
              <w:t>US 7,424,744</w:t>
            </w:r>
          </w:p>
        </w:tc>
        <w:tc>
          <w:tcPr>
            <w:tcW w:w="2880" w:type="dxa"/>
          </w:tcPr>
          <w:p w14:paraId="141BCA95" w14:textId="77777777" w:rsidR="00A86264" w:rsidRDefault="00000000">
            <w:r>
              <w:t>Yes — L1 pre-filter</w:t>
            </w:r>
          </w:p>
        </w:tc>
      </w:tr>
      <w:tr w:rsidR="00A86264" w14:paraId="26D3F76F" w14:textId="77777777">
        <w:tc>
          <w:tcPr>
            <w:tcW w:w="2880" w:type="dxa"/>
          </w:tcPr>
          <w:p w14:paraId="2D7F351F" w14:textId="77777777" w:rsidR="00A86264" w:rsidRDefault="00000000">
            <w:r>
              <w:rPr>
                <w:b/>
              </w:rPr>
              <w:t>All five combined + FPR-budgeted, session-partitioned calibration</w:t>
            </w:r>
          </w:p>
        </w:tc>
        <w:tc>
          <w:tcPr>
            <w:tcW w:w="2880" w:type="dxa"/>
          </w:tcPr>
          <w:p w14:paraId="0425AA13" w14:textId="77777777" w:rsidR="00A86264" w:rsidRDefault="00000000">
            <w:r>
              <w:rPr>
                <w:b/>
              </w:rPr>
              <w:t>none located</w:t>
            </w:r>
          </w:p>
        </w:tc>
        <w:tc>
          <w:tcPr>
            <w:tcW w:w="2880" w:type="dxa"/>
          </w:tcPr>
          <w:p w14:paraId="33FA5D24" w14:textId="77777777" w:rsidR="00A86264" w:rsidRDefault="00000000">
            <w:r>
              <w:rPr>
                <w:b/>
              </w:rPr>
              <w:t>Yes</w:t>
            </w:r>
          </w:p>
        </w:tc>
      </w:tr>
    </w:tbl>
    <w:p w14:paraId="2CC8307F" w14:textId="77777777" w:rsidR="00A86264" w:rsidRDefault="00A86264"/>
    <w:p w14:paraId="16F94371" w14:textId="77777777" w:rsidR="00A86264" w:rsidRDefault="00000000">
      <w:r>
        <w:t xml:space="preserve">No single located patent claims the combination of (a) a backend-agnostic reverse-proxy gateway, (b) a four-stage cascade of signature rules → Isolation Forest → autoencoder → supervised meta-learner, (c) a decision threshold selected on a held-out validation split under an explicit false-positive-rate budget, and (d) an offline re-calibration procedure that adapts the baseline to a new backend </w:t>
      </w:r>
      <w:r>
        <w:rPr>
          <w:i/>
        </w:rPr>
        <w:t>without</w:t>
      </w:r>
      <w:r>
        <w:t xml:space="preserve"> retraining the base detectors. That combination is the plausible </w:t>
      </w:r>
      <w:r>
        <w:rPr>
          <w:b/>
        </w:rPr>
        <w:t>novelty and inventive step</w:t>
      </w:r>
      <w:r>
        <w:t>. A formal patentability search by a registered patent agent would still be required before filing, since this search covered only English-language full-text databases.</w:t>
      </w:r>
    </w:p>
    <w:p w14:paraId="739D0E94" w14:textId="77777777" w:rsidR="00A86264" w:rsidRDefault="00000000">
      <w:pPr>
        <w:pStyle w:val="Heading2"/>
      </w:pPr>
      <w:r>
        <w:t>vi) Procedure to File a Patent (India — Patents Act, 1970)</w:t>
      </w:r>
    </w:p>
    <w:p w14:paraId="6B453D5F" w14:textId="77777777" w:rsidR="00A86264" w:rsidRDefault="00000000">
      <w:pPr>
        <w:pStyle w:val="Heading3"/>
      </w:pPr>
      <w:r>
        <w:t>Step 0 — Patentability / prior-art search</w:t>
      </w:r>
    </w:p>
    <w:p w14:paraId="5A505E38" w14:textId="77777777" w:rsidR="00A86264" w:rsidRDefault="00000000">
      <w:r>
        <w:t xml:space="preserve">Search </w:t>
      </w:r>
      <w:r>
        <w:rPr>
          <w:b/>
        </w:rPr>
        <w:t>InPASS</w:t>
      </w:r>
      <w:r>
        <w:t xml:space="preserve"> (Indian Patent Advanced Search System, </w:t>
      </w:r>
      <w:r>
        <w:rPr>
          <w:rFonts w:ascii="Consolas" w:hAnsi="Consolas"/>
          <w:sz w:val="19"/>
        </w:rPr>
        <w:t>ipindiaservices.gov.in/publicsearch</w:t>
      </w:r>
      <w:r>
        <w:t xml:space="preserve">), </w:t>
      </w:r>
      <w:r>
        <w:rPr>
          <w:b/>
        </w:rPr>
        <w:t>Google Patents</w:t>
      </w:r>
      <w:r>
        <w:t xml:space="preserve">, </w:t>
      </w:r>
      <w:r>
        <w:rPr>
          <w:b/>
        </w:rPr>
        <w:t>Espacenet</w:t>
      </w:r>
      <w:r>
        <w:t xml:space="preserve">, </w:t>
      </w:r>
      <w:r>
        <w:rPr>
          <w:b/>
        </w:rPr>
        <w:t xml:space="preserve">USPTO Patent Public </w:t>
      </w:r>
      <w:r>
        <w:rPr>
          <w:b/>
        </w:rPr>
        <w:lastRenderedPageBreak/>
        <w:t>Search</w:t>
      </w:r>
      <w:r>
        <w:t xml:space="preserve"> and </w:t>
      </w:r>
      <w:r>
        <w:rPr>
          <w:b/>
        </w:rPr>
        <w:t>WIPO PATENTSCOPE</w:t>
      </w:r>
      <w:r>
        <w:t xml:space="preserve">. Confirm novelty, inventive step and industrial applicability, and check that the invention escapes Section 3(k). </w:t>
      </w:r>
      <w:r>
        <w:rPr>
          <w:i/>
        </w:rPr>
        <w:t>Do not publish, demonstrate or open-source the invention before filing.</w:t>
      </w:r>
    </w:p>
    <w:p w14:paraId="583B7C29" w14:textId="77777777" w:rsidR="00A86264" w:rsidRDefault="00000000">
      <w:pPr>
        <w:pStyle w:val="Heading3"/>
      </w:pPr>
      <w:r>
        <w:t>Step 1 — Drafting the specification</w:t>
      </w:r>
    </w:p>
    <w:p w14:paraId="7D17075C" w14:textId="77777777" w:rsidR="00A86264" w:rsidRDefault="00000000">
      <w:r>
        <w:t xml:space="preserve">A </w:t>
      </w:r>
      <w:r>
        <w:rPr>
          <w:b/>
        </w:rPr>
        <w:t>provisional specification</w:t>
      </w:r>
      <w:r>
        <w:t xml:space="preserve"> (title, field, description of the invention) may be filed first to secure an early priority date at low cost; the </w:t>
      </w:r>
      <w:r>
        <w:rPr>
          <w:b/>
        </w:rPr>
        <w:t>complete specification</w:t>
      </w:r>
      <w:r>
        <w:t xml:space="preserve"> — title, field, background, summary, brief description of drawings, detailed description, </w:t>
      </w:r>
      <w:r>
        <w:rPr>
          <w:b/>
        </w:rPr>
        <w:t>claims</w:t>
      </w:r>
      <w:r>
        <w:t xml:space="preserve">, abstract — must then be filed </w:t>
      </w:r>
      <w:r>
        <w:rPr>
          <w:b/>
        </w:rPr>
        <w:t>within 12 months</w:t>
      </w:r>
      <w:r>
        <w:t xml:space="preserve">. The </w:t>
      </w:r>
      <w:r>
        <w:rPr>
          <w:b/>
        </w:rPr>
        <w:t>claims</w:t>
      </w:r>
      <w:r>
        <w:t xml:space="preserve"> define the legal scope and are the most critical part; they are normally drafted with a registered patent agent.</w:t>
      </w:r>
    </w:p>
    <w:p w14:paraId="778245C9" w14:textId="77777777" w:rsidR="00A86264" w:rsidRDefault="00000000">
      <w:pPr>
        <w:pStyle w:val="Heading3"/>
      </w:pPr>
      <w:r>
        <w:t>Step 2 — Filing the application</w:t>
      </w:r>
    </w:p>
    <w:p w14:paraId="5BBC297A" w14:textId="77777777" w:rsidR="00A86264" w:rsidRDefault="00000000">
      <w:r>
        <w:t xml:space="preserve">File online at the </w:t>
      </w:r>
      <w:r>
        <w:rPr>
          <w:b/>
        </w:rPr>
        <w:t>IP India e-filing portal</w:t>
      </w:r>
      <w:r>
        <w:t xml:space="preserve"> (</w:t>
      </w:r>
      <w:r>
        <w:rPr>
          <w:rFonts w:ascii="Consolas" w:hAnsi="Consolas"/>
          <w:sz w:val="19"/>
        </w:rPr>
        <w:t>ipindiaservices.gov.in/efiling</w:t>
      </w:r>
      <w:r>
        <w:t xml:space="preserve">) with one of the four patent offices — </w:t>
      </w:r>
      <w:r>
        <w:rPr>
          <w:b/>
        </w:rPr>
        <w:t>Delhi, Mumbai, Kolkata (HQ) or Chennai</w:t>
      </w:r>
      <w:r>
        <w:t xml:space="preserve"> — determined by the applicant's place of residence or business.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264" w14:paraId="56F3EC5B" w14:textId="77777777">
        <w:tc>
          <w:tcPr>
            <w:tcW w:w="4320" w:type="dxa"/>
          </w:tcPr>
          <w:p w14:paraId="5C901817" w14:textId="77777777" w:rsidR="00A86264" w:rsidRDefault="00000000">
            <w:r>
              <w:rPr>
                <w:b/>
              </w:rPr>
              <w:t>Form</w:t>
            </w:r>
          </w:p>
        </w:tc>
        <w:tc>
          <w:tcPr>
            <w:tcW w:w="4320" w:type="dxa"/>
          </w:tcPr>
          <w:p w14:paraId="1EF92457" w14:textId="77777777" w:rsidR="00A86264" w:rsidRDefault="00000000">
            <w:r>
              <w:rPr>
                <w:b/>
              </w:rPr>
              <w:t>Purpose</w:t>
            </w:r>
          </w:p>
        </w:tc>
      </w:tr>
      <w:tr w:rsidR="00A86264" w14:paraId="0519C2D2" w14:textId="77777777">
        <w:tc>
          <w:tcPr>
            <w:tcW w:w="4320" w:type="dxa"/>
          </w:tcPr>
          <w:p w14:paraId="66BF3539" w14:textId="77777777" w:rsidR="00A86264" w:rsidRDefault="00000000">
            <w:r>
              <w:rPr>
                <w:b/>
              </w:rPr>
              <w:t>Form 1</w:t>
            </w:r>
          </w:p>
        </w:tc>
        <w:tc>
          <w:tcPr>
            <w:tcW w:w="4320" w:type="dxa"/>
          </w:tcPr>
          <w:p w14:paraId="5069C790" w14:textId="77777777" w:rsidR="00A86264" w:rsidRDefault="00000000">
            <w:r>
              <w:t>Application for grant of patent</w:t>
            </w:r>
          </w:p>
        </w:tc>
      </w:tr>
      <w:tr w:rsidR="00A86264" w14:paraId="20EDBB85" w14:textId="77777777">
        <w:tc>
          <w:tcPr>
            <w:tcW w:w="4320" w:type="dxa"/>
          </w:tcPr>
          <w:p w14:paraId="4853AE28" w14:textId="77777777" w:rsidR="00A86264" w:rsidRDefault="00000000">
            <w:r>
              <w:rPr>
                <w:b/>
              </w:rPr>
              <w:t>Form 2</w:t>
            </w:r>
          </w:p>
        </w:tc>
        <w:tc>
          <w:tcPr>
            <w:tcW w:w="4320" w:type="dxa"/>
          </w:tcPr>
          <w:p w14:paraId="4D4D1364" w14:textId="77777777" w:rsidR="00A86264" w:rsidRDefault="00000000">
            <w:r>
              <w:t>Provisional / Complete specification</w:t>
            </w:r>
          </w:p>
        </w:tc>
      </w:tr>
      <w:tr w:rsidR="00A86264" w14:paraId="5C7DA0FA" w14:textId="77777777">
        <w:tc>
          <w:tcPr>
            <w:tcW w:w="4320" w:type="dxa"/>
          </w:tcPr>
          <w:p w14:paraId="5B3FAF23" w14:textId="77777777" w:rsidR="00A86264" w:rsidRDefault="00000000">
            <w:r>
              <w:rPr>
                <w:b/>
              </w:rPr>
              <w:t>Form 3</w:t>
            </w:r>
          </w:p>
        </w:tc>
        <w:tc>
          <w:tcPr>
            <w:tcW w:w="4320" w:type="dxa"/>
          </w:tcPr>
          <w:p w14:paraId="352EB90B" w14:textId="77777777" w:rsidR="00A86264" w:rsidRDefault="00000000">
            <w:r>
              <w:t>Statement and undertaking regarding foreign applications (Sec. 8)</w:t>
            </w:r>
          </w:p>
        </w:tc>
      </w:tr>
      <w:tr w:rsidR="00A86264" w14:paraId="044BEE0D" w14:textId="77777777">
        <w:tc>
          <w:tcPr>
            <w:tcW w:w="4320" w:type="dxa"/>
          </w:tcPr>
          <w:p w14:paraId="5A9589AF" w14:textId="77777777" w:rsidR="00A86264" w:rsidRDefault="00000000">
            <w:r>
              <w:rPr>
                <w:b/>
              </w:rPr>
              <w:t>Form 5</w:t>
            </w:r>
          </w:p>
        </w:tc>
        <w:tc>
          <w:tcPr>
            <w:tcW w:w="4320" w:type="dxa"/>
          </w:tcPr>
          <w:p w14:paraId="35CFE9DF" w14:textId="77777777" w:rsidR="00A86264" w:rsidRDefault="00000000">
            <w:r>
              <w:t>Declaration as to inventorship (with complete specification)</w:t>
            </w:r>
          </w:p>
        </w:tc>
      </w:tr>
      <w:tr w:rsidR="00A86264" w14:paraId="69BAA849" w14:textId="77777777">
        <w:tc>
          <w:tcPr>
            <w:tcW w:w="4320" w:type="dxa"/>
          </w:tcPr>
          <w:p w14:paraId="6FF81A9F" w14:textId="77777777" w:rsidR="00A86264" w:rsidRDefault="00000000">
            <w:r>
              <w:rPr>
                <w:b/>
              </w:rPr>
              <w:t>Form 9</w:t>
            </w:r>
          </w:p>
        </w:tc>
        <w:tc>
          <w:tcPr>
            <w:tcW w:w="4320" w:type="dxa"/>
          </w:tcPr>
          <w:p w14:paraId="1C2244EB" w14:textId="77777777" w:rsidR="00A86264" w:rsidRDefault="00000000">
            <w:r>
              <w:t>Request for early publication (optional)</w:t>
            </w:r>
          </w:p>
        </w:tc>
      </w:tr>
      <w:tr w:rsidR="00A86264" w14:paraId="6B565762" w14:textId="77777777">
        <w:tc>
          <w:tcPr>
            <w:tcW w:w="4320" w:type="dxa"/>
          </w:tcPr>
          <w:p w14:paraId="38D6EC36" w14:textId="77777777" w:rsidR="00A86264" w:rsidRDefault="00000000">
            <w:r>
              <w:rPr>
                <w:b/>
              </w:rPr>
              <w:t>Form 18</w:t>
            </w:r>
          </w:p>
        </w:tc>
        <w:tc>
          <w:tcPr>
            <w:tcW w:w="4320" w:type="dxa"/>
          </w:tcPr>
          <w:p w14:paraId="2830987A" w14:textId="77777777" w:rsidR="00A86264" w:rsidRDefault="00000000">
            <w:r>
              <w:rPr>
                <w:b/>
              </w:rPr>
              <w:t>Request for Examination (RFE)</w:t>
            </w:r>
            <w:r>
              <w:t xml:space="preserve"> — mandatory</w:t>
            </w:r>
          </w:p>
        </w:tc>
      </w:tr>
      <w:tr w:rsidR="00A86264" w14:paraId="27134EC5" w14:textId="77777777">
        <w:tc>
          <w:tcPr>
            <w:tcW w:w="4320" w:type="dxa"/>
          </w:tcPr>
          <w:p w14:paraId="6A634D59" w14:textId="77777777" w:rsidR="00A86264" w:rsidRDefault="00000000">
            <w:r>
              <w:rPr>
                <w:b/>
              </w:rPr>
              <w:t>Form 26</w:t>
            </w:r>
          </w:p>
        </w:tc>
        <w:tc>
          <w:tcPr>
            <w:tcW w:w="4320" w:type="dxa"/>
          </w:tcPr>
          <w:p w14:paraId="7E9B4E2F" w14:textId="77777777" w:rsidR="00A86264" w:rsidRDefault="00000000">
            <w:r>
              <w:t>Power of Attorney, if filed through an agent</w:t>
            </w:r>
          </w:p>
        </w:tc>
      </w:tr>
      <w:tr w:rsidR="00A86264" w14:paraId="107137E8" w14:textId="77777777">
        <w:tc>
          <w:tcPr>
            <w:tcW w:w="4320" w:type="dxa"/>
          </w:tcPr>
          <w:p w14:paraId="2AC1B269" w14:textId="77777777" w:rsidR="00A86264" w:rsidRDefault="00000000">
            <w:r>
              <w:rPr>
                <w:b/>
              </w:rPr>
              <w:t>Form 28</w:t>
            </w:r>
          </w:p>
        </w:tc>
        <w:tc>
          <w:tcPr>
            <w:tcW w:w="4320" w:type="dxa"/>
          </w:tcPr>
          <w:p w14:paraId="63E62DA0" w14:textId="77777777" w:rsidR="00A86264" w:rsidRDefault="00000000">
            <w:r>
              <w:t>Claim for small-entity / startup / MSME status (fee concession)</w:t>
            </w:r>
          </w:p>
        </w:tc>
      </w:tr>
    </w:tbl>
    <w:p w14:paraId="627A7E85" w14:textId="77777777" w:rsidR="00A86264" w:rsidRDefault="00A86264"/>
    <w:p w14:paraId="105499D9" w14:textId="77777777" w:rsidR="00A86264" w:rsidRDefault="00000000">
      <w:r>
        <w:rPr>
          <w:b/>
        </w:rPr>
        <w:t>Fees (indicative, e-filing):</w:t>
      </w:r>
      <w:r>
        <w:t xml:space="preserve"> natural person / startup / small entity ≈ ₹1,600; large entity ≈ ₹8,000, plus excess-claim and excess-page fees. Students, individual inventors and DPIIT-recognised startups qualify for the concessional slab, and the </w:t>
      </w:r>
      <w:r>
        <w:rPr>
          <w:b/>
        </w:rPr>
        <w:t>SIPP scheme</w:t>
      </w:r>
      <w:r>
        <w:t xml:space="preserve"> (Startups Intellectual Property Protection) provides a government-funded facilitator.</w:t>
      </w:r>
    </w:p>
    <w:p w14:paraId="189ED208" w14:textId="77777777" w:rsidR="00A86264" w:rsidRDefault="00000000">
      <w:pPr>
        <w:pStyle w:val="Heading3"/>
      </w:pPr>
      <w:r>
        <w:t>Step 3 — Publication</w:t>
      </w:r>
    </w:p>
    <w:p w14:paraId="1FEC393A" w14:textId="77777777" w:rsidR="00A86264" w:rsidRDefault="00000000">
      <w:r>
        <w:t xml:space="preserve">The application is published in the </w:t>
      </w:r>
      <w:r>
        <w:rPr>
          <w:b/>
        </w:rPr>
        <w:t>Official Journal of the Patent Office</w:t>
      </w:r>
      <w:r>
        <w:t xml:space="preserve"> </w:t>
      </w:r>
      <w:r>
        <w:rPr>
          <w:b/>
        </w:rPr>
        <w:t>18 months</w:t>
      </w:r>
      <w:r>
        <w:t xml:space="preserve"> after the priority date (Sec. 11A). Filing </w:t>
      </w:r>
      <w:r>
        <w:rPr>
          <w:b/>
        </w:rPr>
        <w:t>Form 9</w:t>
      </w:r>
      <w:r>
        <w:t xml:space="preserve"> requests early publication (about one month), which starts provisional rights sooner.</w:t>
      </w:r>
    </w:p>
    <w:p w14:paraId="445C2203" w14:textId="77777777" w:rsidR="00A86264" w:rsidRDefault="00000000">
      <w:pPr>
        <w:pStyle w:val="Heading3"/>
      </w:pPr>
      <w:r>
        <w:t>Step 4 — Request for Examination (Form 18)</w:t>
      </w:r>
    </w:p>
    <w:p w14:paraId="1D91B2EB" w14:textId="77777777" w:rsidR="00A86264" w:rsidRDefault="00000000">
      <w:r>
        <w:t xml:space="preserve">Must be filed </w:t>
      </w:r>
      <w:r>
        <w:rPr>
          <w:b/>
        </w:rPr>
        <w:t>within 31 months</w:t>
      </w:r>
      <w:r>
        <w:t xml:space="preserve"> of the priority date. Examination does </w:t>
      </w:r>
      <w:r>
        <w:rPr>
          <w:b/>
        </w:rPr>
        <w:t>not</w:t>
      </w:r>
      <w:r>
        <w:t xml:space="preserve"> start automatically — if the RFE is not filed in time the application is </w:t>
      </w:r>
      <w:r>
        <w:rPr>
          <w:b/>
        </w:rPr>
        <w:t>deemed withdrawn</w:t>
      </w:r>
      <w:r>
        <w:t xml:space="preserve">. </w:t>
      </w:r>
      <w:r>
        <w:rPr>
          <w:b/>
        </w:rPr>
        <w:t>Expedited examination (Form 18A)</w:t>
      </w:r>
      <w:r>
        <w:t xml:space="preserve"> is available to startups, small entities, female applicants and PCT cases where India was the ISA/IPEA.</w:t>
      </w:r>
    </w:p>
    <w:p w14:paraId="7989B570" w14:textId="77777777" w:rsidR="00A86264" w:rsidRDefault="00000000">
      <w:pPr>
        <w:pStyle w:val="Heading3"/>
      </w:pPr>
      <w:r>
        <w:lastRenderedPageBreak/>
        <w:t>Step 5 — Examination and the First Examination Report (FER)</w:t>
      </w:r>
    </w:p>
    <w:p w14:paraId="33028240" w14:textId="77777777" w:rsidR="00A86264" w:rsidRDefault="00000000">
      <w:r>
        <w:t xml:space="preserve">The Controller issues an </w:t>
      </w:r>
      <w:r>
        <w:rPr>
          <w:b/>
        </w:rPr>
        <w:t>FER</w:t>
      </w:r>
      <w:r>
        <w:t xml:space="preserve"> raising objections on novelty, inventive step, Section 3 exclusions, clarity and formalities. The applicant must </w:t>
      </w:r>
      <w:r>
        <w:rPr>
          <w:b/>
        </w:rPr>
        <w:t>put the application in order for grant within 6 months</w:t>
      </w:r>
      <w:r>
        <w:t xml:space="preserve"> of the FER (extendable by 3 months on Form 4) by filing a written reply with amended claims if required.</w:t>
      </w:r>
    </w:p>
    <w:p w14:paraId="024B8EC5" w14:textId="77777777" w:rsidR="00A86264" w:rsidRDefault="00000000">
      <w:pPr>
        <w:pStyle w:val="Heading3"/>
      </w:pPr>
      <w:r>
        <w:t>Step 6 — Hearing</w:t>
      </w:r>
    </w:p>
    <w:p w14:paraId="27B0D3EA" w14:textId="77777777" w:rsidR="00A86264" w:rsidRDefault="00000000">
      <w:r>
        <w:t xml:space="preserve">If objections are not resolved on paper, the Controller offers a </w:t>
      </w:r>
      <w:r>
        <w:rPr>
          <w:b/>
        </w:rPr>
        <w:t>hearing</w:t>
      </w:r>
      <w:r>
        <w:t>; written submissions follow within 15 days of it.</w:t>
      </w:r>
    </w:p>
    <w:p w14:paraId="45BE8244" w14:textId="77777777" w:rsidR="00A86264" w:rsidRDefault="00000000">
      <w:pPr>
        <w:pStyle w:val="Heading3"/>
      </w:pPr>
      <w:r>
        <w:t>Step 7 — Grant</w:t>
      </w:r>
    </w:p>
    <w:p w14:paraId="38983568" w14:textId="77777777" w:rsidR="00A86264" w:rsidRDefault="00000000">
      <w:r>
        <w:t xml:space="preserve">On satisfaction the patent is </w:t>
      </w:r>
      <w:r>
        <w:rPr>
          <w:b/>
        </w:rPr>
        <w:t>granted</w:t>
      </w:r>
      <w:r>
        <w:t>, assigned a patent number, entered in the Register of Patents and published in the Official Journal.</w:t>
      </w:r>
    </w:p>
    <w:p w14:paraId="4245B44B" w14:textId="77777777" w:rsidR="00A86264" w:rsidRDefault="00000000">
      <w:pPr>
        <w:pStyle w:val="Heading3"/>
      </w:pPr>
      <w:r>
        <w:t>Step 8 — Opposition</w:t>
      </w:r>
    </w:p>
    <w:p w14:paraId="07226F1A" w14:textId="77777777" w:rsidR="00A86264" w:rsidRDefault="00000000">
      <w:pPr>
        <w:pStyle w:val="ListBullet"/>
      </w:pPr>
      <w:r>
        <w:rPr>
          <w:b/>
        </w:rPr>
        <w:t>Pre-grant opposition (Sec. 25(1))</w:t>
      </w:r>
      <w:r>
        <w:t xml:space="preserve"> — by any person, after publication and before grant.</w:t>
      </w:r>
    </w:p>
    <w:p w14:paraId="4F0CE15B" w14:textId="77777777" w:rsidR="00A86264" w:rsidRDefault="00000000">
      <w:pPr>
        <w:pStyle w:val="ListBullet"/>
      </w:pPr>
      <w:r>
        <w:rPr>
          <w:b/>
        </w:rPr>
        <w:t>Post-grant opposition (Sec. 25(2))</w:t>
      </w:r>
      <w:r>
        <w:t xml:space="preserve"> — by an interested person within </w:t>
      </w:r>
      <w:r>
        <w:rPr>
          <w:b/>
        </w:rPr>
        <w:t>12 months</w:t>
      </w:r>
      <w:r>
        <w:t xml:space="preserve"> of</w:t>
      </w:r>
    </w:p>
    <w:p w14:paraId="3C2E40A4" w14:textId="77777777" w:rsidR="00A86264" w:rsidRDefault="00000000">
      <w:r>
        <w:t>publication of the grant.</w:t>
      </w:r>
    </w:p>
    <w:p w14:paraId="5572B296" w14:textId="77777777" w:rsidR="00A86264" w:rsidRDefault="00000000">
      <w:pPr>
        <w:pStyle w:val="Heading3"/>
      </w:pPr>
      <w:r>
        <w:t>Step 9 — Maintenance</w:t>
      </w:r>
    </w:p>
    <w:p w14:paraId="2C3A0A9F" w14:textId="77777777" w:rsidR="00A86264" w:rsidRDefault="00000000">
      <w:r>
        <w:rPr>
          <w:b/>
        </w:rPr>
        <w:t>Renewal fees</w:t>
      </w:r>
      <w:r>
        <w:t xml:space="preserve"> are payable annually from the </w:t>
      </w:r>
      <w:r>
        <w:rPr>
          <w:b/>
        </w:rPr>
        <w:t>3rd year</w:t>
      </w:r>
      <w:r>
        <w:t xml:space="preserve"> onward, and </w:t>
      </w:r>
      <w:r>
        <w:rPr>
          <w:b/>
        </w:rPr>
        <w:t>Form 27</w:t>
      </w:r>
      <w:r>
        <w:t xml:space="preserve"> (statement of working) must be filed periodically. Non-payment causes the patent to </w:t>
      </w:r>
      <w:r>
        <w:rPr>
          <w:b/>
        </w:rPr>
        <w:t>lapse</w:t>
      </w:r>
      <w:r>
        <w:t xml:space="preserve">. The term is </w:t>
      </w:r>
      <w:r>
        <w:rPr>
          <w:b/>
        </w:rPr>
        <w:t>20 years from the date of filing</w:t>
      </w:r>
      <w:r>
        <w:t>, non-renewable.</w:t>
      </w:r>
    </w:p>
    <w:p w14:paraId="49B63F57" w14:textId="77777777" w:rsidR="00A86264" w:rsidRDefault="00000000">
      <w:pPr>
        <w:pStyle w:val="Heading3"/>
      </w:pPr>
      <w:r>
        <w:t>Filing abroad</w:t>
      </w:r>
    </w:p>
    <w:p w14:paraId="6FA8D4AE" w14:textId="77777777" w:rsidR="00A86264" w:rsidRDefault="00000000">
      <w:pPr>
        <w:pStyle w:val="ListBullet"/>
      </w:pPr>
      <w:r>
        <w:t xml:space="preserve">Under </w:t>
      </w:r>
      <w:r>
        <w:rPr>
          <w:b/>
        </w:rPr>
        <w:t>Section 39</w:t>
      </w:r>
      <w:r>
        <w:t xml:space="preserve">, an Indian resident must obtain </w:t>
      </w:r>
      <w:r>
        <w:rPr>
          <w:b/>
        </w:rPr>
        <w:t>foreign filing permission</w:t>
      </w:r>
      <w:r>
        <w:t xml:space="preserve"> from</w:t>
      </w:r>
    </w:p>
    <w:p w14:paraId="3AF3FC84" w14:textId="77777777" w:rsidR="00A86264" w:rsidRDefault="00000000">
      <w:r>
        <w:t>the Controller, or wait six weeks after the Indian filing, before filing abroad.</w:t>
      </w:r>
    </w:p>
    <w:p w14:paraId="3D2B1D9C" w14:textId="77777777" w:rsidR="00A86264" w:rsidRDefault="00000000">
      <w:pPr>
        <w:pStyle w:val="ListBullet"/>
      </w:pPr>
      <w:r>
        <w:t xml:space="preserve">The </w:t>
      </w:r>
      <w:r>
        <w:rPr>
          <w:b/>
        </w:rPr>
        <w:t>PCT (Patent Cooperation Treaty)</w:t>
      </w:r>
      <w:r>
        <w:t xml:space="preserve"> route allows one international application within</w:t>
      </w:r>
    </w:p>
    <w:p w14:paraId="3A1BB25A" w14:textId="77777777" w:rsidR="00A86264" w:rsidRDefault="00000000">
      <w:r>
        <w:t xml:space="preserve">12 months of the Indian priority date, deferring the choice of countries (the "national phase") to </w:t>
      </w:r>
      <w:r>
        <w:rPr>
          <w:b/>
        </w:rPr>
        <w:t>30/31 months</w:t>
      </w:r>
      <w:r>
        <w:t xml:space="preserve"> from priority.</w:t>
      </w:r>
    </w:p>
    <w:p w14:paraId="539607E0" w14:textId="77777777" w:rsidR="00A86264" w:rsidRDefault="00000000">
      <w:pPr>
        <w:pStyle w:val="ListBullet"/>
      </w:pPr>
      <w:r>
        <w:t xml:space="preserve">The </w:t>
      </w:r>
      <w:r>
        <w:rPr>
          <w:b/>
        </w:rPr>
        <w:t>Paris Convention</w:t>
      </w:r>
      <w:r>
        <w:t xml:space="preserve"> route allows direct filing in member countries within 12 months</w:t>
      </w:r>
    </w:p>
    <w:p w14:paraId="3DB90CC5" w14:textId="77777777" w:rsidR="00A86264" w:rsidRDefault="00000000">
      <w:r>
        <w:t>of priority.</w:t>
      </w:r>
    </w:p>
    <w:p w14:paraId="7F2BA6B9" w14:textId="77777777" w:rsidR="00A86264" w:rsidRDefault="00000000">
      <w:pPr>
        <w:pStyle w:val="Heading3"/>
      </w:pPr>
      <w:r>
        <w:t>Indicative timeline</w:t>
      </w:r>
    </w:p>
    <w:p w14:paraId="48A7FA26" w14:textId="77777777" w:rsidR="00A86264" w:rsidRDefault="00000000">
      <w:pPr>
        <w:ind w:left="360"/>
      </w:pPr>
      <w:r>
        <w:rPr>
          <w:rFonts w:ascii="Consolas" w:hAnsi="Consolas"/>
          <w:sz w:val="18"/>
        </w:rPr>
        <w:t>Day 0        Provisional filing — priority date secured</w:t>
      </w:r>
      <w:r>
        <w:rPr>
          <w:rFonts w:ascii="Consolas" w:hAnsi="Consolas"/>
          <w:sz w:val="18"/>
        </w:rPr>
        <w:br/>
        <w:t>+12 months   Complete specification (Form 2) must be filed</w:t>
      </w:r>
      <w:r>
        <w:rPr>
          <w:rFonts w:ascii="Consolas" w:hAnsi="Consolas"/>
          <w:sz w:val="18"/>
        </w:rPr>
        <w:br/>
        <w:t>+18 months   Automatic publication (or ~1 month via Form 9)</w:t>
      </w:r>
      <w:r>
        <w:rPr>
          <w:rFonts w:ascii="Consolas" w:hAnsi="Consolas"/>
          <w:sz w:val="18"/>
        </w:rPr>
        <w:br/>
        <w:t>+31 months   Deadline for Request for Examination (Form 18)</w:t>
      </w:r>
      <w:r>
        <w:rPr>
          <w:rFonts w:ascii="Consolas" w:hAnsi="Consolas"/>
          <w:sz w:val="18"/>
        </w:rPr>
        <w:br/>
        <w:t>~2-4 years   First Examination Report -&gt; reply within 6 (+3) months</w:t>
      </w:r>
      <w:r>
        <w:rPr>
          <w:rFonts w:ascii="Consolas" w:hAnsi="Consolas"/>
          <w:sz w:val="18"/>
        </w:rPr>
        <w:br/>
        <w:t>~3-5 years   Grant</w:t>
      </w:r>
      <w:r>
        <w:rPr>
          <w:rFonts w:ascii="Consolas" w:hAnsi="Consolas"/>
          <w:sz w:val="18"/>
        </w:rPr>
        <w:br/>
        <w:t>3rd year on  Annual renewal fees; term ends 20 years from filing date</w:t>
      </w:r>
    </w:p>
    <w:p w14:paraId="6F344FDB" w14:textId="77777777" w:rsidR="00A86264" w:rsidRDefault="00000000">
      <w:pPr>
        <w:pStyle w:val="Heading2"/>
      </w:pPr>
      <w:r>
        <w:lastRenderedPageBreak/>
        <w:t>Conclusion</w:t>
      </w:r>
    </w:p>
    <w:p w14:paraId="44E86C69" w14:textId="77777777" w:rsidR="00A86264" w:rsidRDefault="00000000">
      <w:r>
        <w:t xml:space="preserve">Intellectual property rights convert an intangible technical contribution into a defensible, tradeable asset. For </w:t>
      </w:r>
      <w:r>
        <w:rPr>
          <w:b/>
        </w:rPr>
        <w:t>MicroAPI Guard</w:t>
      </w:r>
      <w:r>
        <w:t xml:space="preserve"> the source code is already protected by copyright, but that protection is thin — it stops copying of the code, not reimplementation of the method. The prior-art survey in Section (v) shows that API-level intrusion detection, Isolation-Forest scoring, streaming behavioural anomaly models, train/serve model-state consistency and signature-based IDS are each individually patented, but the specific </w:t>
      </w:r>
      <w:r>
        <w:rPr>
          <w:b/>
        </w:rPr>
        <w:t>backend-agnostic four-layer cascade with an FPR-budgeted, session-partitioned evaluation and an offline recalibration path</w:t>
      </w:r>
      <w:r>
        <w:t xml:space="preserve"> does not appear to be claimed by any single one of them. That combination is therefore the appropriate subject of a patent claim, drafted to emphasise the </w:t>
      </w:r>
      <w:r>
        <w:rPr>
          <w:b/>
        </w:rPr>
        <w:t>technical effect</w:t>
      </w:r>
      <w:r>
        <w:t xml:space="preserve"> on the computing system so as to survive Section 3(k). The recommended strategy is a </w:t>
      </w:r>
      <w:r>
        <w:rPr>
          <w:b/>
        </w:rPr>
        <w:t>provisional filing first</w:t>
      </w:r>
      <w:r>
        <w:t xml:space="preserve"> — cheap, fast, fixes priority, and permits publication of the project paper afterwards — followed by a complete specification within twelve months, with the trained model parameters and the signature rule set retained as trade secrets.</w:t>
      </w:r>
    </w:p>
    <w:sectPr w:rsidR="00A86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192480">
    <w:abstractNumId w:val="8"/>
  </w:num>
  <w:num w:numId="2" w16cid:durableId="1138840753">
    <w:abstractNumId w:val="6"/>
  </w:num>
  <w:num w:numId="3" w16cid:durableId="186603899">
    <w:abstractNumId w:val="5"/>
  </w:num>
  <w:num w:numId="4" w16cid:durableId="1467892066">
    <w:abstractNumId w:val="4"/>
  </w:num>
  <w:num w:numId="5" w16cid:durableId="302078190">
    <w:abstractNumId w:val="7"/>
  </w:num>
  <w:num w:numId="6" w16cid:durableId="1910651538">
    <w:abstractNumId w:val="3"/>
  </w:num>
  <w:num w:numId="7" w16cid:durableId="201721429">
    <w:abstractNumId w:val="2"/>
  </w:num>
  <w:num w:numId="8" w16cid:durableId="1484589038">
    <w:abstractNumId w:val="1"/>
  </w:num>
  <w:num w:numId="9" w16cid:durableId="598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C4"/>
    <w:rsid w:val="0015074B"/>
    <w:rsid w:val="0029639D"/>
    <w:rsid w:val="00326F90"/>
    <w:rsid w:val="00A86264"/>
    <w:rsid w:val="00AA1D8D"/>
    <w:rsid w:val="00B47730"/>
    <w:rsid w:val="00BE4228"/>
    <w:rsid w:val="00C81C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F6E81"/>
  <w14:defaultImageDpi w14:val="300"/>
  <w15:docId w15:val="{808255D8-CC8E-40FC-9F3B-D933AD63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2498</Words>
  <Characters>14244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Tausib Patel</cp:lastModifiedBy>
  <cp:revision>2</cp:revision>
  <dcterms:created xsi:type="dcterms:W3CDTF">2013-12-23T23:15:00Z</dcterms:created>
  <dcterms:modified xsi:type="dcterms:W3CDTF">2026-09-02T09:48:00Z</dcterms:modified>
  <cp:category/>
</cp:coreProperties>
</file>