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1200"/>
      </w:pPr>
      <w:r>
        <w:t xml:space="preserve">Ariya Signals</w:t>
      </w:r>
    </w:p>
    <w:p>
      <w:pPr>
        <w:spacing w:after="80"/>
      </w:pPr>
      <w:r>
        <w:rPr>
          <w:color w:val="2A76F4"/>
          <w:sz w:val="28"/>
          <w:szCs w:val="28"/>
        </w:rPr>
        <w:t xml:space="preserve">System Overview &amp; Signal Coverage Report</w:t>
      </w:r>
    </w:p>
    <w:p>
      <w:pPr>
        <w:spacing w:after="480"/>
      </w:pPr>
      <w:r>
        <w:rPr>
          <w:i/>
          <w:iCs/>
          <w:color w:val="6B7280"/>
          <w:sz w:val="22"/>
          <w:szCs w:val="22"/>
        </w:rPr>
        <w:t xml:space="preserve">A competitive-intelligence platform for the HAE therapeutic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Field</w:t>
            </w:r>
          </w:p>
        </w:tc>
        <w:tc>
          <w:tcPr>
            <w:tcW w:type="dxa" w:w="468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Prepared by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Ayat Tayebulla, Phamax</w:t>
            </w:r>
          </w:p>
        </w:tc>
      </w:tr>
      <w:tr>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Date</w:t>
            </w:r>
          </w:p>
        </w:tc>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25 June 2026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Release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iteration-5 (production)</w:t>
            </w:r>
          </w:p>
        </w:tc>
      </w:tr>
      <w:tr>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Live application</w:t>
            </w:r>
          </w:p>
        </w:tc>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ariya-signals-one.vercel.app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Data as of</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25 June 2026 (live pull from production database)</w:t>
            </w:r>
          </w:p>
        </w:tc>
      </w:tr>
      <w:tr>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Version</w:t>
            </w:r>
          </w:p>
        </w:tc>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v2 — adds ChEMBL, cleaning logic, relevance criteria, signal classification, full table inventory</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Ariya Signals is a competitive-intelligence platform that automatically collects, organises, and surfaces market-moving developments about the companies competing in hereditary angioedema (HAE). It replaces manual monitoring of regulatory filings, clinical-trial registries, scientific literature, and company announcements with a single, continuously refreshed feed.</w:t>
      </w:r>
    </w:p>
    <w:p>
      <w:pPr>
        <w:spacing w:after="120"/>
      </w:pPr>
      <w:r>
        <w:t xml:space="preserve">The platform currently holds 379 intelligence signals spanning eight tracked competitors, drawn from eight live external data sources. Users sign in with their own account, configure which drug they are tracking and which competitors to follow, and receive a personalised feed of alerts with a plain-language explanation of why each development matters.</w:t>
      </w:r>
    </w:p>
    <w:p>
      <w:pPr>
        <w:spacing w:after="80"/>
      </w:pPr>
      <w:r>
        <w:rPr>
          <w:b/>
          <w:bCs/>
        </w:rPr>
        <w:t xml:space="preserve">At a glance:</w:t>
      </w:r>
    </w:p>
    <w:p>
      <w:pPr>
        <w:pStyle w:val="ListParagraph"/>
        <w:numPr>
          <w:ilvl w:val="0"/>
          <w:numId w:val="2"/>
        </w:numPr>
      </w:pPr>
      <w:r>
        <w:rPr>
          <w:b/>
          <w:bCs/>
        </w:rPr>
        <w:t xml:space="preserve">379 signals</w:t>
      </w:r>
      <w:r>
        <w:t xml:space="preserve"> collected to date, spanning December 2020 to July 2026.</w:t>
      </w:r>
    </w:p>
    <w:p>
      <w:pPr>
        <w:pStyle w:val="ListParagraph"/>
        <w:numPr>
          <w:ilvl w:val="0"/>
          <w:numId w:val="2"/>
        </w:numPr>
      </w:pPr>
      <w:r>
        <w:rPr>
          <w:b/>
          <w:bCs/>
        </w:rPr>
        <w:t xml:space="preserve">8 competitors</w:t>
      </w:r>
      <w:r>
        <w:t xml:space="preserve"> tracked, led by Takeda (134 signals) and BioCryst (77).</w:t>
      </w:r>
    </w:p>
    <w:p>
      <w:pPr>
        <w:pStyle w:val="ListParagraph"/>
        <w:numPr>
          <w:ilvl w:val="0"/>
          <w:numId w:val="2"/>
        </w:numPr>
      </w:pPr>
      <w:r>
        <w:rPr>
          <w:b/>
          <w:bCs/>
        </w:rPr>
        <w:t xml:space="preserve">8 live data sources</w:t>
      </w:r>
      <w:r>
        <w:t xml:space="preserve"> — SEC EDGAR, PubMed, ClinicalTrials.gov, openFDA, Federal Register, NICE HTA, EMA calendar, and Firecrawl web scraping.</w:t>
      </w:r>
    </w:p>
    <w:p>
      <w:pPr>
        <w:pStyle w:val="ListParagraph"/>
        <w:numPr>
          <w:ilvl w:val="0"/>
          <w:numId w:val="2"/>
        </w:numPr>
      </w:pPr>
      <w:r>
        <w:rPr>
          <w:b/>
          <w:bCs/>
        </w:rPr>
        <w:t xml:space="preserve">ChEMBL</w:t>
      </w:r>
      <w:r>
        <w:t xml:space="preserve"> (EBI drug database) provides on-demand drug search during user setup — enabling any HAE drug to be tracked beyond the three built-in assets.</w:t>
      </w:r>
    </w:p>
    <w:p>
      <w:pPr>
        <w:pStyle w:val="ListParagraph"/>
        <w:numPr>
          <w:ilvl w:val="0"/>
          <w:numId w:val="2"/>
        </w:numPr>
      </w:pPr>
      <w:r>
        <w:rPr>
          <w:b/>
          <w:bCs/>
        </w:rPr>
        <w:t xml:space="preserve">64 new signals</w:t>
      </w:r>
      <w:r>
        <w:t xml:space="preserve"> in the last 90 days; all sources last refreshed 24 June 2026.</w:t>
      </w:r>
    </w:p>
    <w:p>
      <w:pPr>
        <w:spacing w:after="80"/>
      </w:pPr>
      <w:r>
        <w:t xml:space="preserve"/>
      </w:r>
    </w:p>
    <w:p>
      <w:pPr>
        <w:spacing w:after="100"/>
      </w:pPr>
      <w:r>
        <w:rPr>
          <w:b/>
          <w:bCs/>
        </w:rPr>
        <w:t xml:space="preserve">Key strengths: </w:t>
      </w:r>
      <w:r>
        <w:t xml:space="preserve">broad automated coverage of primary sources; a hybrid change-detection engine that fires only on genuine content shifts; per-user personalised feeds with cross-device read state; and a three-gate cleaning pipeline that presents only readable, relevant intelligence.</w:t>
      </w:r>
    </w:p>
    <w:p>
      <w:r>
        <w:rPr>
          <w:b/>
          <w:bCs/>
        </w:rPr>
        <w:t xml:space="preserve">Known gaps: </w:t>
      </w:r>
      <w:r>
        <w:t xml:space="preserve">the three change-detection pipelines (clinical-trial status, FDA label updates, competitor website messaging) are fully built but waiting for their first production run; the plain-language "why it matters" explanation covers about half of all signals; and two screens (Pricing &amp; Access, Market Developments) still show sample data.</w:t>
      </w:r>
    </w:p>
    <w:p>
      <w:r>
        <w:br w:type="page"/>
      </w:r>
    </w:p>
    <w:p>
      <w:pPr>
        <w:pStyle w:val="Heading1"/>
      </w:pPr>
      <w:r>
        <w:t xml:space="preserve">2. How the system works</w:t>
      </w:r>
    </w:p>
    <w:p>
      <w:pPr>
        <w:spacing w:after="120"/>
      </w:pPr>
      <w:r>
        <w:t xml:space="preserve">The data flow runs in four stages: Collect → Store → Refine → Surface. Two structural notes apply throughout:</w:t>
      </w:r>
    </w:p>
    <w:p>
      <w:pPr>
        <w:pStyle w:val="ListParagraph"/>
        <w:numPr>
          <w:ilvl w:val="0"/>
          <w:numId w:val="2"/>
        </w:numPr>
      </w:pPr>
      <w:r>
        <w:rPr>
          <w:b/>
          <w:bCs/>
        </w:rPr>
        <w:t xml:space="preserve">One central feed. </w:t>
      </w:r>
      <w:r>
        <w:t xml:space="preserve">Most sources flow into a single "company signals" table — the backbone of the Alerts page and War Room. Specialised data (financials, trials, regulatory calendar, documents) lives in dedicated tables powering specific tabs on the competitor profile pages.</w:t>
      </w:r>
    </w:p>
    <w:p>
      <w:pPr>
        <w:pStyle w:val="ListParagraph"/>
        <w:numPr>
          <w:ilvl w:val="0"/>
          <w:numId w:val="2"/>
        </w:numPr>
      </w:pPr>
      <w:r>
        <w:rPr>
          <w:b/>
          <w:bCs/>
        </w:rPr>
        <w:t xml:space="preserve">Refining happens in two places. </w:t>
      </w:r>
      <w:r>
        <w:t xml:space="preserve">Some cleaning and enrichment runs at ingest time (boilerplate removal, deduplication, first-run-silence, "why it matters" generation). Further scoring runs at read time when a user opens the app (relevance check, importance scoring, UI label translation).</w:t>
      </w:r>
    </w:p>
    <w:p>
      <w:pPr>
        <w:spacing w:after="80"/>
      </w:pPr>
      <w:r>
        <w:t xml:space="preserve"/>
      </w:r>
    </w:p>
    <w:p>
      <w:pPr>
        <w:pStyle w:val="Heading2"/>
      </w:pPr>
      <w:r>
        <w:t xml:space="preserve">Stage 1 — Collect: data sources</w:t>
      </w:r>
    </w:p>
    <w:p>
      <w:pPr>
        <w:spacing w:after="120"/>
      </w:pPr>
      <w:r>
        <w:t xml:space="preserve">Eight live sources are polled automatically. ChEMBL is used on demand during user setup, not on a recurring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Source</w:t>
            </w:r>
          </w:p>
        </w:tc>
        <w:tc>
          <w:tcPr>
            <w:tcW w:type="dxa" w:w="38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What we capture</w:t>
            </w:r>
          </w:p>
        </w:tc>
        <w:tc>
          <w:tcPr>
            <w:tcW w:type="dxa" w:w="31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Destination table(s)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SEC EDGAR (8-K / 6-K / 20-F)</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Deals, executive changes, press releases, earnings calls. Classified by SEC item code or text heuristics.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company_signals</w:t>
            </w:r>
          </w:p>
        </w:tc>
      </w:tr>
      <w:tr>
        <w:tc>
          <w:tcPr>
            <w:tcW w:type="dxa" w:w="24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PubMed (E-utilities)</w:t>
            </w:r>
          </w:p>
        </w:tc>
        <w:tc>
          <w:tcPr>
            <w:tcW w:type="dxa" w:w="3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New scientific publications mentioning tracked drug names or HAE terms.</w:t>
            </w:r>
          </w:p>
        </w:tc>
        <w:tc>
          <w:tcPr>
            <w:tcW w:type="dxa" w:w="3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company_signals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ClinicalTrials.gov v2</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 status, phase, dates, sites, sponsor — diff engine detects changes.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trials, trial_snapshots, company_signals (on change)</w:t>
            </w:r>
          </w:p>
        </w:tc>
      </w:tr>
      <w:tr>
        <w:tc>
          <w:tcPr>
            <w:tcW w:type="dxa" w:w="24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openFDA labels (Deno edge fn)</w:t>
            </w:r>
          </w:p>
        </w:tc>
        <w:tc>
          <w:tcPr>
            <w:tcW w:type="dxa" w:w="3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FDA drug label section text — hash-diff detects label version changes.</w:t>
            </w:r>
          </w:p>
        </w:tc>
        <w:tc>
          <w:tcPr>
            <w:tcW w:type="dxa" w:w="3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label_snapshots, company_signals (on change)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Federal Register (FDA docs API)</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Drug-related FDA regulatory actions and public meetings.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regulatory_calendar, company_signals</w:t>
            </w:r>
          </w:p>
        </w:tc>
      </w:tr>
      <w:tr>
        <w:tc>
          <w:tcPr>
            <w:tcW w:type="dxa" w:w="24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NICE HTA (Deno edge fn)</w:t>
            </w:r>
          </w:p>
        </w:tc>
        <w:tc>
          <w:tcPr>
            <w:tcW w:type="dxa" w:w="3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UK health-technology assessment recommendations.</w:t>
            </w:r>
          </w:p>
        </w:tc>
        <w:tc>
          <w:tcPr>
            <w:tcW w:type="dxa" w:w="3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hta_decisions, company_signals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EMA CHMP / PRAC calendar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Upcoming European Medicines Agency committee meetings.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regulatory_calendar</w:t>
            </w:r>
          </w:p>
        </w:tc>
      </w:tr>
      <w:tr>
        <w:tc>
          <w:tcPr>
            <w:tcW w:type="dxa" w:w="24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Firecrawl web scraping</w:t>
            </w:r>
          </w:p>
        </w:tc>
        <w:tc>
          <w:tcPr>
            <w:tcW w:type="dxa" w:w="3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Company newsrooms, congress abstracts, IR pages, competitor product pages (messaging drift).</w:t>
            </w:r>
          </w:p>
        </w:tc>
        <w:tc>
          <w:tcPr>
            <w:tcW w:type="dxa" w:w="3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company_signals, messaging_snapshots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ChEMBL — on demand only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Drug name lookup at user setup: INN, ChEMBL ID, phase, all synonyms and research codes (e.g. KVD-900), ATC codes. Populates the tracking asset config and relevance lexicon.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Used at setup; configures user session</w:t>
            </w:r>
          </w:p>
        </w:tc>
      </w:tr>
    </w:tbl>
    <w:p>
      <w:pPr>
        <w:spacing w:after="80"/>
      </w:pPr>
      <w:r>
        <w:t xml:space="preserve"/>
      </w:r>
    </w:p>
    <w:p>
      <w:pPr>
        <w:pStyle w:val="Heading2"/>
      </w:pPr>
      <w:r>
        <w:t xml:space="preserve">Stage 2 — Store: the database</w:t>
      </w:r>
    </w:p>
    <w:p>
      <w:pPr>
        <w:spacing w:after="120"/>
      </w:pPr>
      <w:r>
        <w:t xml:space="preserve">All data lands in a Supabase PostgreSQL database. Section 6 lists every table in full. The central table is company_signals (379 rows today). Supporting tables provide richer detail for the competitor profile pages. Per-user tables store personal configuration isolated by account.</w:t>
      </w:r>
    </w:p>
    <w:p>
      <w:pPr>
        <w:pStyle w:val="Heading2"/>
      </w:pPr>
      <w:r>
        <w:t xml:space="preserve">Stage 3 — Refine: clean, gate, score, explain</w:t>
      </w:r>
    </w:p>
    <w:p>
      <w:pPr>
        <w:spacing w:after="120"/>
      </w:pPr>
      <w:r>
        <w:t xml:space="preserve">Every signal passes through up to four refining steps. Steps 1 and 2 run at ingest time; steps 3 and 4 run at read time when a user opens the app.</w:t>
      </w:r>
    </w:p>
    <w:p>
      <w:pPr>
        <w:spacing w:after="80"/>
      </w:pPr>
      <w:r>
        <w:t xml:space="preserve"/>
      </w:r>
    </w:p>
    <w:p>
      <w:pPr>
        <w:spacing w:after="80" w:before="160"/>
      </w:pPr>
      <w:r>
        <w:rPr>
          <w:b/>
          <w:bCs/>
          <w:color w:val="0A2472"/>
          <w:sz w:val="21"/>
          <w:szCs w:val="21"/>
        </w:rPr>
        <w:t xml:space="preserve">Step 1 — Boilerplate and machine-code removal (ingest time)</w:t>
      </w:r>
    </w:p>
    <w:p>
      <w:pPr>
        <w:spacing w:after="120"/>
      </w:pPr>
      <w:r>
        <w:t xml:space="preserve">SEC filings contain two categories of non-readable content that must be stripped:</w:t>
      </w:r>
    </w:p>
    <w:p>
      <w:pPr>
        <w:pStyle w:val="ListParagraph"/>
        <w:numPr>
          <w:ilvl w:val="0"/>
          <w:numId w:val="2"/>
        </w:numPr>
      </w:pPr>
      <w:r>
        <w:rPr>
          <w:b/>
          <w:bCs/>
        </w:rPr>
        <w:t xml:space="preserve">Boilerplate: </w:t>
      </w:r>
      <w:r>
        <w:t xml:space="preserve">Standard legal and cover-page language that appears identically in every filing and carries no intelligence value — e.g. "SECURITIES AND EXCHANGE COMMISSION, WASHINGTON, D.C. 20549", standard item headings.</w:t>
      </w:r>
    </w:p>
    <w:p>
      <w:pPr>
        <w:pStyle w:val="ListParagraph"/>
        <w:numPr>
          <w:ilvl w:val="0"/>
          <w:numId w:val="2"/>
        </w:numPr>
      </w:pPr>
      <w:r>
        <w:rPr>
          <w:b/>
          <w:bCs/>
        </w:rPr>
        <w:t xml:space="preserve">Machine codes: </w:t>
      </w:r>
      <w:r>
        <w:t xml:space="preserve">Technical metadata left over from the electronic filing system: XBRL namespace prefixes (xbrli:, dei:, iso4217:), raw 10-digit CIK company identifiers, SEC accession numbers (XXXXXXXXXX-YY-ZZZZZZ format), exhibit filenames (exhibit991_051326.htm, EX-99.1), and HTML character entities (&amp;amp;, &amp;#x2022;).</w:t>
      </w:r>
    </w:p>
    <w:p>
      <w:pPr>
        <w:spacing w:after="120"/>
      </w:pPr>
      <w:r>
        <w:t xml:space="preserve">After stripping, three structural tests confirm the remaining text is genuine prose: at least 60% alphabetic characters, at least one run of three consecutive lowercase letters (rejects ALL-CAPS blobs), and at least five meaningful English words of 3+ characters.</w:t>
      </w:r>
    </w:p>
    <w:p>
      <w:pPr>
        <w:spacing w:after="80"/>
      </w:pPr>
      <w:r>
        <w:t xml:space="preserve"/>
      </w:r>
    </w:p>
    <w:p>
      <w:pPr>
        <w:spacing w:after="80" w:before="160"/>
      </w:pPr>
      <w:r>
        <w:rPr>
          <w:b/>
          <w:bCs/>
          <w:color w:val="0A2472"/>
          <w:sz w:val="21"/>
          <w:szCs w:val="21"/>
        </w:rPr>
        <w:t xml:space="preserve">Step 2 — Deduplication and first-run silence (ingest time)</w:t>
      </w:r>
    </w:p>
    <w:p>
      <w:pPr>
        <w:spacing w:after="120"/>
      </w:pPr>
      <w:r>
        <w:t xml:space="preserve">Each signal is fingerprinted with a SHA-256 content hash before writing. Ingest scripts check for an existing row with that hash, so re-running a source never creates duplicate alerts.</w:t>
      </w:r>
    </w:p>
    <w:p>
      <w:pPr>
        <w:spacing w:after="120"/>
      </w:pPr>
      <w:r>
        <w:t xml:space="preserve">The three change-detection pipelines (trials, FDA labels, competitor messaging) operate in "first-run-silence" mode: on the very first run against a new entity, they seed a baseline snapshot and emit no signal. Alerts are only emitted on subsequent runs when the content has changed — preventing a false flood of "new" alerts on day one.</w:t>
      </w:r>
    </w:p>
    <w:p>
      <w:pPr>
        <w:spacing w:after="80"/>
      </w:pPr>
      <w:r>
        <w:t xml:space="preserve"/>
      </w:r>
    </w:p>
    <w:p>
      <w:pPr>
        <w:spacing w:after="80" w:before="160"/>
      </w:pPr>
      <w:r>
        <w:rPr>
          <w:b/>
          <w:bCs/>
          <w:color w:val="0A2472"/>
          <w:sz w:val="21"/>
          <w:szCs w:val="21"/>
        </w:rPr>
        <w:t xml:space="preserve">Step 3 — Relevance check (read time)</w:t>
      </w:r>
    </w:p>
    <w:p>
      <w:pPr>
        <w:spacing w:after="120"/>
      </w:pPr>
      <w:r>
        <w:t xml:space="preserve">When a user opens the War Room or Alerts page, each signal is checked against the user's personally configured lexicon to determine whether it concerns their therapeutic area.</w:t>
      </w:r>
    </w:p>
    <w:p>
      <w:pPr>
        <w:spacing w:after="120"/>
      </w:pPr>
      <w:r>
        <w:t xml:space="preserve">A signal passes if its headline or body text contains at least one term from either of two lists configured at onboarding:</w:t>
      </w:r>
    </w:p>
    <w:p>
      <w:pPr>
        <w:pStyle w:val="ListParagraph"/>
        <w:numPr>
          <w:ilvl w:val="0"/>
          <w:numId w:val="2"/>
        </w:numPr>
      </w:pPr>
      <w:r>
        <w:rPr>
          <w:b/>
          <w:bCs/>
        </w:rPr>
        <w:t xml:space="preserve">INN synonyms</w:t>
      </w:r>
      <w:r>
        <w:t xml:space="preserve"> — approximately 15 drug name variants per tracked asset, from ChEMBL synonyms plus a curated list. For sebetralstat / Ekterly: "ekterly", "sebetralstat", "KVD-900", "KVD900", "plasma kallikrein inhibitor" and others.</w:t>
      </w:r>
    </w:p>
    <w:p>
      <w:pPr>
        <w:pStyle w:val="ListParagraph"/>
        <w:numPr>
          <w:ilvl w:val="0"/>
          <w:numId w:val="2"/>
        </w:numPr>
      </w:pPr>
      <w:r>
        <w:rPr>
          <w:b/>
          <w:bCs/>
        </w:rPr>
        <w:t xml:space="preserve">Therapeutic area terms</w:t>
      </w:r>
      <w:r>
        <w:t xml:space="preserve"> — approximately 10–15 disease and drug-class terms. For HAE: "hereditary angioedema", "HAE", "bradykinin", "plasma kallikrein", "C1-INH", "lanadelumab", "berotralstat" and others.</w:t>
      </w:r>
    </w:p>
    <w:p>
      <w:pPr>
        <w:spacing w:after="120"/>
      </w:pPr>
      <w:r>
        <w:t xml:space="preserve">Rationale: without this gate, filings from a large competitor like Takeda — which spans oncology, rare disease, GI, and neuroscience — would flood the feed with signals irrelevant to HAE. The gate narrows the 90-day window from hundreds of signals to the roughly 12–15 that concern the user's specific indication. Signals that fail are stored and still shown in the full feed, but their importance is capped at LOW. Executive changes and deals are kept at MEDIUM regardless, as leadership moves and M&amp;A matter even without a drug name mention.</w:t>
      </w:r>
    </w:p>
    <w:p>
      <w:pPr>
        <w:spacing w:after="80"/>
      </w:pPr>
      <w:r>
        <w:t xml:space="preserve"/>
      </w:r>
    </w:p>
    <w:p>
      <w:pPr>
        <w:spacing w:after="80" w:before="160"/>
      </w:pPr>
      <w:r>
        <w:rPr>
          <w:b/>
          <w:bCs/>
          <w:color w:val="0A2472"/>
          <w:sz w:val="21"/>
          <w:szCs w:val="21"/>
        </w:rPr>
        <w:t xml:space="preserve">Step 4 — Importance scoring (read time)</w:t>
      </w:r>
    </w:p>
    <w:p>
      <w:pPr>
        <w:spacing w:after="120"/>
      </w:pPr>
      <w:r>
        <w:t xml:space="preserve">Relevant signals are assigned a tier based on keyword and item-code rules:</w:t>
      </w:r>
    </w:p>
    <w:p>
      <w:pPr>
        <w:pStyle w:val="ListParagraph"/>
        <w:numPr>
          <w:ilvl w:val="0"/>
          <w:numId w:val="2"/>
        </w:numPr>
      </w:pPr>
      <w:r>
        <w:rPr>
          <w:b/>
          <w:bCs/>
        </w:rPr>
        <w:t xml:space="preserve">HIGH: </w:t>
      </w:r>
      <w:r>
        <w:t xml:space="preserve">M&amp;A completions (SEC item 2.01), NDA/BLA/MAA regulatory filings, PDUFA dates, advisory committee notices, HTA decisions, label expansion. Any MEDIUM signal within 60 days of its date is promoted to HIGH (imminent-catalyst bump).</w:t>
      </w:r>
    </w:p>
    <w:p>
      <w:pPr>
        <w:pStyle w:val="ListParagraph"/>
        <w:numPr>
          <w:ilvl w:val="0"/>
          <w:numId w:val="2"/>
        </w:numPr>
      </w:pPr>
      <w:r>
        <w:rPr>
          <w:b/>
          <w:bCs/>
        </w:rPr>
        <w:t xml:space="preserve">MEDIUM: </w:t>
      </w:r>
      <w:r>
        <w:t xml:space="preserve">Early-phase trial starts, interim readouts, earnings disclosures, C-suite appointments, guideline updates.</w:t>
      </w:r>
    </w:p>
    <w:p>
      <w:pPr>
        <w:pStyle w:val="ListParagraph"/>
        <w:numPr>
          <w:ilvl w:val="0"/>
          <w:numId w:val="2"/>
        </w:numPr>
      </w:pPr>
      <w:r>
        <w:rPr>
          <w:b/>
          <w:bCs/>
        </w:rPr>
        <w:t xml:space="preserve">LOW: </w:t>
      </w:r>
      <w:r>
        <w:t xml:space="preserve">Press releases, IR updates, publications with no specific trial milestone.</w:t>
      </w:r>
    </w:p>
    <w:p>
      <w:pPr>
        <w:pStyle w:val="Heading2"/>
      </w:pPr>
      <w:r>
        <w:t xml:space="preserve">Stage 4 — Surface: where users see it</w:t>
      </w:r>
    </w:p>
    <w:p>
      <w:pPr>
        <w:pStyle w:val="ListParagraph"/>
        <w:numPr>
          <w:ilvl w:val="0"/>
          <w:numId w:val="2"/>
        </w:numPr>
      </w:pPr>
      <w:r>
        <w:rPr>
          <w:b/>
          <w:bCs/>
        </w:rPr>
        <w:t xml:space="preserve">War Room (/): </w:t>
      </w:r>
      <w:r>
        <w:t xml:space="preserve">Top 5 signals that are readable and relevant, sorted by importance then recency. Market weather, weekly digest, tracked-competitor cards.</w:t>
      </w:r>
    </w:p>
    <w:p>
      <w:pPr>
        <w:pStyle w:val="ListParagraph"/>
        <w:numPr>
          <w:ilvl w:val="0"/>
          <w:numId w:val="2"/>
        </w:numPr>
      </w:pPr>
      <w:r>
        <w:rPr>
          <w:b/>
          <w:bCs/>
        </w:rPr>
        <w:t xml:space="preserve">Alerts feed (/alerts): </w:t>
      </w:r>
      <w:r>
        <w:t xml:space="preserve">Full 180-day personalised feed with competitor/type/source filters and per-user read/unread state persisted to the database.</w:t>
      </w:r>
    </w:p>
    <w:p>
      <w:pPr>
        <w:pStyle w:val="ListParagraph"/>
        <w:numPr>
          <w:ilvl w:val="0"/>
          <w:numId w:val="2"/>
        </w:numPr>
      </w:pPr>
      <w:r>
        <w:rPr>
          <w:b/>
          <w:bCs/>
        </w:rPr>
        <w:t xml:space="preserve">Competitor profiles (/competitors/:id): </w:t>
      </w:r>
      <w:r>
        <w:t xml:space="preserve">Pipeline (Gantt from live CT.gov data), Company (financials), Key Events (regulatory + HTA milestones), and Messaging (product-page snapshot, when available).</w:t>
      </w:r>
    </w:p>
    <w:p>
      <w:pPr>
        <w:pStyle w:val="ListParagraph"/>
        <w:numPr>
          <w:ilvl w:val="0"/>
          <w:numId w:val="2"/>
        </w:numPr>
      </w:pPr>
      <w:r>
        <w:rPr>
          <w:b/>
          <w:bCs/>
        </w:rPr>
        <w:t xml:space="preserve">Intelligence Feed (/intelligence): </w:t>
      </w:r>
      <w:r>
        <w:t xml:space="preserve">Regulatory calendar, documents, and market developments.</w:t>
      </w:r>
    </w:p>
    <w:p>
      <w:r>
        <w:br w:type="page"/>
      </w:r>
    </w:p>
    <w:p>
      <w:pPr>
        <w:pStyle w:val="Heading1"/>
      </w:pPr>
      <w:r>
        <w:t xml:space="preserve">3. Signal coverage and distribution</w:t>
      </w:r>
    </w:p>
    <w:p>
      <w:pPr>
        <w:spacing w:after="120"/>
      </w:pPr>
      <w:r>
        <w:rPr>
          <w:i/>
          <w:iCs/>
          <w:color w:val="6B7280"/>
          <w:sz w:val="18"/>
          <w:szCs w:val="18"/>
        </w:rPr>
        <w:t xml:space="preserve">All figures pulled live from the production database on 25 June 2026. Named queries in Appendix B.</w:t>
      </w:r>
    </w:p>
    <w:p>
      <w:pPr>
        <w:spacing w:after="80"/>
      </w:pPr>
      <w:r>
        <w:t xml:space="preserve"/>
      </w:r>
    </w:p>
    <w:p>
      <w:pPr>
        <w:pStyle w:val="Heading2"/>
      </w:pPr>
      <w:r>
        <w:t xml:space="preserve">Total and recency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Metric</w:t>
            </w:r>
          </w:p>
        </w:tc>
        <w:tc>
          <w:tcPr>
            <w:tcW w:type="dxa" w:w="468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Count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Total signals in database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379</w:t>
            </w:r>
          </w:p>
        </w:tc>
      </w:tr>
      <w:tr>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Signals in the last 90 days</w:t>
            </w:r>
          </w:p>
        </w:tc>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64</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Signals in the last 180 days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123</w:t>
            </w:r>
          </w:p>
        </w:tc>
      </w:tr>
      <w:tr>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Date range covered</w:t>
            </w:r>
          </w:p>
        </w:tc>
        <w:tc>
          <w:tcPr>
            <w:tcW w:type="dxa" w:w="46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15 Dec 2020 – 1 Jul 2026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"Why it matters" coverage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187 of 379 (49%)</w:t>
            </w:r>
          </w:p>
        </w:tc>
      </w:tr>
    </w:tbl>
    <w:p>
      <w:pPr>
        <w:spacing w:after="80"/>
      </w:pPr>
      <w:r>
        <w:t xml:space="preserve"/>
      </w:r>
    </w:p>
    <w:p>
      <w:pPr>
        <w:pStyle w:val="Heading2"/>
      </w:pPr>
      <w:r>
        <w:t xml:space="preserve">By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Competitor</w:t>
            </w:r>
          </w:p>
        </w:tc>
        <w:tc>
          <w:tcPr>
            <w:tcW w:type="dxa" w:w="188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Signals</w:t>
            </w:r>
          </w:p>
        </w:tc>
        <w:tc>
          <w:tcPr>
            <w:tcW w:type="dxa" w:w="188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Share</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Takeda</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134</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35%</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BioCryst</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77</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20%</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Ionis</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42</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11%</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CSL Behring</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39</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10%</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Pharvaris</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34</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9%</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Intellia</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29</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8%</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Adverum</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9</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Astria</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7</w:t>
            </w:r>
          </w:p>
        </w:tc>
        <w:tc>
          <w:tcPr>
            <w:tcW w:type="dxa" w:w="188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w:t>
            </w:r>
          </w:p>
        </w:tc>
      </w:tr>
    </w:tbl>
    <w:p>
      <w:pPr>
        <w:spacing w:after="120"/>
      </w:pPr>
      <w:r>
        <w:rPr>
          <w:i/>
          <w:iCs/>
          <w:color w:val="6B7280"/>
          <w:sz w:val="18"/>
          <w:szCs w:val="18"/>
        </w:rPr>
        <w:t xml:space="preserve">A "congress" bucket of 8 abstracts is not attributed to a specific company and is excluded above.</w:t>
      </w:r>
    </w:p>
    <w:p>
      <w:pPr>
        <w:spacing w:after="80"/>
      </w:pPr>
      <w:r>
        <w:t xml:space="preserve"/>
      </w:r>
    </w:p>
    <w:p>
      <w:pPr>
        <w:pStyle w:val="Heading2"/>
      </w:pPr>
      <w:r>
        <w:t xml:space="preserve">By signal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Type</w:t>
            </w:r>
          </w:p>
        </w:tc>
        <w:tc>
          <w:tcPr>
            <w:tcW w:type="dxa" w:w="37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Signals</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Press release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155</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Scientific publication</w:t>
            </w:r>
          </w:p>
        </w:tc>
        <w:tc>
          <w:tcPr>
            <w:tcW w:type="dxa" w:w="3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146</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Executive change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28</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Deal / partnership</w:t>
            </w:r>
          </w:p>
        </w:tc>
        <w:tc>
          <w:tcPr>
            <w:tcW w:type="dxa" w:w="3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17</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Congress abstract</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15</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HTA decision</w:t>
            </w:r>
          </w:p>
        </w:tc>
        <w:tc>
          <w:tcPr>
            <w:tcW w:type="dxa" w:w="3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12</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 catalyst</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6</w:t>
            </w:r>
          </w:p>
        </w:tc>
      </w:tr>
    </w:tbl>
    <w:p>
      <w:pPr>
        <w:spacing w:after="120"/>
      </w:pPr>
      <w:r>
        <w:rPr>
          <w:i/>
          <w:iCs/>
          <w:color w:val="6B7280"/>
          <w:sz w:val="18"/>
          <w:szCs w:val="18"/>
        </w:rPr>
        <w:t xml:space="preserve">Three newer types — trial_update, label_update, and messaging_shift — show 0 today because their change-detection baselines have not yet completed a first production run (first-run silence by design).</w:t>
      </w:r>
    </w:p>
    <w:p>
      <w:pPr>
        <w:spacing w:after="80"/>
      </w:pPr>
      <w:r>
        <w:t xml:space="preserve"/>
      </w:r>
    </w:p>
    <w:p>
      <w:pPr>
        <w:pStyle w:val="Heading2"/>
      </w:pPr>
      <w:r>
        <w:t xml:space="preserve">By data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Source</w:t>
            </w:r>
          </w:p>
        </w:tc>
        <w:tc>
          <w:tcPr>
            <w:tcW w:type="dxa" w:w="37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Signals</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SEC EDGAR (filings)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192</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PubMed (publications)</w:t>
            </w:r>
          </w:p>
        </w:tc>
        <w:tc>
          <w:tcPr>
            <w:tcW w:type="dxa" w:w="3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146</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Congress (Firecrawl)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15</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EU HTA (Firecrawl)</w:t>
            </w:r>
          </w:p>
        </w:tc>
        <w:tc>
          <w:tcPr>
            <w:tcW w:type="dxa" w:w="3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10</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IR (Firecrawl)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8</w:t>
            </w:r>
          </w:p>
        </w:tc>
      </w:tr>
      <w:tr>
        <w:tc>
          <w:tcPr>
            <w:tcW w:type="dxa" w:w="5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IR RSS</w:t>
            </w:r>
          </w:p>
        </w:tc>
        <w:tc>
          <w:tcPr>
            <w:tcW w:type="dxa" w:w="3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6</w:t>
            </w:r>
          </w:p>
        </w:tc>
      </w:tr>
      <w:tr>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NICE HTA</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w:t>
            </w:r>
          </w:p>
        </w:tc>
      </w:tr>
    </w:tbl>
    <w:p>
      <w:r>
        <w:br w:type="page"/>
      </w:r>
    </w:p>
    <w:p>
      <w:pPr>
        <w:pStyle w:val="Heading1"/>
      </w:pPr>
      <w:r>
        <w:t xml:space="preserve">4. How signals are classified: types and categories</w:t>
      </w:r>
    </w:p>
    <w:p>
      <w:pPr>
        <w:spacing w:after="120"/>
      </w:pPr>
      <w:r>
        <w:t xml:space="preserve">Signal classification happens in two separate layers, applied at different times and for different purposes.</w:t>
      </w:r>
    </w:p>
    <w:p>
      <w:pPr>
        <w:pStyle w:val="Heading2"/>
      </w:pPr>
      <w:r>
        <w:t xml:space="preserve">Layer 1 — Signal type (set at ingest, stored in the database)</w:t>
      </w:r>
    </w:p>
    <w:p>
      <w:pPr>
        <w:spacing w:after="120"/>
      </w:pPr>
      <w:r>
        <w:t xml:space="preserve">The signal_type column in company_signals is written once when data first arrives. The method depends entirely on the source.</w:t>
      </w:r>
    </w:p>
    <w:p>
      <w:pPr>
        <w:spacing w:after="80"/>
      </w:pPr>
      <w:r>
        <w:t xml:space="preserve"/>
      </w:r>
    </w:p>
    <w:p>
      <w:pPr>
        <w:spacing w:after="80" w:before="160"/>
      </w:pPr>
      <w:r>
        <w:rPr>
          <w:b/>
          <w:bCs/>
          <w:color w:val="0A2472"/>
          <w:sz w:val="21"/>
          <w:szCs w:val="21"/>
        </w:rPr>
        <w:t xml:space="preserve">Rule-based from structured metadata (no guesswork)</w:t>
      </w:r>
    </w:p>
    <w:p>
      <w:pPr>
        <w:spacing w:after="120"/>
      </w:pPr>
      <w:r>
        <w:t xml:space="preserve">Where the source provides structured, machine-readable metadata, classification is deterministic: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1600"/>
        <w:gridCol w:w="1360"/>
      </w:tblGrid>
      <w:tr>
        <w:trPr>
          <w:tblHeader/>
        </w:trPr>
        <w:tc>
          <w:tcPr>
            <w:tcW w:type="dxa" w:w="22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Source</w:t>
            </w:r>
          </w:p>
        </w:tc>
        <w:tc>
          <w:tcPr>
            <w:tcW w:type="dxa" w:w="42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Classification rule</w:t>
            </w:r>
          </w:p>
        </w:tc>
        <w:tc>
          <w:tcPr>
            <w:tcW w:type="dxa" w:w="1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 types produced</w:t>
            </w:r>
          </w:p>
        </w:tc>
        <w:tc>
          <w:tcPr>
            <w:tcW w:type="dxa" w:w="13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Rationale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SEC EDGAR 8-K</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SEC item code from the filing index — assigned by the filer at submission time, mandated by the SEC:
1.01 or 2.01 → deal
5.02 → exec_change
8.01 → press_release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deal, exec_change, press_release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Item codes are assigned by the filer under SEC rules — there is no ambiguity or inference involved.</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openFDA labels</w:t>
            </w:r>
          </w:p>
        </w:tc>
        <w:tc>
          <w:tcPr>
            <w:tcW w:type="dxa" w:w="4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Hash of label section text differs from stored baseline → always label_update</w:t>
            </w:r>
          </w:p>
        </w:tc>
        <w:tc>
          <w:tcPr>
            <w:tcW w:type="dxa" w:w="1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label_update</w:t>
            </w:r>
          </w:p>
        </w:tc>
        <w:tc>
          <w:tcPr>
            <w:tcW w:type="dxa" w:w="13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If the hash differs it is by definition a label change — no classification needed.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ClinicalTrials.gov</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Hash of {status, phase, completion_date, title} differs from stored baseline → always trial_update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trial_update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Same principle: any meaningful change to these four fields is a trial update by definition.</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PubMed</w:t>
            </w:r>
          </w:p>
        </w:tc>
        <w:tc>
          <w:tcPr>
            <w:tcW w:type="dxa" w:w="4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Always publication — every row from PubMed is a peer-reviewed journal article.</w:t>
            </w:r>
          </w:p>
        </w:tc>
        <w:tc>
          <w:tcPr>
            <w:tcW w:type="dxa" w:w="1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publication</w:t>
            </w:r>
          </w:p>
        </w:tc>
        <w:tc>
          <w:tcPr>
            <w:tcW w:type="dxa" w:w="13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Source is definitionally scientific literature.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NICE HTA</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Always hta_decision — source is exclusively NICE health-technology assessment guidance pages.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hta_decision</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Source is definitionally an HTA decision.</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Federal Register</w:t>
            </w:r>
          </w:p>
        </w:tc>
        <w:tc>
          <w:tcPr>
            <w:tcW w:type="dxa" w:w="4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Always regulatory_catalyst — source is exclusively FDA drug-related Federal Register notices.</w:t>
            </w:r>
          </w:p>
        </w:tc>
        <w:tc>
          <w:tcPr>
            <w:tcW w:type="dxa" w:w="1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regulatory_catalyst</w:t>
            </w:r>
          </w:p>
        </w:tc>
        <w:tc>
          <w:tcPr>
            <w:tcW w:type="dxa" w:w="13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Source is definitionally a regulatory action.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IR RSS feeds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Always press_release — source is investor-relations press release RSS feeds.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press_release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Source is definitionally a company press release.</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Congress abstracts (Firecrawl)</w:t>
            </w:r>
          </w:p>
        </w:tc>
        <w:tc>
          <w:tcPr>
            <w:tcW w:type="dxa" w:w="4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Always congress_abstract — source is conference abstract databases.</w:t>
            </w:r>
          </w:p>
        </w:tc>
        <w:tc>
          <w:tcPr>
            <w:tcW w:type="dxa" w:w="1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congress_abstract</w:t>
            </w:r>
          </w:p>
        </w:tc>
        <w:tc>
          <w:tcPr>
            <w:tcW w:type="dxa" w:w="13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Source is definitionally a scientific congress presentation.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Messaging drift (Firecrawl)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Always messaging_shift — only emitted when the hybrid diff gate confirms a genuine change to product-page core message or pillars.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messaging_shift</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Two-stage gate (hash change → field comparison) prevents false positives from rotating banners.</w:t>
            </w:r>
          </w:p>
        </w:tc>
      </w:tr>
    </w:tbl>
    <w:p>
      <w:pPr>
        <w:spacing w:after="80"/>
      </w:pPr>
      <w:r>
        <w:t xml:space="preserve"/>
      </w:r>
    </w:p>
    <w:p>
      <w:pPr>
        <w:spacing w:after="80" w:before="160"/>
      </w:pPr>
      <w:r>
        <w:rPr>
          <w:b/>
          <w:bCs/>
          <w:color w:val="0A2472"/>
          <w:sz w:val="21"/>
          <w:szCs w:val="21"/>
        </w:rPr>
        <w:t xml:space="preserve">Keyword heuristics (used where structured metadata is absent)</w:t>
      </w:r>
    </w:p>
    <w:p>
      <w:pPr>
        <w:spacing w:after="120"/>
      </w:pPr>
      <w:r>
        <w:t xml:space="preserve">Foreign SEC filers (6-K filings from companies like Takeda) do not use SEC item codes. The text of the attached press release is analysed instead using keyword matching on the headline and body excerpt: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Keyword pattern matched</w:t>
            </w:r>
          </w:p>
        </w:tc>
        <w:tc>
          <w:tcPr>
            <w:tcW w:type="dxa" w:w="32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 type assigned</w:t>
            </w:r>
          </w:p>
        </w:tc>
        <w:tc>
          <w:tcPr>
            <w:tcW w:type="dxa" w:w="29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Rationale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executive / appoint / resign / CEO / CFO / president / officer / director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exec_change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Leadership terms are highly specific — a press release mentioning these words is almost certainly about a personnel change.</w:t>
            </w:r>
          </w:p>
        </w:tc>
      </w:tr>
      <w:tr>
        <w:tc>
          <w:tcPr>
            <w:tcW w:type="dxa" w:w="3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acqui / merger / license / collaborat / partner / agreement / deal</w:t>
            </w:r>
          </w:p>
        </w:tc>
        <w:tc>
          <w:tcPr>
            <w:tcW w:type="dxa" w:w="3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deal</w:t>
            </w:r>
          </w:p>
        </w:tc>
        <w:tc>
          <w:tcPr>
            <w:tcW w:type="dxa" w:w="29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Transaction terms are similarly specific and rarely appear in non-deal contexts.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Anything else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press_release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Default — the filing is some form of company announcement not covered by the above.</w:t>
            </w:r>
          </w:p>
        </w:tc>
      </w:tr>
    </w:tbl>
    <w:p>
      <w:pPr>
        <w:spacing w:after="120"/>
      </w:pPr>
      <w:r>
        <w:t xml:space="preserve">The CSL Behring and IR Firecrawl scrapers use the same pattern on article titles and summaries scraped from newsrooms. This covers cases where the company does not file with the SEC (e.g. CSL is listed on the Australian Stock Exchange).</w:t>
      </w:r>
    </w:p>
    <w:p>
      <w:pPr>
        <w:spacing w:after="80"/>
      </w:pPr>
      <w:r>
        <w:t xml:space="preserve"/>
      </w:r>
    </w:p>
    <w:p>
      <w:pPr>
        <w:pStyle w:val="Heading2"/>
      </w:pPr>
      <w:r>
        <w:t xml:space="preserve">Layer 2 — UI type (mapped at read time, never stored)</w:t>
      </w:r>
    </w:p>
    <w:p>
      <w:pPr>
        <w:spacing w:after="120"/>
      </w:pPr>
      <w:r>
        <w:t xml:space="preserve">When a user opens the Alerts page, every database signal_type is translated to a display type and label by a single mapping table in src/lib/signalMapping.ts. This is the only place the translation lives — deliberately centralised so adding a new ingest source only requires one line in that file.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760"/>
        <w:gridCol w:w="3600"/>
      </w:tblGrid>
      <w:tr>
        <w:trPr>
          <w:tblHeader/>
        </w:trPr>
        <w:tc>
          <w:tcPr>
            <w:tcW w:type="dxa" w:w="22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DB signal_type(s)</w:t>
            </w:r>
          </w:p>
        </w:tc>
        <w:tc>
          <w:tcPr>
            <w:tcW w:type="dxa" w:w="18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UI type</w:t>
            </w:r>
          </w:p>
        </w:tc>
        <w:tc>
          <w:tcPr>
            <w:tcW w:type="dxa" w:w="17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Display label</w:t>
            </w:r>
          </w:p>
        </w:tc>
        <w:tc>
          <w:tcPr>
            <w:tcW w:type="dxa" w:w="3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Rationale for grouping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trial_update, trial_status_change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trial-update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 update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Both represent a change in a clinical trial — functionally identical to an analyst.</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label_update</w:t>
            </w:r>
          </w:p>
        </w:tc>
        <w:tc>
          <w:tcPr>
            <w:tcW w:type="dxa" w:w="1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label-change</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 change</w:t>
            </w:r>
          </w:p>
        </w:tc>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FDA label changes are a distinct, high-value regulatory event that warrants its own label separate from general "regulatory" notices.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exec_change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exec-move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Exec move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Leadership changes have their own strategic interpretation (watch for pivot in strategy/messaging) distinct from M&amp;A or financial events.</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deal</w:t>
            </w:r>
          </w:p>
        </w:tc>
        <w:tc>
          <w:tcPr>
            <w:tcW w:type="dxa" w:w="1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deal</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Deal</w:t>
            </w:r>
          </w:p>
        </w:tc>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M&amp;A, licensing, and partnerships are a distinct strategic signal type. Kept as-is.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press_release, ir_rss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publication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Publication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Both are company-authored public disclosures. The distinction between an SEC 8-K and an IR RSS entry is less important to an analyst than the content.</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publication</w:t>
            </w:r>
          </w:p>
        </w:tc>
        <w:tc>
          <w:tcPr>
            <w:tcW w:type="dxa" w:w="1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publication</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Publication</w:t>
            </w:r>
          </w:p>
        </w:tc>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PubMed articles share the same UI label — all three "publication" subtypes are "content to read and assess."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hta_decision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HTA decisions are a regulatory outcome — grouped with other regulatory events under a single colour chip.</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regulatory_catalyst</w:t>
            </w:r>
          </w:p>
        </w:tc>
        <w:tc>
          <w:tcPr>
            <w:tcW w:type="dxa" w:w="1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w:t>
            </w:r>
          </w:p>
        </w:tc>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Federal Register FDA notices are also regulatory in nature.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earnings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earnings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Earnings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Financial results are a distinct category — not merged with press releases because the downstream action (update financial model, brief BD) is different.</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messaging_shift</w:t>
            </w:r>
          </w:p>
        </w:tc>
        <w:tc>
          <w:tcPr>
            <w:tcW w:type="dxa" w:w="1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strategic-shift</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Strategic shift</w:t>
            </w:r>
          </w:p>
        </w:tc>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Competitor messaging changes represent a deliberate positioning move. Shown with a red badge to signal it warrants urgent review and a battle-card update.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congress_abstract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conference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Conference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Congress presentations are a distinct intelligence type — scientific narrative vs. corporate disclosure — requiring a different read lens.</w:t>
            </w:r>
          </w:p>
        </w:tc>
      </w:tr>
    </w:tbl>
    <w:p>
      <w:pPr>
        <w:spacing w:after="80"/>
      </w:pPr>
      <w:r>
        <w:t xml:space="preserve"/>
      </w:r>
    </w:p>
    <w:p>
      <w:pPr>
        <w:pStyle w:val="Heading2"/>
      </w:pPr>
      <w:r>
        <w:t xml:space="preserve">Why these categories and not others?</w:t>
      </w:r>
    </w:p>
    <w:p>
      <w:pPr>
        <w:spacing w:after="120"/>
      </w:pPr>
      <w:r>
        <w:t xml:space="preserve">The categories were designed around how a competitive-intelligence analyst responds differently to each type of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 type</w:t>
            </w:r>
          </w:p>
        </w:tc>
        <w:tc>
          <w:tcPr>
            <w:tcW w:type="dxa" w:w="65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Typical analyst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 update / Label change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Update the pipeline tracker; brief medical and regulatory affairs; assess readout timeline implications.</w:t>
            </w:r>
          </w:p>
        </w:tc>
      </w:tr>
      <w:tr>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Exec move</w:t>
            </w:r>
          </w:p>
        </w:tc>
        <w:tc>
          <w:tcPr>
            <w:tcW w:type="dxa" w:w="65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Watch for strategic pivot; monitor messaging and field activity over the next quarter.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Deal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Assess pipeline or commercial implications; brief business development; flag to leadership.</w:t>
            </w:r>
          </w:p>
        </w:tc>
      </w:tr>
      <w:tr>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Publication</w:t>
            </w:r>
          </w:p>
        </w:tc>
        <w:tc>
          <w:tcPr>
            <w:tcW w:type="dxa" w:w="65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Read and assess; flag to medical/scientific affairs if relevant to the competitive narrative.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 / HTA decision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Brief regulatory affairs; check timeline implications for own product; update market-access model.</w:t>
            </w:r>
          </w:p>
        </w:tc>
      </w:tr>
      <w:tr>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Earnings</w:t>
            </w:r>
          </w:p>
        </w:tc>
        <w:tc>
          <w:tcPr>
            <w:tcW w:type="dxa" w:w="65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Update the financial model; assess commercial confidence signals; check for HAE revenue breakdown.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Strategic shift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Brief leadership immediately; update the competitive battle card; reassess messaging strategy.</w:t>
            </w:r>
          </w:p>
        </w:tc>
      </w:tr>
      <w:tr>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Conference</w:t>
            </w:r>
          </w:p>
        </w:tc>
        <w:tc>
          <w:tcPr>
            <w:tcW w:type="dxa" w:w="65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Log for medical affairs; review for new efficacy or safety data that could shift positioning.</w:t>
            </w:r>
          </w:p>
        </w:tc>
      </w:tr>
    </w:tbl>
    <w:p>
      <w:pPr>
        <w:spacing w:after="120"/>
      </w:pPr>
      <w:r>
        <w:t xml:space="preserve">Each type maps to a different downstream action and a different team. Grouping is done at the UI layer rather than in the database so that the groupings can be refined without re-ingesting historical data.</w:t>
      </w:r>
    </w:p>
    <w:p>
      <w:r>
        <w:br w:type="page"/>
      </w:r>
    </w:p>
    <w:p>
      <w:pPr>
        <w:pStyle w:val="Heading1"/>
      </w:pPr>
      <w:r>
        <w:t xml:space="preserve">5. What else you should know</w:t>
      </w:r>
    </w:p>
    <w:p>
      <w:pPr>
        <w:pStyle w:val="Heading2"/>
      </w:pPr>
      <w:r>
        <w:t xml:space="preserve">Live data vs. sample data</w:t>
      </w:r>
    </w:p>
    <w:p>
      <w:pPr>
        <w:spacing w:after="120"/>
      </w:pPr>
      <w:r>
        <w:t xml:space="preserve">The core experience — alerts, competitor pipelines, financials, key events, and source documents — runs entirely on live data. Two minor screens (Pricing &amp; Access, and the Market Developments tab) still display illustrative sample data, flagged for a future update.</w:t>
      </w:r>
    </w:p>
    <w:p>
      <w:pPr>
        <w:pStyle w:val="Heading2"/>
      </w:pPr>
      <w:r>
        <w:t xml:space="preserve">User accounts</w:t>
      </w:r>
    </w:p>
    <w:p>
      <w:pPr>
        <w:spacing w:after="120"/>
      </w:pPr>
      <w:r>
        <w:t xml:space="preserve">Users sign in with their own email-and-password account. Each user has a private profile storing their tracked asset, indication, competitor watchlist, and read/unread alert state — all stored securely in the database, isolated by account, and synchronised across devices. One pilot account is currently active.</w:t>
      </w:r>
    </w:p>
    <w:p>
      <w:pPr>
        <w:pStyle w:val="Heading2"/>
      </w:pPr>
      <w:r>
        <w:t xml:space="preserve">Data integrity safeguards</w:t>
      </w:r>
    </w:p>
    <w:p>
      <w:pPr>
        <w:pStyle w:val="ListParagraph"/>
        <w:numPr>
          <w:ilvl w:val="0"/>
          <w:numId w:val="2"/>
        </w:numPr>
      </w:pPr>
      <w:r>
        <w:rPr>
          <w:b/>
          <w:bCs/>
        </w:rPr>
        <w:t xml:space="preserve">Anti-hallucination guard: </w:t>
      </w:r>
      <w:r>
        <w:t xml:space="preserve">any text extracted from a scraped web page is cross-checked against the raw page content — extracted headlines not found word-for-word in the real page are rejected as potential LLM fabrications.</w:t>
      </w:r>
    </w:p>
    <w:p>
      <w:pPr>
        <w:pStyle w:val="ListParagraph"/>
        <w:numPr>
          <w:ilvl w:val="0"/>
          <w:numId w:val="2"/>
        </w:numPr>
      </w:pPr>
      <w:r>
        <w:rPr>
          <w:b/>
          <w:bCs/>
        </w:rPr>
        <w:t xml:space="preserve">Hybrid gate for change detection: </w:t>
      </w:r>
      <w:r>
        <w:t xml:space="preserve">the messaging and label diff engines run in two stages — first hashing normalised page content to detect a candidate change, then re-running a structured extraction and comparing field values — to avoid firing on rotating banners or cosmetic edits.</w:t>
      </w:r>
    </w:p>
    <w:p>
      <w:pPr>
        <w:pStyle w:val="ListParagraph"/>
        <w:numPr>
          <w:ilvl w:val="0"/>
          <w:numId w:val="2"/>
        </w:numPr>
      </w:pPr>
      <w:r>
        <w:rPr>
          <w:b/>
          <w:bCs/>
        </w:rPr>
        <w:t xml:space="preserve">Readability gate: </w:t>
      </w:r>
      <w:r>
        <w:t xml:space="preserve">regulatory-filing boilerplate and machine codes are filtered out before any signal reaches a user (see Stage 3, Step 1).</w:t>
      </w:r>
    </w:p>
    <w:p>
      <w:pPr>
        <w:pStyle w:val="ListParagraph"/>
        <w:numPr>
          <w:ilvl w:val="0"/>
          <w:numId w:val="2"/>
        </w:numPr>
      </w:pPr>
      <w:r>
        <w:rPr>
          <w:b/>
          <w:bCs/>
        </w:rPr>
        <w:t xml:space="preserve">Deduplication: </w:t>
      </w:r>
      <w:r>
        <w:t xml:space="preserve">every signal carries a SHA-256 content fingerprint; re-running any source never creates duplicate alerts.</w:t>
      </w:r>
    </w:p>
    <w:p>
      <w:pPr>
        <w:pStyle w:val="ListParagraph"/>
        <w:numPr>
          <w:ilvl w:val="0"/>
          <w:numId w:val="2"/>
        </w:numPr>
      </w:pPr>
      <w:r>
        <w:rPr>
          <w:b/>
          <w:bCs/>
        </w:rPr>
        <w:t xml:space="preserve">First-run silence: </w:t>
      </w:r>
      <w:r>
        <w:t xml:space="preserve">change-detection engines establish a baseline on first run and only alert on genuine subsequent changes.</w:t>
      </w:r>
    </w:p>
    <w:p>
      <w:pPr>
        <w:pStyle w:val="ListParagraph"/>
        <w:numPr>
          <w:ilvl w:val="0"/>
          <w:numId w:val="2"/>
        </w:numPr>
      </w:pPr>
      <w:r>
        <w:rPr>
          <w:b/>
          <w:bCs/>
        </w:rPr>
        <w:t xml:space="preserve">Per-user data isolation: </w:t>
      </w:r>
      <w:r>
        <w:t xml:space="preserve">row-level security policies enforce "each user can only read and write their own rows."</w:t>
      </w:r>
    </w:p>
    <w:p>
      <w:pPr>
        <w:pStyle w:val="Heading2"/>
      </w:pPr>
      <w:r>
        <w:t xml:space="preserve">How data stays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1440"/>
        <w:gridCol w:w="2160"/>
      </w:tblGrid>
      <w:tr>
        <w:trPr>
          <w:tblHeader/>
        </w:trPr>
        <w:tc>
          <w:tcPr>
            <w:tcW w:type="dxa" w:w="3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Source</w:t>
            </w:r>
          </w:p>
        </w:tc>
        <w:tc>
          <w:tcPr>
            <w:tcW w:type="dxa" w:w="21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Last run</w:t>
            </w:r>
          </w:p>
        </w:tc>
        <w:tc>
          <w:tcPr>
            <w:tcW w:type="dxa" w:w="144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Status</w:t>
            </w:r>
          </w:p>
        </w:tc>
        <w:tc>
          <w:tcPr>
            <w:tcW w:type="dxa" w:w="21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New signals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PubMed</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24 Jun 2026 10:50</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3</w:t>
            </w:r>
          </w:p>
        </w:tc>
      </w:tr>
      <w:tr>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EU HTA (Firecrawl)</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24 Jun 2026 10:13</w:t>
            </w:r>
          </w:p>
        </w:tc>
        <w:tc>
          <w:tcPr>
            <w:tcW w:type="dxa" w:w="144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3</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IR (Firecrawl)</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24 Jun 2026 07:06</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0</w:t>
            </w:r>
          </w:p>
        </w:tc>
      </w:tr>
      <w:tr>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Takeda (Firecrawl)</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24 Jun 2026 06:57</w:t>
            </w:r>
          </w:p>
        </w:tc>
        <w:tc>
          <w:tcPr>
            <w:tcW w:type="dxa" w:w="144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0</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CSL Behring (Firecrawl)</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24 Jun 2026 06:49</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0</w:t>
            </w:r>
          </w:p>
        </w:tc>
      </w:tr>
      <w:tr>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Congress (Firecrawl)</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24 Jun 2026 06:28</w:t>
            </w:r>
          </w:p>
        </w:tc>
        <w:tc>
          <w:tcPr>
            <w:tcW w:type="dxa" w:w="144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23</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IR RSS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24 Jun 2026 06:00</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Partial (non-fatal)</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0</w:t>
            </w:r>
          </w:p>
        </w:tc>
      </w:tr>
      <w:tr>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NICE HTA</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23 Jun 2026 20:10</w:t>
            </w:r>
          </w:p>
        </w:tc>
        <w:tc>
          <w:tcPr>
            <w:tcW w:type="dxa" w:w="144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0</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Federal Register / FDA</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23 Jun 2026 16:53</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0</w:t>
            </w:r>
          </w:p>
        </w:tc>
      </w:tr>
      <w:tr>
        <w:tc>
          <w:tcPr>
            <w:tcW w:type="dxa" w:w="3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openFDA labels</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23 Jun 2026 09:36</w:t>
            </w:r>
          </w:p>
        </w:tc>
        <w:tc>
          <w:tcPr>
            <w:tcW w:type="dxa" w:w="144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Success</w:t>
            </w:r>
          </w:p>
        </w:tc>
        <w:tc>
          <w:tcPr>
            <w:tcW w:type="dxa" w:w="21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0</w:t>
            </w:r>
          </w:p>
        </w:tc>
      </w:tr>
    </w:tbl>
    <w:p>
      <w:pPr>
        <w:spacing w:after="80"/>
      </w:pPr>
      <w:r>
        <w:t xml:space="preserve"/>
      </w:r>
    </w:p>
    <w:p>
      <w:pPr>
        <w:pStyle w:val="Heading2"/>
      </w:pPr>
      <w:r>
        <w:t xml:space="preserve">Known limitations and roadmap</w:t>
      </w:r>
    </w:p>
    <w:p>
      <w:pPr>
        <w:pStyle w:val="ListParagraph"/>
        <w:numPr>
          <w:ilvl w:val="0"/>
          <w:numId w:val="2"/>
        </w:numPr>
      </w:pPr>
      <w:r>
        <w:t xml:space="preserve">Bring the three change-detection pipelines (trials, labels, messaging) into their first live production run.</w:t>
      </w:r>
    </w:p>
    <w:p>
      <w:pPr>
        <w:pStyle w:val="ListParagraph"/>
        <w:numPr>
          <w:ilvl w:val="0"/>
          <w:numId w:val="2"/>
        </w:numPr>
      </w:pPr>
      <w:r>
        <w:t xml:space="preserve">Raise "why it matters" coverage above the current ~49%.</w:t>
      </w:r>
    </w:p>
    <w:p>
      <w:pPr>
        <w:pStyle w:val="ListParagraph"/>
        <w:numPr>
          <w:ilvl w:val="0"/>
          <w:numId w:val="2"/>
        </w:numPr>
      </w:pPr>
      <w:r>
        <w:t xml:space="preserve">Wire the Pricing and Market Developments screens to live data.</w:t>
      </w:r>
    </w:p>
    <w:p>
      <w:pPr>
        <w:pStyle w:val="ListParagraph"/>
        <w:numPr>
          <w:ilvl w:val="0"/>
          <w:numId w:val="2"/>
        </w:numPr>
      </w:pPr>
      <w:r>
        <w:t xml:space="preserve">Add AI-generated theme grouping of alerts (currently a flat live stream).</w:t>
      </w:r>
    </w:p>
    <w:p>
      <w:pPr>
        <w:pStyle w:val="ListParagraph"/>
        <w:numPr>
          <w:ilvl w:val="0"/>
          <w:numId w:val="2"/>
        </w:numPr>
      </w:pPr>
      <w:r>
        <w:t xml:space="preserve">Expand ChEMBL-linked asset tracking to non-HAE indications.</w:t>
      </w:r>
    </w:p>
    <w:p>
      <w:r>
        <w:br w:type="page"/>
      </w:r>
    </w:p>
    <w:p>
      <w:pPr>
        <w:pStyle w:val="Heading1"/>
      </w:pPr>
      <w:r>
        <w:t xml:space="preserve">6. Database table inventory</w:t>
      </w:r>
    </w:p>
    <w:p>
      <w:pPr>
        <w:spacing w:after="120"/>
      </w:pPr>
      <w:r>
        <w:t xml:space="preserve">Row counts are live as of 25 June 2026.</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900"/>
        <w:gridCol w:w="3860"/>
      </w:tblGrid>
      <w:tr>
        <w:trPr>
          <w:tblHeader/>
        </w:trPr>
        <w:tc>
          <w:tcPr>
            <w:tcW w:type="dxa" w:w="20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Table</w:t>
            </w:r>
          </w:p>
        </w:tc>
        <w:tc>
          <w:tcPr>
            <w:tcW w:type="dxa" w:w="2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Purpose</w:t>
            </w:r>
          </w:p>
        </w:tc>
        <w:tc>
          <w:tcPr>
            <w:tcW w:type="dxa" w:w="9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Rows</w:t>
            </w:r>
          </w:p>
        </w:tc>
        <w:tc>
          <w:tcPr>
            <w:tcW w:type="dxa" w:w="38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Read by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Clinical trials (CT.gov)</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134</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Competitor Profile → Pipeline tab</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trial_snapshots</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CT.gov diff baselines (ingest only)</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0</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Change-detection engine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financial_snapshots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Revenue + R&amp;D spend per FY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22</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Competitor Profile → Company tab</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label_snapshots</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FDA label section hashes (ingest only)</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Change-detection engine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messaging_snapshots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Product-page messaging baselines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0</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Competitor Profile → Messaging tab</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regulatory_calendar</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EMA/FDA upcoming meetings</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18</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War Room → Events; Intelligence Feed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regulatory_events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FDA/EMA approval decisions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6</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Competitor Profile → Key Events</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hta_decisions</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NICE HTA assessments</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2</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Competitor Profile → Key Events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documents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10-K, FDA labels, EPARs, NICE TAs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175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Competitor Profile → Source Documents</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assets</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Drug registry (INN, synonyms, owner)</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11</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Resolves drug names; relevance scoring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company_summaries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90-day narrative per competitor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8</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War Room → Competitor card</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market_intelligence</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Editorial strategic implications</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War Room → Market Implications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ingest_runs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Ingest audit log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Admin page only</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user_profiles</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Per-user onboarding state + asset</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AppContext on sign-in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watched_assets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Per-user competitor watchlist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3</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AppContext on sign-in</w:t>
            </w:r>
          </w:p>
        </w:tc>
      </w:tr>
      <w:tr>
        <w:tc>
          <w:tcPr>
            <w:tcW w:type="dxa" w:w="20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read_alerts</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Per-user alert read/unread state</w:t>
            </w:r>
          </w:p>
        </w:tc>
        <w:tc>
          <w:tcPr>
            <w:tcW w:type="dxa" w:w="9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17</w:t>
            </w:r>
          </w:p>
        </w:tc>
        <w:tc>
          <w:tcPr>
            <w:tcW w:type="dxa" w:w="38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AlertsPage, NavPanel badge</w:t>
            </w:r>
          </w:p>
        </w:tc>
      </w:tr>
    </w:tbl>
    <w:p>
      <w:pPr>
        <w:spacing w:after="80"/>
      </w:pPr>
      <w:r>
        <w:t xml:space="preserve"/>
      </w:r>
    </w:p>
    <w:p>
      <w:pPr>
        <w:spacing w:after="120"/>
      </w:pPr>
      <w:r>
        <w:rPr>
          <w:i/>
          <w:iCs/>
          <w:color w:val="6B7280"/>
          <w:sz w:val="18"/>
          <w:szCs w:val="18"/>
        </w:rPr>
        <w:t xml:space="preserve">trial_snapshots, label_snapshots, and messaging_snapshots have 0 rows today because the change-detection pipelines have not yet completed their first production run.</w:t>
      </w:r>
    </w:p>
    <w:p>
      <w:r>
        <w:br w:type="page"/>
      </w:r>
    </w:p>
    <w:p>
      <w:pPr>
        <w:pStyle w:val="Heading1"/>
      </w:pPr>
      <w:r>
        <w:t xml:space="preserve">Appendix A — Per-source field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Source</w:t>
            </w:r>
          </w:p>
        </w:tc>
        <w:tc>
          <w:tcPr>
            <w:tcW w:type="dxa" w:w="28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Key fields captured</w:t>
            </w:r>
          </w:p>
        </w:tc>
        <w:tc>
          <w:tcPr>
            <w:tcW w:type="dxa" w:w="260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Stored in</w:t>
            </w:r>
          </w:p>
        </w:tc>
        <w:tc>
          <w:tcPr>
            <w:tcW w:type="dxa" w:w="1760"/>
            <w:tcBorders>
              <w:top w:val="single" w:color="CCCCCC" w:sz="1"/>
              <w:left w:val="single" w:color="CCCCCC" w:sz="1"/>
              <w:bottom w:val="single" w:color="CCCCCC" w:sz="1"/>
              <w:right w:val="single" w:color="CCCCCC" w:sz="1"/>
            </w:tcBorders>
            <w:shd w:fill="0A2472" w:val="clear"/>
            <w:tcMar>
              <w:top w:type="dxa" w:w="80"/>
              <w:left w:type="dxa" w:w="120"/>
              <w:bottom w:type="dxa" w:w="80"/>
              <w:right w:type="dxa" w:w="120"/>
            </w:tcMar>
            <w:vAlign w:val="center"/>
          </w:tcPr>
          <w:p>
            <w:r>
              <w:rPr>
                <w:b/>
                <w:bCs/>
                <w:color w:val="FFFFFF"/>
                <w:sz w:val="19"/>
                <w:szCs w:val="19"/>
              </w:rPr>
              <w:t xml:space="preserve">Signal type emitted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SEC EDGAR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form, filing date, accession number, item codes (1.01/2.01/5.02/8.01), document prose text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company_signals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deal, exec_change, press_release</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SEC XBRL + GlobeNewswire</w:t>
            </w:r>
          </w:p>
        </w:tc>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Revenue/R&amp;D XBRL concept values, currency, fiscal year</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financial_snapshots</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 (no signal)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ClinicalTrials.gov v2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NCT id, title, overallStatus, phases, start/completion dates, conditions, interventions, sponsor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trials, trial_snapshots, company_signals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trial_update (on hash change)</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openFDA labels</w:t>
            </w:r>
          </w:p>
        </w:tc>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application_no, sections_hash, label_version, raw_label_json</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label_snapshots, company_signals</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label_update (on hash change)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PubMed (E-utilities)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PMID, title, journal, authors, publication date, abstract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company_signals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publication</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Federal Register</w:t>
            </w:r>
          </w:p>
        </w:tc>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document_number, title, abstract, action, publication_date</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regulatory_calendar, company_signals</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regulatory_catalyst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NICE HTA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guidanceRef, title, decision_date, decision_type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hta_decisions, company_signals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hta_decision</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IR RSS</w:t>
            </w:r>
          </w:p>
        </w:tc>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title, link, date</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company_signals</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press_release / ir_rss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EMA CHMP/PRAC calendar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event_type, title, start_date, end_date, source_url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regulatory_calendar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 (no signal)</w:t>
            </w:r>
          </w:p>
        </w:tc>
      </w:tr>
      <w:tr>
        <w:tc>
          <w:tcPr>
            <w:tcW w:type="dxa" w:w="22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Firecrawl web scraping</w:t>
            </w:r>
          </w:p>
        </w:tc>
        <w:tc>
          <w:tcPr>
            <w:tcW w:type="dxa" w:w="28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title/date/summary (press rooms); coreMessage/pillars (messaging drift)</w:t>
            </w:r>
          </w:p>
        </w:tc>
        <w:tc>
          <w:tcPr>
            <w:tcW w:type="dxa" w:w="260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company_signals, messaging_snapshots</w:t>
            </w:r>
          </w:p>
        </w:tc>
        <w:tc>
          <w:tcPr>
            <w:tcW w:type="dxa" w:w="1760"/>
            <w:tcBorders>
              <w:top w:val="single" w:color="CCCCCC" w:sz="1"/>
              <w:left w:val="single" w:color="CCCCCC" w:sz="1"/>
              <w:bottom w:val="single" w:color="CCCCCC" w:sz="1"/>
              <w:right w:val="single" w:color="CCCCCC" w:sz="1"/>
            </w:tcBorders>
            <w:shd w:fill="F4F8FE" w:val="clear"/>
            <w:tcMar>
              <w:top w:type="dxa" w:w="80"/>
              <w:left w:type="dxa" w:w="120"/>
              <w:bottom w:type="dxa" w:w="80"/>
              <w:right w:type="dxa" w:w="120"/>
            </w:tcMar>
            <w:vAlign w:val="center"/>
          </w:tcPr>
          <w:p>
            <w:r>
              <w:rPr>
                <w:sz w:val="19"/>
                <w:szCs w:val="19"/>
              </w:rPr>
              <w:t xml:space="preserve">messaging_shift (on field diff)</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ChEMBL — on demand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inn, chembl_id, max_phase, drug_type, synonyms[], research_codes[], atc_codes[], usan_stem_label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Used at onboarding; configures relevance lexicon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sz w:val="19"/>
                <w:szCs w:val="19"/>
              </w:rPr>
              <w:t xml:space="preserve">— (no recurring ingest)</w:t>
            </w:r>
          </w:p>
        </w:tc>
      </w:tr>
    </w:tbl>
    <w:p>
      <w:pPr>
        <w:spacing w:after="80"/>
      </w:pPr>
      <w:r>
        <w:t xml:space="preserve"/>
      </w:r>
    </w:p>
    <w:p>
      <w:r>
        <w:rPr>
          <w:b/>
          <w:bCs/>
          <w:sz w:val="19"/>
          <w:szCs w:val="19"/>
        </w:rPr>
        <w:t xml:space="preserve">Cleaning chain (read time): </w:t>
      </w:r>
      <w:r>
        <w:rPr>
          <w:color w:val="6B7280"/>
          <w:sz w:val="18"/>
          <w:szCs w:val="18"/>
        </w:rPr>
        <w:t xml:space="preserve">HTML entity decode → SEC boilerplate strip → machine-code strip → prose gate (60% alpha + 5 prose words + lowercase run) → relevance check (INN + TA lexicon) → importance score (HIGH/MEDIUM/LOW) → "why it matters" (DB column or template fallback) → UI label translation (signal_type → friendly label).</w:t>
      </w:r>
    </w:p>
    <w:p>
      <w:r>
        <w:br w:type="page"/>
      </w:r>
    </w:p>
    <w:p>
      <w:pPr>
        <w:pStyle w:val="Heading1"/>
      </w:pPr>
      <w:r>
        <w:t xml:space="preserve">Appendix B — Named database queries</w:t>
      </w:r>
    </w:p>
    <w:p>
      <w:pPr>
        <w:spacing w:after="120"/>
      </w:pPr>
      <w:r>
        <w:t xml:space="preserve">The distribution figures in Section 3 were produced by the following read-only queries, named so they can be saved and re-run from the Supabase SQL editor.</w:t>
      </w:r>
    </w:p>
    <w:p>
      <w:pPr>
        <w:spacing w:after="40" w:before="120"/>
      </w:pPr>
      <w:r>
        <w:rPr>
          <w:b/>
          <w:bCs/>
          <w:color w:val="0A2472"/>
          <w:sz w:val="19"/>
          <w:szCs w:val="19"/>
        </w:rPr>
        <w:t xml:space="preserve">total_signals</w:t>
      </w:r>
    </w:p>
    <w:p>
      <w:pPr>
        <w:shd w:fill="F2F4F8" w:val="clear"/>
        <w:spacing w:after="0"/>
      </w:pPr>
      <w:r>
        <w:rPr>
          <w:rFonts w:ascii="Consolas" w:cs="Consolas" w:eastAsia="Consolas" w:hAnsi="Consolas"/>
          <w:sz w:val="17"/>
          <w:szCs w:val="17"/>
        </w:rPr>
        <w:t xml:space="preserve">select count(*) from company_signals;</w:t>
      </w:r>
    </w:p>
    <w:p>
      <w:pPr>
        <w:spacing w:after="40" w:before="120"/>
      </w:pPr>
      <w:r>
        <w:rPr>
          <w:b/>
          <w:bCs/>
          <w:color w:val="0A2472"/>
          <w:sz w:val="19"/>
          <w:szCs w:val="19"/>
        </w:rPr>
        <w:t xml:space="preserve">signals_per_competitor</w:t>
      </w:r>
    </w:p>
    <w:p>
      <w:pPr>
        <w:shd w:fill="F2F4F8" w:val="clear"/>
        <w:spacing w:after="0"/>
      </w:pPr>
      <w:r>
        <w:rPr>
          <w:rFonts w:ascii="Consolas" w:cs="Consolas" w:eastAsia="Consolas" w:hAnsi="Consolas"/>
          <w:sz w:val="17"/>
          <w:szCs w:val="17"/>
        </w:rPr>
        <w:t xml:space="preserve">select competitor_id, count(*)</w:t>
      </w:r>
    </w:p>
    <w:p>
      <w:pPr>
        <w:shd w:fill="F2F4F8" w:val="clear"/>
        <w:spacing w:after="0"/>
      </w:pPr>
      <w:r>
        <w:rPr>
          <w:rFonts w:ascii="Consolas" w:cs="Consolas" w:eastAsia="Consolas" w:hAnsi="Consolas"/>
          <w:sz w:val="17"/>
          <w:szCs w:val="17"/>
        </w:rPr>
        <w:t xml:space="preserve">from company_signals</w:t>
      </w:r>
    </w:p>
    <w:p>
      <w:pPr>
        <w:shd w:fill="F2F4F8" w:val="clear"/>
        <w:spacing w:after="0"/>
      </w:pPr>
      <w:r>
        <w:rPr>
          <w:rFonts w:ascii="Consolas" w:cs="Consolas" w:eastAsia="Consolas" w:hAnsi="Consolas"/>
          <w:sz w:val="17"/>
          <w:szCs w:val="17"/>
        </w:rPr>
        <w:t xml:space="preserve">group by competitor_id order by count(*) desc;</w:t>
      </w:r>
    </w:p>
    <w:p>
      <w:pPr>
        <w:spacing w:after="40" w:before="120"/>
      </w:pPr>
      <w:r>
        <w:rPr>
          <w:b/>
          <w:bCs/>
          <w:color w:val="0A2472"/>
          <w:sz w:val="19"/>
          <w:szCs w:val="19"/>
        </w:rPr>
        <w:t xml:space="preserve">signals_per_type</w:t>
      </w:r>
    </w:p>
    <w:p>
      <w:pPr>
        <w:shd w:fill="F2F4F8" w:val="clear"/>
        <w:spacing w:after="0"/>
      </w:pPr>
      <w:r>
        <w:rPr>
          <w:rFonts w:ascii="Consolas" w:cs="Consolas" w:eastAsia="Consolas" w:hAnsi="Consolas"/>
          <w:sz w:val="17"/>
          <w:szCs w:val="17"/>
        </w:rPr>
        <w:t xml:space="preserve">select signal_type, count(*)</w:t>
      </w:r>
    </w:p>
    <w:p>
      <w:pPr>
        <w:shd w:fill="F2F4F8" w:val="clear"/>
        <w:spacing w:after="0"/>
      </w:pPr>
      <w:r>
        <w:rPr>
          <w:rFonts w:ascii="Consolas" w:cs="Consolas" w:eastAsia="Consolas" w:hAnsi="Consolas"/>
          <w:sz w:val="17"/>
          <w:szCs w:val="17"/>
        </w:rPr>
        <w:t xml:space="preserve">from company_signals</w:t>
      </w:r>
    </w:p>
    <w:p>
      <w:pPr>
        <w:shd w:fill="F2F4F8" w:val="clear"/>
        <w:spacing w:after="0"/>
      </w:pPr>
      <w:r>
        <w:rPr>
          <w:rFonts w:ascii="Consolas" w:cs="Consolas" w:eastAsia="Consolas" w:hAnsi="Consolas"/>
          <w:sz w:val="17"/>
          <w:szCs w:val="17"/>
        </w:rPr>
        <w:t xml:space="preserve">group by signal_type order by count(*) desc;</w:t>
      </w:r>
    </w:p>
    <w:p>
      <w:pPr>
        <w:spacing w:after="40" w:before="120"/>
      </w:pPr>
      <w:r>
        <w:rPr>
          <w:b/>
          <w:bCs/>
          <w:color w:val="0A2472"/>
          <w:sz w:val="19"/>
          <w:szCs w:val="19"/>
        </w:rPr>
        <w:t xml:space="preserve">signals_per_data_source</w:t>
      </w:r>
    </w:p>
    <w:p>
      <w:pPr>
        <w:shd w:fill="F2F4F8" w:val="clear"/>
        <w:spacing w:after="0"/>
      </w:pPr>
      <w:r>
        <w:rPr>
          <w:rFonts w:ascii="Consolas" w:cs="Consolas" w:eastAsia="Consolas" w:hAnsi="Consolas"/>
          <w:sz w:val="17"/>
          <w:szCs w:val="17"/>
        </w:rPr>
        <w:t xml:space="preserve">select data_source, count(*)</w:t>
      </w:r>
    </w:p>
    <w:p>
      <w:pPr>
        <w:shd w:fill="F2F4F8" w:val="clear"/>
        <w:spacing w:after="0"/>
      </w:pPr>
      <w:r>
        <w:rPr>
          <w:rFonts w:ascii="Consolas" w:cs="Consolas" w:eastAsia="Consolas" w:hAnsi="Consolas"/>
          <w:sz w:val="17"/>
          <w:szCs w:val="17"/>
        </w:rPr>
        <w:t xml:space="preserve">from company_signals</w:t>
      </w:r>
    </w:p>
    <w:p>
      <w:pPr>
        <w:shd w:fill="F2F4F8" w:val="clear"/>
        <w:spacing w:after="0"/>
      </w:pPr>
      <w:r>
        <w:rPr>
          <w:rFonts w:ascii="Consolas" w:cs="Consolas" w:eastAsia="Consolas" w:hAnsi="Consolas"/>
          <w:sz w:val="17"/>
          <w:szCs w:val="17"/>
        </w:rPr>
        <w:t xml:space="preserve">group by data_source order by count(*) desc;</w:t>
      </w:r>
    </w:p>
    <w:p>
      <w:pPr>
        <w:spacing w:after="40" w:before="120"/>
      </w:pPr>
      <w:r>
        <w:rPr>
          <w:b/>
          <w:bCs/>
          <w:color w:val="0A2472"/>
          <w:sz w:val="19"/>
          <w:szCs w:val="19"/>
        </w:rPr>
        <w:t xml:space="preserve">signals_last_90_days</w:t>
      </w:r>
    </w:p>
    <w:p>
      <w:pPr>
        <w:shd w:fill="F2F4F8" w:val="clear"/>
        <w:spacing w:after="0"/>
      </w:pPr>
      <w:r>
        <w:rPr>
          <w:rFonts w:ascii="Consolas" w:cs="Consolas" w:eastAsia="Consolas" w:hAnsi="Consolas"/>
          <w:sz w:val="17"/>
          <w:szCs w:val="17"/>
        </w:rPr>
        <w:t xml:space="preserve">select count(*) from company_signals</w:t>
      </w:r>
    </w:p>
    <w:p>
      <w:pPr>
        <w:shd w:fill="F2F4F8" w:val="clear"/>
        <w:spacing w:after="0"/>
      </w:pPr>
      <w:r>
        <w:rPr>
          <w:rFonts w:ascii="Consolas" w:cs="Consolas" w:eastAsia="Consolas" w:hAnsi="Consolas"/>
          <w:sz w:val="17"/>
          <w:szCs w:val="17"/>
        </w:rPr>
        <w:t xml:space="preserve">where date &gt;= current_date - interval '90 days';</w:t>
      </w:r>
    </w:p>
    <w:p>
      <w:pPr>
        <w:spacing w:after="40" w:before="120"/>
      </w:pPr>
      <w:r>
        <w:rPr>
          <w:b/>
          <w:bCs/>
          <w:color w:val="0A2472"/>
          <w:sz w:val="19"/>
          <w:szCs w:val="19"/>
        </w:rPr>
        <w:t xml:space="preserve">signal_why_coverage</w:t>
      </w:r>
    </w:p>
    <w:p>
      <w:pPr>
        <w:shd w:fill="F2F4F8" w:val="clear"/>
        <w:spacing w:after="0"/>
      </w:pPr>
      <w:r>
        <w:rPr>
          <w:rFonts w:ascii="Consolas" w:cs="Consolas" w:eastAsia="Consolas" w:hAnsi="Consolas"/>
          <w:sz w:val="17"/>
          <w:szCs w:val="17"/>
        </w:rPr>
        <w:t xml:space="preserve">select</w:t>
      </w:r>
    </w:p>
    <w:p>
      <w:pPr>
        <w:shd w:fill="F2F4F8" w:val="clear"/>
        <w:spacing w:after="0"/>
      </w:pPr>
      <w:r>
        <w:rPr>
          <w:rFonts w:ascii="Consolas" w:cs="Consolas" w:eastAsia="Consolas" w:hAnsi="Consolas"/>
          <w:sz w:val="17"/>
          <w:szCs w:val="17"/>
        </w:rPr>
        <w:t xml:space="preserve">  count(*) filter (where why_it_matters is not null) as with_why,</w:t>
      </w:r>
    </w:p>
    <w:p>
      <w:pPr>
        <w:shd w:fill="F2F4F8" w:val="clear"/>
        <w:spacing w:after="0"/>
      </w:pPr>
      <w:r>
        <w:rPr>
          <w:rFonts w:ascii="Consolas" w:cs="Consolas" w:eastAsia="Consolas" w:hAnsi="Consolas"/>
          <w:sz w:val="17"/>
          <w:szCs w:val="17"/>
        </w:rPr>
        <w:t xml:space="preserve">  count(*) as total</w:t>
      </w:r>
    </w:p>
    <w:p>
      <w:pPr>
        <w:shd w:fill="F2F4F8" w:val="clear"/>
        <w:spacing w:after="0"/>
      </w:pPr>
      <w:r>
        <w:rPr>
          <w:rFonts w:ascii="Consolas" w:cs="Consolas" w:eastAsia="Consolas" w:hAnsi="Consolas"/>
          <w:sz w:val="17"/>
          <w:szCs w:val="17"/>
        </w:rPr>
        <w:t xml:space="preserve">from company_signals;</w:t>
      </w:r>
    </w:p>
    <w:p>
      <w:pPr>
        <w:spacing w:after="40" w:before="120"/>
      </w:pPr>
      <w:r>
        <w:rPr>
          <w:b/>
          <w:bCs/>
          <w:color w:val="0A2472"/>
          <w:sz w:val="19"/>
          <w:szCs w:val="19"/>
        </w:rPr>
        <w:t xml:space="preserve">table_row_counts</w:t>
      </w:r>
    </w:p>
    <w:p>
      <w:pPr>
        <w:shd w:fill="F2F4F8" w:val="clear"/>
        <w:spacing w:after="0"/>
      </w:pPr>
      <w:r>
        <w:rPr>
          <w:rFonts w:ascii="Consolas" w:cs="Consolas" w:eastAsia="Consolas" w:hAnsi="Consolas"/>
          <w:sz w:val="17"/>
          <w:szCs w:val="17"/>
        </w:rPr>
        <w:t xml:space="preserve">select count(*) from trials;</w:t>
      </w:r>
    </w:p>
    <w:p>
      <w:pPr>
        <w:shd w:fill="F2F4F8" w:val="clear"/>
        <w:spacing w:after="0"/>
      </w:pPr>
      <w:r>
        <w:rPr>
          <w:rFonts w:ascii="Consolas" w:cs="Consolas" w:eastAsia="Consolas" w:hAnsi="Consolas"/>
          <w:sz w:val="17"/>
          <w:szCs w:val="17"/>
        </w:rPr>
        <w:t xml:space="preserve">select count(*) from financial_snapshots;</w:t>
      </w:r>
    </w:p>
    <w:p>
      <w:pPr>
        <w:shd w:fill="F2F4F8" w:val="clear"/>
        <w:spacing w:after="0"/>
      </w:pPr>
      <w:r>
        <w:rPr>
          <w:rFonts w:ascii="Consolas" w:cs="Consolas" w:eastAsia="Consolas" w:hAnsi="Consolas"/>
          <w:sz w:val="17"/>
          <w:szCs w:val="17"/>
        </w:rPr>
        <w:t xml:space="preserve">select count(*) from documents;</w:t>
      </w:r>
    </w:p>
    <w:p>
      <w:pPr>
        <w:shd w:fill="F2F4F8" w:val="clear"/>
        <w:spacing w:after="0"/>
      </w:pPr>
      <w:r>
        <w:rPr>
          <w:rFonts w:ascii="Consolas" w:cs="Consolas" w:eastAsia="Consolas" w:hAnsi="Consolas"/>
          <w:sz w:val="17"/>
          <w:szCs w:val="17"/>
        </w:rPr>
        <w:t xml:space="preserve">select count(*) from regulatory_calendar;</w:t>
      </w:r>
    </w:p>
    <w:p>
      <w:pPr>
        <w:shd w:fill="F2F4F8" w:val="clear"/>
        <w:spacing w:after="0"/>
      </w:pPr>
      <w:r>
        <w:rPr>
          <w:rFonts w:ascii="Consolas" w:cs="Consolas" w:eastAsia="Consolas" w:hAnsi="Consolas"/>
          <w:sz w:val="17"/>
          <w:szCs w:val="17"/>
        </w:rPr>
        <w:t xml:space="preserve">select count(*) from messaging_snapshots;</w:t>
      </w:r>
    </w:p>
    <w:p>
      <w:pPr>
        <w:shd w:fill="F2F4F8" w:val="clear"/>
        <w:spacing w:after="0"/>
      </w:pPr>
      <w:r>
        <w:rPr>
          <w:rFonts w:ascii="Consolas" w:cs="Consolas" w:eastAsia="Consolas" w:hAnsi="Consolas"/>
          <w:sz w:val="17"/>
          <w:szCs w:val="17"/>
        </w:rPr>
        <w:t xml:space="preserve">select count(*) from trial_snapshots;</w:t>
      </w:r>
    </w:p>
    <w:p>
      <w:pPr>
        <w:spacing w:after="40" w:before="120"/>
      </w:pPr>
      <w:r>
        <w:rPr>
          <w:b/>
          <w:bCs/>
          <w:color w:val="0A2472"/>
          <w:sz w:val="19"/>
          <w:szCs w:val="19"/>
        </w:rPr>
        <w:t xml:space="preserve">last_ingest_per_source</w:t>
      </w:r>
    </w:p>
    <w:p>
      <w:pPr>
        <w:shd w:fill="F2F4F8" w:val="clear"/>
        <w:spacing w:after="0"/>
      </w:pPr>
      <w:r>
        <w:rPr>
          <w:rFonts w:ascii="Consolas" w:cs="Consolas" w:eastAsia="Consolas" w:hAnsi="Consolas"/>
          <w:sz w:val="17"/>
          <w:szCs w:val="17"/>
        </w:rPr>
        <w:t xml:space="preserve">select distinct on (source)</w:t>
      </w:r>
    </w:p>
    <w:p>
      <w:pPr>
        <w:shd w:fill="F2F4F8" w:val="clear"/>
        <w:spacing w:after="0"/>
      </w:pPr>
      <w:r>
        <w:rPr>
          <w:rFonts w:ascii="Consolas" w:cs="Consolas" w:eastAsia="Consolas" w:hAnsi="Consolas"/>
          <w:sz w:val="17"/>
          <w:szCs w:val="17"/>
        </w:rPr>
        <w:t xml:space="preserve">  source, status, finished_at, new_signals</w:t>
      </w:r>
    </w:p>
    <w:p>
      <w:pPr>
        <w:shd w:fill="F2F4F8" w:val="clear"/>
        <w:spacing w:after="0"/>
      </w:pPr>
      <w:r>
        <w:rPr>
          <w:rFonts w:ascii="Consolas" w:cs="Consolas" w:eastAsia="Consolas" w:hAnsi="Consolas"/>
          <w:sz w:val="17"/>
          <w:szCs w:val="17"/>
        </w:rPr>
        <w:t xml:space="preserve">from ingest_runs order by source, finished_at desc;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Phamax  ·  Confidential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8F0" w:sz="4" w:space="4"/>
      </w:pBdr>
      <w:jc w:val="right"/>
    </w:pPr>
    <w:r>
      <w:rPr>
        <w:color w:val="6B7280"/>
        <w:sz w:val="16"/>
        <w:szCs w:val="16"/>
      </w:rPr>
      <w:t xml:space="preserve">Ariya Signals  ·  System Overview  ·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A2472"/>
      <w:sz w:val="44"/>
      <w:szCs w:val="44"/>
    </w:rPr>
  </w:style>
  <w:style w:type="paragraph" w:styleId="Heading1">
    <w:name w:val="Heading 1"/>
    <w:basedOn w:val="Normal"/>
    <w:next w:val="Normal"/>
    <w:qFormat/>
    <w:pPr>
      <w:spacing w:after="160" w:before="320"/>
      <w:outlineLvl w:val="0"/>
    </w:pPr>
    <w:rPr>
      <w:rFonts w:ascii="Arial" w:cs="Arial" w:eastAsia="Arial" w:hAnsi="Arial"/>
      <w:b/>
      <w:bCs/>
      <w:color w:val="0A2472"/>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A76F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Ariya Signals — System Overview &amp; Signal Coverage (v2)</dc:title>
  <dc:creator>Ayat Tayebulla</dc:creator>
  <cp:lastModifiedBy>Un-named</cp:lastModifiedBy>
  <cp:revision>1</cp:revision>
  <dcterms:created xsi:type="dcterms:W3CDTF">2026-06-25T07:30:09.709Z</dcterms:created>
  <dcterms:modified xsi:type="dcterms:W3CDTF">2026-06-25T07:30:09.710Z</dcterms:modified>
</cp:coreProperties>
</file>

<file path=docProps/custom.xml><?xml version="1.0" encoding="utf-8"?>
<Properties xmlns="http://schemas.openxmlformats.org/officeDocument/2006/custom-properties" xmlns:vt="http://schemas.openxmlformats.org/officeDocument/2006/docPropsVTypes"/>
</file>