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200"/>
      </w:pPr>
      <w:r>
        <w:t xml:space="preserve">Ariya Signals</w:t>
      </w:r>
    </w:p>
    <w:p>
      <w:pPr>
        <w:spacing w:after="80"/>
      </w:pPr>
      <w:r>
        <w:rPr>
          <w:color w:val="2A76F4"/>
          <w:sz w:val="28"/>
          <w:szCs w:val="28"/>
        </w:rPr>
        <w:t xml:space="preserve">System Overview &amp; Signal Coverage Report</w:t>
      </w:r>
    </w:p>
    <w:p>
      <w:pPr>
        <w:spacing w:after="480"/>
      </w:pPr>
      <w:r>
        <w:rPr>
          <w:i/>
          <w:iCs/>
          <w:color w:val="6B7280"/>
          <w:sz w:val="22"/>
          <w:szCs w:val="22"/>
        </w:rPr>
        <w:t xml:space="preserve">A competitive-intelligence platform for the HAE therapeutic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Ayat Tayebulla, Phamax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 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iteration-5 (production)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ariya-signals-one.vercel.app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as of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 June 2026 (live pull from production database)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v2 — updated with ChEMBL, cleaning logic, relevance criteria, full table inventory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Ariya Signals is a competitive-intelligence platform that automatically collects, organises, and surfaces market-moving developments about the companies competing in hereditary angioedema (HAE). It replaces manual monitoring of regulatory filings, clinical-trial registries, scientific literature, and company announcements with a single, continuously refreshed feed.</w:t>
      </w:r>
    </w:p>
    <w:p>
      <w:pPr>
        <w:spacing w:after="120"/>
      </w:pPr>
      <w:r>
        <w:t xml:space="preserve">The platform currently holds 379 intelligence signals spanning eight tracked competitors, drawn from eight live external data sources. It is a working production system: users sign in with their own account, configure which drug they are tracking and which competitors to follow, and receive a personalised feed of alerts with a plain-language explanation of why each development matters.</w:t>
      </w:r>
    </w:p>
    <w:p>
      <w:pPr>
        <w:spacing w:after="80"/>
      </w:pPr>
      <w:r>
        <w:rPr>
          <w:b/>
          <w:bCs/>
        </w:rPr>
        <w:t xml:space="preserve">At a glance: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379 signals</w:t>
      </w:r>
      <w:r>
        <w:t xml:space="preserve"> collected to date, spanning December 2020 to July 2026.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competitors</w:t>
      </w:r>
      <w:r>
        <w:t xml:space="preserve"> tracked, led by Takeda (134 signals) and BioCryst (77).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live data sources</w:t>
      </w:r>
      <w:r>
        <w:t xml:space="preserve"> — SEC EDGAR, PubMed, ClinicalTrials.gov, openFDA, Federal Register, NICE HTA, EMA calendar, and Firecrawl web scraping.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ChEMBL</w:t>
      </w:r>
      <w:r>
        <w:t xml:space="preserve"> (EBI drug database) provides on-demand drug search during user setup — enabling any HAE drug to be tracked, not only the three built-in assets.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64 new signals</w:t>
      </w:r>
      <w:r>
        <w:t xml:space="preserve"> in the last 90 days; all sources last refreshed 24 June 2026.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Key strengths: </w:t>
      </w:r>
      <w:r>
        <w:t xml:space="preserve">broad automated coverage of primary sources; a hybrid change-detection engine that fires only on genuine content shifts (not rotating banners); per-user personalised feeds with cross-device read state; and a three-gate cleaning pipeline that presents only readable, relevant intelligence.</w:t>
      </w:r>
    </w:p>
    <w:p>
      <w:r>
        <w:rPr>
          <w:b/>
          <w:bCs/>
        </w:rPr>
        <w:t xml:space="preserve">Known gaps: </w:t>
      </w:r>
      <w:r>
        <w:t xml:space="preserve">the three change-detection pipelines (clinical-trial status, FDA label updates, competitor website messaging) are fully built but waiting for their first production run to emit signals; the plain-language "why it matters" explanation covers about half of all signals; and two screens (Pricing &amp; Access, Market Developments) still show sample data pending live ingest.</w:t>
      </w:r>
    </w:p>
    <w:p>
      <w:r>
        <w:br w:type="page"/>
      </w:r>
    </w:p>
    <w:p>
      <w:pPr>
        <w:pStyle w:val="Heading1"/>
      </w:pPr>
      <w:r>
        <w:t xml:space="preserve">2. How the system works</w:t>
      </w:r>
    </w:p>
    <w:p>
      <w:pPr>
        <w:spacing w:after="120"/>
      </w:pPr>
      <w:r>
        <w:t xml:space="preserve">The data flow runs in four stages: Collect → Store → Refine → Surface. The following sections explain each stage. Two important structural notes: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central feed. </w:t>
      </w:r>
      <w:r>
        <w:t xml:space="preserve">Most sources flow into a single "company signals" table — the backbone of the Alerts page and War Room. Specialised data (financials, trials, regulatory calendar, documents) lives in dedicated tables powering specific tabs on the competitor profile pages.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Refining happens in two places. </w:t>
      </w:r>
      <w:r>
        <w:t xml:space="preserve">Some cleaning and enrichment runs at ingest time (boilerplate removal, deduplication, first-run-silence, "why it matters" generation). Further scoring runs at read time when a user opens the app (relevance check, importance scoring, label translation).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Stage 1 — Collect: data sources</w:t>
      </w:r>
    </w:p>
    <w:p>
      <w:pPr>
        <w:spacing w:after="120"/>
      </w:pPr>
      <w:r>
        <w:t xml:space="preserve">Eight live sources are polled automatically. ChEMBL is used on demand during user setup, not on a recurring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capture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 table(s)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 EDGAR (8-K / 6-K / 20-F)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Deals, executive changes, press releases, earnings calls. Classified by SEC item code (1.01/2.01 = deal; 5.02 = exec change; 8.01 = press release) or text heuristics for foreign filings (6-K).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PubMed (E-utilities)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scientific publications mentioning tracked drug names or HAE terms.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ClinicalTrials.gov 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Trial status, phase, dates, sites, sponsor — searched by INN + all synonyms. Diff engine compares against stored hash baseline.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trials, trial_snapshots, company_signals (on change)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openFDA labels (Deno edge fn)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FDA drug label section text — hash-diff detects label version changes.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label_snapshots, company_signals (on change)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Federal Register (FDA docs API)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Drug-related FDA regulatory actions and public meetings.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regulatory_calendar, company_signals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NICE HTA (Deno edge fn)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UK health-technology assessment recommendations.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hta_decisions, company_signals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 CHMP / PRAC calendar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Upcoming European Medicines Agency committee meetings.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regulatory_calendar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Firecrawl web scraping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 newsrooms (CSL, Takeda, congress abstracts, investor relations), and competitor product pages for messaging drift detection.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company_signals, messaging_snapshots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ChEMBL — on demand only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Drug name lookup at user setup: INN, ChEMBL ID, development phase, all synonyms and research codes (e.g. KVD-900), ATC codes. Populates the tracking asset config and the synonym list used for relevance scoring.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Used at setup; results stored in user session / assets config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Stage 2 — Store: the database</w:t>
      </w:r>
    </w:p>
    <w:p>
      <w:pPr>
        <w:spacing w:after="120"/>
      </w:pPr>
      <w:r>
        <w:t xml:space="preserve">All data lands in a Supabase PostgreSQL database. Section 5 lists every table in full. The central table is company_signals (379 rows today). Supporting tables provide richer detail for the competitor profile pages. Per-user tables store personal configuration isolated by account.</w:t>
      </w:r>
    </w:p>
    <w:p>
      <w:pPr>
        <w:pStyle w:val="Heading2"/>
      </w:pPr>
      <w:r>
        <w:t xml:space="preserve">Stage 3 — Refine: clean, gate, score, explain</w:t>
      </w:r>
    </w:p>
    <w:p>
      <w:pPr>
        <w:spacing w:after="120"/>
      </w:pPr>
      <w:r>
        <w:t xml:space="preserve">Every signal passes through up to four refining steps before it reaches a user. The first two happen at ingest time; the last two happen at read time.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Step 1 — Boilerplate and machine-code removal (ingest time)</w:t>
      </w:r>
    </w:p>
    <w:p>
      <w:pPr>
        <w:spacing w:after="120"/>
      </w:pPr>
      <w:r>
        <w:t xml:space="preserve">SEC filings contain two categories of non-readable content that must be stripped before a signal can be shown: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Boilerplate: </w:t>
      </w:r>
      <w:r>
        <w:t xml:space="preserve">Standard legal and cover-page language that appears identically in every filing and carries no intelligence value. Examples: "SECURITIES AND EXCHANGE COMMISSION, WASHINGTON, D.C. 20549"; standard item headings like "Entry into a Material Definitive Agreement".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Machine codes: </w:t>
      </w:r>
      <w:r>
        <w:t xml:space="preserve">Technical metadata left over from the electronic filing system — XBRL namespace prefixes (xbrli:, dei:, iso4217:), raw CIK numbers (10-digit company identifiers), SEC accession numbers in XXXXXXXXXX-YY-ZZZZZZ format, exhibit filenames (exhibit991_051326.htm, EX-99.1), and HTML entities (&amp;amp;, &amp;#x2022;).</w:t>
      </w:r>
    </w:p>
    <w:p>
      <w:pPr>
        <w:spacing w:after="120"/>
      </w:pPr>
      <w:r>
        <w:t xml:space="preserve">After stripping, three structural tests confirm the remaining text is genuine prose: at least 60% alphabetic characters (rejects digit/symbol-heavy rows), at least one run of three consecutive lowercase letters (rejects ALL-CAPS blobs), and at least five meaningful English words of 3+ characters.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Step 2 — Deduplication and first-run silence (ingest time)</w:t>
      </w:r>
    </w:p>
    <w:p>
      <w:pPr>
        <w:spacing w:after="120"/>
      </w:pPr>
      <w:r>
        <w:t xml:space="preserve">Each signal is fingerprinted with a SHA-256 content hash (source_hash) before writing. Ingest scripts check for an existing row with that hash before inserting, so re-running a source never creates duplicate alerts.</w:t>
      </w:r>
    </w:p>
    <w:p>
      <w:pPr>
        <w:spacing w:after="120"/>
      </w:pPr>
      <w:r>
        <w:t xml:space="preserve">The three change-detection pipelines (trials, FDA labels, competitor messaging) additionally operate in "first-run-silence" mode: on the very first run against a new entity, they seed a baseline snapshot and emit no signal. Alerts are only emitted on subsequent runs when the content hash has changed — preventing a flood of false "new" alerts on day one of a new deployment.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Step 3 — Relevance check (read time)</w:t>
      </w:r>
    </w:p>
    <w:p>
      <w:pPr>
        <w:spacing w:after="120"/>
      </w:pPr>
      <w:r>
        <w:t xml:space="preserve">When a user opens the War Room or Alerts page, each signal in the live feed is checked against the user's personally configured drug-and-disease lexicon to determine whether it relates to their tracked therapeutic area.</w:t>
      </w:r>
    </w:p>
    <w:p>
      <w:pPr>
        <w:spacing w:after="120"/>
      </w:pPr>
      <w:r>
        <w:t xml:space="preserve">A signal passes if its headline or body excerpt contains at least one term from either of two lists the user configured during onboarding: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 synonyms</w:t>
      </w:r>
      <w:r>
        <w:t xml:space="preserve"> — approximately 15 drug name variants per tracked asset, pulled from ChEMBL synonyms plus a curated list. For a user tracking sebetralstat / Ekterly, these include: "ekterly", "sebetralstat", "KVD-900", "KVD900", "plasma kallikrein inhibitor" and others. This catches signals that mention any commercial, generic, or research-code name for the drug.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Therapeutic area terms</w:t>
      </w:r>
      <w:r>
        <w:t xml:space="preserve"> — approximately 10–15 disease and drug-class terms specific to the indication. For HAE: "hereditary angioedema", "HAE", "bradykinin", "plasma kallikrein", "C1-INH", "lanadelumab", "berotralstat", and others.</w:t>
      </w:r>
    </w:p>
    <w:p>
      <w:pPr>
        <w:spacing w:after="120"/>
      </w:pPr>
      <w:r>
        <w:t xml:space="preserve">Rationale: without this gate, filings from a large competitor like Takeda — which operates across oncology, rare disease, GI, and neuroscience — would flood the feed with signals irrelevant to HAE. The relevance check narrows the 90-day window from hundreds of signals to the roughly 12–15 that concern the user's specific drug and indication.</w:t>
      </w:r>
    </w:p>
    <w:p>
      <w:pPr>
        <w:spacing w:after="120"/>
      </w:pPr>
      <w:r>
        <w:t xml:space="preserve">Signals that fail the relevance check are not discarded. They remain in the database and are shown in the full feed — but their importance level is capped at LOW. Executive changes and deals are kept at MEDIUM regardless of lexicon match, because leadership moves and M&amp;A are strategically important even when they do not explicitly mention the drug name.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Step 4 — Importance scoring (read time)</w:t>
      </w:r>
    </w:p>
    <w:p>
      <w:pPr>
        <w:spacing w:after="120"/>
      </w:pPr>
      <w:r>
        <w:t xml:space="preserve">Relevant signals are assigned a tier (HIGH / MEDIUM / LOW) based on a keyword and item-code scoring rule: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M&amp;A completions (SEC item 2.01), NDA/BLA/MAA regulatory filings, PDUFA dates, advisory committee notices, HTA decisions, label expansion.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 xml:space="preserve">Early-phase trial starts, interim readouts, earnings disclosures, C-suite appointments, guideline updates. Any MEDIUM signal within 60 days of its date is promoted to HIGH (imminent-catalyst bump).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LOW: </w:t>
      </w:r>
      <w:r>
        <w:t xml:space="preserve">Press releases, investor relations updates, publications with no specific trial milestone.</w:t>
      </w:r>
    </w:p>
    <w:p>
      <w:pPr>
        <w:pStyle w:val="Heading2"/>
      </w:pPr>
      <w:r>
        <w:t xml:space="preserve">Stage 4 — Surface: where users see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 Room (/): </w:t>
      </w:r>
      <w:r>
        <w:t xml:space="preserve">Top 5 signals that are both readable and relevant, sorted by importance then recency. Market weather, weekly digest, and tracked-competitor cards.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Alerts feed (/alerts): </w:t>
      </w:r>
      <w:r>
        <w:t xml:space="preserve">Full 180-day personalised feed with competitor/type/source filters and per-user read/unread state persisted to the database.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Competitor profiles (/competitors/:id): </w:t>
      </w:r>
      <w:r>
        <w:t xml:space="preserve">Pipeline (Gantt from live CT.gov data), Company (financials), Key Events (regulatory + HTA milestones), and Messaging (product-page snapshot, when available).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 Feed (/intelligence): </w:t>
      </w:r>
      <w:r>
        <w:t xml:space="preserve">Regulatory calendar (EMA + FDA upcoming events), documents, and market developments.</w:t>
      </w:r>
    </w:p>
    <w:p>
      <w:r>
        <w:br w:type="page"/>
      </w:r>
    </w:p>
    <w:p>
      <w:pPr>
        <w:pStyle w:val="Heading1"/>
      </w:pPr>
      <w:r>
        <w:t xml:space="preserve">3. Signal coverage and distribution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All figures pulled live from the production database on 25 June 2026. Named queries are in Appendix B.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Total and recency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signals in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Signals in the last 90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Signals in the last 180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 range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 Dec 2020 – 1 Jul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"Why it matters"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187 of 379 (49%)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By competitor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880"/>
        <w:gridCol w:w="188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Takeda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BioCryst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77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Ionis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CSL Behring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Pharvaris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Intellia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Adverum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Astria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2%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A small "congress" bucket of 8 abstracts is not attributed to a specific company and is excluded above.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By signal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Press release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Scientific publication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Executive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Deal / partnership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Congress abstract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HTA 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 catalyst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Three newer signal types — trial_update, label_update, and messaging_shift — show 0 today because their change-detection baselines have not yet completed a first production run. This is expected behaviour (first-run silence by design).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By data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 EDGAR (filings)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192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PubMed (publications)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Congress (Firecrawl)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EU HTA (Firecrawl)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IR (Firecrawl)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IR RSS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NICE HTA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What else you should know</w:t>
      </w:r>
    </w:p>
    <w:p>
      <w:pPr>
        <w:pStyle w:val="Heading2"/>
      </w:pPr>
      <w:r>
        <w:t xml:space="preserve">Live data vs. sample data</w:t>
      </w:r>
    </w:p>
    <w:p>
      <w:pPr>
        <w:spacing w:after="120"/>
      </w:pPr>
      <w:r>
        <w:t xml:space="preserve">The core experience — alerts, competitor pipelines, financials, key events, and source documents — runs entirely on live data. Two minor screens (Pricing &amp; Access, and the Market Developments tab) still display illustrative sample data, flagged for a future update.</w:t>
      </w:r>
    </w:p>
    <w:p>
      <w:pPr>
        <w:pStyle w:val="Heading2"/>
      </w:pPr>
      <w:r>
        <w:t xml:space="preserve">User accounts</w:t>
      </w:r>
    </w:p>
    <w:p>
      <w:pPr>
        <w:spacing w:after="120"/>
      </w:pPr>
      <w:r>
        <w:t xml:space="preserve">As of this release, users sign in with their own email-and-password account (Google and Microsoft SSO have been removed pending IT sign-off). Each user has a private profile storing their tracked asset, indication, competitor watchlist, and read/unread alert state — all stored securely in the database, isolated by account, and synchronised across devices. One pilot account is currently active.</w:t>
      </w:r>
    </w:p>
    <w:p>
      <w:pPr>
        <w:pStyle w:val="Heading2"/>
      </w:pPr>
      <w:r>
        <w:t xml:space="preserve">Data integrity safeguards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Anti-hallucination guard: </w:t>
      </w:r>
      <w:r>
        <w:t xml:space="preserve">any text extracted from a scraped web page is cross-checked against the raw page content — if the extracted headline cannot be found word-for-word in the real page, it is rejected as a potential LLM fabrication.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gate for change detection: </w:t>
      </w:r>
      <w:r>
        <w:t xml:space="preserve">the messaging and label diff engines run in two stages — first hashing normalized page content to detect a candidate change, then re-running a structured extraction and comparing field values — to avoid firing on rotating banners or cosmetic edits that do not reflect a genuine messaging shift.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Readability gate: </w:t>
      </w:r>
      <w:r>
        <w:t xml:space="preserve">regulatory-filing boilerplate and machine codes are filtered out before any signal reaches a user (see Stage 3, Step 1 above).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Deduplication: </w:t>
      </w:r>
      <w:r>
        <w:t xml:space="preserve">every signal carries a SHA-256 content fingerprint; re-running any source never creates duplicate alerts.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First-run silence: </w:t>
      </w:r>
      <w:r>
        <w:t xml:space="preserve">change-detection engines establish a baseline on first run and only alert on genuine subsequent changes.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Per-user data isolation: </w:t>
      </w:r>
      <w:r>
        <w:t xml:space="preserve">personal data is protected with row-level security policies that enforce "each user can only read and write their own rows."</w:t>
      </w:r>
    </w:p>
    <w:p>
      <w:pPr>
        <w:pStyle w:val="Heading2"/>
      </w:pPr>
      <w:r>
        <w:t xml:space="preserve">How data stays current</w:t>
      </w:r>
    </w:p>
    <w:p>
      <w:pPr>
        <w:spacing w:after="120"/>
      </w:pPr>
      <w:r>
        <w:t xml:space="preserve">Each source runs on an automated schedule. As of 24 June 2026 every source had completed a successful run within the preceding day. The table below shows last-run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144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Last run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signals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Jun 2026 10:50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EU HTA (Firecrawl)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Jun 2026 10:13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IR (Firecrawl)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Jun 2026 07:06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Takeda (Firecrawl)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Jun 2026 06:57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CSL Behring (Firecrawl)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Jun 2026 06:49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Congress (Firecrawl)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Jun 2026 06:28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IR RSS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Jun 2026 06:00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Partial (non-fatal)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NICE HTA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 Jun 2026 20:10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Federal Register / FDA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 Jun 2026 16:53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openFDA labels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 Jun 2026 09:36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Known limitations and roadmap</w:t>
      </w:r>
    </w:p>
    <w:p>
      <w:pPr>
        <w:pStyle w:val="ListParagraph"/>
        <w:numPr>
          <w:ilvl w:val="0"/>
          <w:numId w:val="2"/>
        </w:numPr>
      </w:pPr>
      <w:r>
        <w:t xml:space="preserve">Bring the three change-detection pipelines (trials, labels, messaging) into their first live production run so they begin emitting alerts.</w:t>
      </w:r>
    </w:p>
    <w:p>
      <w:pPr>
        <w:pStyle w:val="ListParagraph"/>
        <w:numPr>
          <w:ilvl w:val="0"/>
          <w:numId w:val="2"/>
        </w:numPr>
      </w:pPr>
      <w:r>
        <w:t xml:space="preserve">Raise "why it matters" coverage above the current ~49%.</w:t>
      </w:r>
    </w:p>
    <w:p>
      <w:pPr>
        <w:pStyle w:val="ListParagraph"/>
        <w:numPr>
          <w:ilvl w:val="0"/>
          <w:numId w:val="2"/>
        </w:numPr>
      </w:pPr>
      <w:r>
        <w:t xml:space="preserve">Wire the Pricing and Market Developments screens to live data.</w:t>
      </w:r>
    </w:p>
    <w:p>
      <w:pPr>
        <w:pStyle w:val="ListParagraph"/>
        <w:numPr>
          <w:ilvl w:val="0"/>
          <w:numId w:val="2"/>
        </w:numPr>
      </w:pPr>
      <w:r>
        <w:t xml:space="preserve">Add AI-generated theme grouping of alerts (currently a flat live stream).</w:t>
      </w:r>
    </w:p>
    <w:p>
      <w:pPr>
        <w:pStyle w:val="ListParagraph"/>
        <w:numPr>
          <w:ilvl w:val="0"/>
          <w:numId w:val="2"/>
        </w:numPr>
      </w:pPr>
      <w:r>
        <w:t xml:space="preserve">Expand ChEMBL-linked asset tracking to non-HAE indications (PNH and PBC assets are pre-configured but lightly tested).</w:t>
      </w:r>
    </w:p>
    <w:p>
      <w:r>
        <w:br w:type="page"/>
      </w:r>
    </w:p>
    <w:p>
      <w:pPr>
        <w:pStyle w:val="Heading1"/>
      </w:pPr>
      <w:r>
        <w:t xml:space="preserve">5. Database table inventory</w:t>
      </w:r>
    </w:p>
    <w:p>
      <w:pPr>
        <w:spacing w:after="120"/>
      </w:pPr>
      <w:r>
        <w:t xml:space="preserve">Beyond the central company_signals feed, the system maintains the following tables. Row counts are live as of 25 June 2026.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9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Clinical trials (CT.gov)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Profile → Pipeline tab (Gantt, trial design)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trial_snapshots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CT.gov diff baselines (ingest only)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Change-detection engine — never shown directly in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financial_snapshots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Revenue + R&amp;D spend per FY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Profile → Company tab (financial tile)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label_snapshots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FDA label section hashes (ingest only)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Change-detection engine — never shown directly in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messaging_snapshots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Product-page messaging baselines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Profile → Messaging tab (when populated)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regulatory_calendar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EMA/FDA upcoming meetings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 Room → Upcoming Events; Intelligence Feed → Events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regulatory_events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FDA/EMA approval decisions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Profile → Key Events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hta_decisions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NICE HTA assessments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Profile → Key Events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10-K, FDA labels, EPARs, NICE 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Profile → Messaging tab → Source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Drug registry (INN, synonyms, owner)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Resolves drug names; links trials to competitors; drives relevance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company_summaries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90-day AI narrative per competitor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 Room → Competitor card narration paragraph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market_intelligence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Editorial strategic implications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 Room → Market Implications (paywalled section)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ingest_runs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Ingest audit 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page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user_profiles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Per-user onboarding state + asset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AppContext on sign-in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watched_assets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Per-user competitor watchlist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AppContext on sign-in; drives all watchlist-scoped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read_alerts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Per-user alert read/unread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AlertsPage, NavPanel badge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trial_snapshots and label_snapshots have 0 rows today because the change-detection pipelines have not yet run in production. messaging_snapshots has 0 rows for the same reason — the competitor website scraper has not yet completed its first run.</w:t>
      </w:r>
    </w:p>
    <w:p>
      <w:r>
        <w:br w:type="page"/>
      </w:r>
    </w:p>
    <w:p>
      <w:pPr>
        <w:pStyle w:val="Heading1"/>
      </w:pPr>
      <w:r>
        <w:t xml:space="preserve">Appendix A — Per-source field detail</w:t>
      </w:r>
    </w:p>
    <w:p>
      <w:pPr>
        <w:spacing w:after="120"/>
      </w:pPr>
      <w:r>
        <w:t xml:space="preserve">Technical reference: the specific fields captured from each external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 captured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 type emitted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 EDGAR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form, filing date, accession number, item codes (1.01/2.01/5.02/8.01), document prose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company_signals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deal, exec_change, press_release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 XBRL + GlobeNewswire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Revenue/R&amp;D XBRL concept values, currency, fiscal 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financial_snapshots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 (no signal)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ClinicalTrials.gov 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NCT id, title, overallStatus, phases, start/completion dates, conditions, interventions, sponsor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trials, trial_snapshots, company_signals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trial_update (on hash change)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openFDA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application_no, sections_hash, label_version, raw_label_json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label_snapshots, company_signals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label_update (on hash change)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PubMed (E-utilities)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PMID, title, journal, authors, publication date, abstract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company_signals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Federal 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document_number, title, abstract, action, publication_date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regulatory_calendar, company_signals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regulatory_catalyst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NICE HTA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guidanceRef, title, decision_date, decision_type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hta_decisions, company_signals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hta_decision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IR RSS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title, link,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company_signals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press_release / ir_rss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 CHMP/PRAC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event_type, title, start_date, end_date, source_url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regulatory_calendar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 (no signal)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Firecrawl web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title/date/summary (press rooms); coreMessage/pillars (messaging drift)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company_signals, messaging_snapshots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messaging_shift (on field diff)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ChEMBL — on demand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inn, chembl_id, max_phase, drug_type, synonyms[], research_codes[], atc_codes[], usan_stem_label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Used at onboarding; configures tracking asset and relevance lexicon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 (no recurring ingest)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b/>
          <w:bCs/>
          <w:sz w:val="19"/>
          <w:szCs w:val="19"/>
        </w:rPr>
        <w:t xml:space="preserve">Cleaning chain applied to all signals at read time: </w:t>
      </w:r>
      <w:r>
        <w:rPr>
          <w:color w:val="6B7280"/>
          <w:sz w:val="18"/>
          <w:szCs w:val="18"/>
        </w:rPr>
        <w:t xml:space="preserve">HTML entity decode → SEC boilerplate strip → machine-code strip → prose gate (60% alpha + 5 prose words + lowercase run) → relevance check (INN + TA lexicon) → importance score (HIGH/MEDIUM/LOW) → "why it matters" (DB column or template fallback) → UI label translation (signal_type → friendly name, severity → colour tier).</w:t>
      </w:r>
    </w:p>
    <w:p>
      <w:r>
        <w:br w:type="page"/>
      </w:r>
    </w:p>
    <w:p>
      <w:pPr>
        <w:pStyle w:val="Heading1"/>
      </w:pPr>
      <w:r>
        <w:t xml:space="preserve">Appendix B — Named database queries</w:t>
      </w:r>
    </w:p>
    <w:p>
      <w:pPr>
        <w:spacing w:after="120"/>
      </w:pPr>
      <w:r>
        <w:t xml:space="preserve">The distribution figures in Section 3 were produced by the following read-only queries. Each is named so it can be saved and re-run from the Supabase SQL editor to refresh the report.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total_signals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company_signals;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signals_per_competitor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competitor_id, count(*)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company_signals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group by competitor_id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order by count(*) desc;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signals_per_type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signal_type, count(*)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company_signals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group by signal_type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order by count(*) desc;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signals_per_data_source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data_source, count(*)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company_signals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group by data_source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order by count(*) desc;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signals_last_90_days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company_signals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where date &gt;= current_date - interval '90 days';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signal_why_coverage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count(*) filter (where why_it_matters is not null) as with_why,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count(*) as total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company_signals;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table_row_counts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Run separately for each table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trials;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financial_snapshots;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documents;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regulatory_calendar;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messaging_snapshots;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trial_snapshots;</w:t>
      </w:r>
    </w:p>
    <w:p>
      <w:pPr>
        <w:spacing w:after="40" w:before="120"/>
      </w:pPr>
      <w:r>
        <w:rPr>
          <w:b/>
          <w:bCs/>
          <w:color w:val="0A2472"/>
          <w:sz w:val="19"/>
          <w:szCs w:val="19"/>
        </w:rPr>
        <w:t xml:space="preserve">last_ingest_per_source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distinct on (source)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source, status, finished_at, new_signals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ingest_runs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order by source, finished_at desc;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Phamax  ·  Confidential  ·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jc w:val="right"/>
    </w:pPr>
    <w:r>
      <w:rPr>
        <w:color w:val="6B7280"/>
        <w:sz w:val="16"/>
        <w:szCs w:val="16"/>
      </w:rPr>
      <w:t xml:space="preserve">Ariya Signals  ·  System Overview  ·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A2472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4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A76F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Ariya Signals — System Overview &amp; Signal Coverage (v2)</dc:title>
  <dc:creator>Ayat Tayebulla</dc:creator>
  <cp:lastModifiedBy>Un-named</cp:lastModifiedBy>
  <cp:revision>1</cp:revision>
  <dcterms:created xsi:type="dcterms:W3CDTF">2026-06-25T06:44:08.119Z</dcterms:created>
  <dcterms:modified xsi:type="dcterms:W3CDTF">2026-06-25T06:44:08.120Z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