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1200"/>
      </w:pPr>
      <w:r>
        <w:t xml:space="preserve">Ariya Signals</w:t>
      </w:r>
    </w:p>
    <w:p>
      <w:pPr>
        <w:spacing w:after="240"/>
      </w:pPr>
      <w:r>
        <w:rPr>
          <w:color w:val="2A76F4"/>
          <w:sz w:val="28"/>
          <w:szCs w:val="28"/>
        </w:rPr>
        <w:t xml:space="preserve">System Overview &amp; Signal Coverage Report</w:t>
      </w:r>
    </w:p>
    <w:p>
      <w:pPr>
        <w:spacing w:after="480"/>
      </w:pPr>
      <w:r>
        <w:rPr>
          <w:i/>
          <w:iCs/>
          <w:color w:val="6B7280"/>
          <w:sz w:val="22"/>
          <w:szCs w:val="22"/>
        </w:rPr>
        <w:t xml:space="preserve">A competitive-intelligence platform for the HAE therapeutic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Field</w:t>
            </w:r>
          </w:p>
        </w:tc>
        <w:tc>
          <w:tcPr>
            <w:tcW w:type="dxa" w:w="468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Prepared by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Ayat Tayebulla, Phamax</w:t>
            </w:r>
          </w:p>
        </w:tc>
      </w:tr>
      <w:tr>
        <w:tc>
          <w:tcPr>
            <w:tcW w:type="dxa" w:w="46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Date</w:t>
            </w:r>
          </w:p>
        </w:tc>
        <w:tc>
          <w:tcPr>
            <w:tcW w:type="dxa" w:w="46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25 June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Release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iteration-5 (in production)</w:t>
            </w:r>
          </w:p>
        </w:tc>
      </w:tr>
      <w:tr>
        <w:tc>
          <w:tcPr>
            <w:tcW w:type="dxa" w:w="46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Live application</w:t>
            </w:r>
          </w:p>
        </w:tc>
        <w:tc>
          <w:tcPr>
            <w:tcW w:type="dxa" w:w="46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ariya-signals-one.vercel.app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Data as of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25 June 2026 (pulled live from production database)</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Ariya Signals is a competitive-intelligence platform that automatically collects, organises, and surfaces market-moving developments about the companies competing in hereditary angioedema (HAE). It replaces the manual work of monitoring regulatory filings, clinical-trial registries, scientific literature, and company announcements with a single, continuously refreshed feed.</w:t>
      </w:r>
    </w:p>
    <w:p>
      <w:pPr>
        <w:spacing w:after="120"/>
      </w:pPr>
      <w:r>
        <w:t xml:space="preserve">The platform today holds 379 intelligence signals spanning eight tracked competitors, drawn from seven live external data sources. It is a working production system: users sign in with their own account, choose which competitors to follow, and receive a personalised feed of alerts with a plain-language explanation of why each development matters.</w:t>
      </w:r>
    </w:p>
    <w:p>
      <w:pPr>
        <w:spacing w:after="80"/>
      </w:pPr>
      <w:r>
        <w:rPr>
          <w:b/>
          <w:bCs/>
        </w:rPr>
        <w:t xml:space="preserve">At a glance:</w:t>
      </w:r>
    </w:p>
    <w:p>
      <w:pPr>
        <w:pStyle w:val="ListParagraph"/>
        <w:numPr>
          <w:ilvl w:val="0"/>
          <w:numId w:val="2"/>
        </w:numPr>
      </w:pPr>
      <w:r>
        <w:rPr>
          <w:b/>
          <w:bCs/>
        </w:rPr>
        <w:t xml:space="preserve">379 signals</w:t>
      </w:r>
      <w:r>
        <w:t xml:space="preserve"> collected to date, spanning December 2020 to July 2026.</w:t>
      </w:r>
    </w:p>
    <w:p>
      <w:pPr>
        <w:pStyle w:val="ListParagraph"/>
        <w:numPr>
          <w:ilvl w:val="0"/>
          <w:numId w:val="2"/>
        </w:numPr>
      </w:pPr>
      <w:r>
        <w:rPr>
          <w:b/>
          <w:bCs/>
        </w:rPr>
        <w:t xml:space="preserve">8 competitors</w:t>
      </w:r>
      <w:r>
        <w:t xml:space="preserve"> tracked, led by Takeda (134 signals) and BioCryst (77).</w:t>
      </w:r>
    </w:p>
    <w:p>
      <w:pPr>
        <w:pStyle w:val="ListParagraph"/>
        <w:numPr>
          <w:ilvl w:val="0"/>
          <w:numId w:val="2"/>
        </w:numPr>
      </w:pPr>
      <w:r>
        <w:rPr>
          <w:b/>
          <w:bCs/>
        </w:rPr>
        <w:t xml:space="preserve">7 live data sources</w:t>
      </w:r>
      <w:r>
        <w:t xml:space="preserve">, led by regulatory filings (SEC EDGAR) and scientific literature (PubMed).</w:t>
      </w:r>
    </w:p>
    <w:p>
      <w:pPr>
        <w:pStyle w:val="ListParagraph"/>
        <w:numPr>
          <w:ilvl w:val="0"/>
          <w:numId w:val="2"/>
        </w:numPr>
      </w:pPr>
      <w:r>
        <w:rPr>
          <w:b/>
          <w:bCs/>
        </w:rPr>
        <w:t xml:space="preserve">64 signals in the last 90 days</w:t>
      </w:r>
      <w:r>
        <w:t xml:space="preserve"> — the feed is actively refreshed; most sources last updated 24 June 2026.</w:t>
      </w:r>
    </w:p>
    <w:p>
      <w:pPr>
        <w:spacing w:after="80" w:before="80"/>
      </w:pPr>
      <w:r>
        <w:rPr>
          <w:b/>
          <w:bCs/>
        </w:rPr>
        <w:t xml:space="preserve">Key strengths: </w:t>
      </w:r>
      <w:r>
        <w:t xml:space="preserve">broad automated coverage of primary sources, an anti-hallucination safeguard on all scraped content, and a per-user personalised feed now live in production.</w:t>
      </w:r>
    </w:p>
    <w:p>
      <w:r>
        <w:rPr>
          <w:b/>
          <w:bCs/>
        </w:rPr>
        <w:t xml:space="preserve">Known gaps: </w:t>
      </w:r>
      <w:r>
        <w:t xml:space="preserve">three newly built change-detection pipelines (clinical-trial, drug-label, and website-messaging change alerts) are wired but have not yet emitted their first signals; the plain-language “why it matters” explanation is present on about half of signals; and two minor screens (pricing, market developments) still show illustrative sample data rather than live data.</w:t>
      </w:r>
    </w:p>
    <w:p>
      <w:pPr>
        <w:pStyle w:val="Heading1"/>
      </w:pPr>
      <w:r>
        <w:t xml:space="preserve">2. How the system works</w:t>
      </w:r>
    </w:p>
    <w:p>
      <w:pPr>
        <w:spacing w:after="120"/>
      </w:pPr>
      <w:r>
        <w:t xml:space="preserve">The data flow you sketched is correct: data is fetched from external sources, stored, transformed, and emitted to the user interface. In practice the pipeline runs in four stages, and two details are worth adding.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2FB" w:val="clear"/>
            <w:tcMar>
              <w:top w:type="dxa" w:w="140"/>
              <w:left w:type="dxa" w:w="120"/>
              <w:bottom w:type="dxa" w:w="140"/>
              <w:right w:type="dxa" w:w="120"/>
            </w:tcMar>
            <w:vAlign w:val="center"/>
          </w:tcPr>
          <w:p>
            <w:pPr>
              <w:spacing w:after="40"/>
              <w:jc w:val="center"/>
            </w:pPr>
            <w:r>
              <w:rPr>
                <w:b/>
                <w:bCs/>
                <w:color w:val="0A2472"/>
                <w:sz w:val="19"/>
                <w:szCs w:val="19"/>
              </w:rPr>
              <w:t xml:space="preserve">1. COLLECT</w:t>
            </w:r>
          </w:p>
          <w:p>
            <w:pPr>
              <w:jc w:val="center"/>
            </w:pPr>
            <w:r>
              <w:rPr>
                <w:color w:val="6B7280"/>
                <w:sz w:val="16"/>
                <w:szCs w:val="16"/>
              </w:rPr>
              <w:t xml:space="preserve">Pull from external sources</w:t>
            </w:r>
          </w:p>
        </w:tc>
        <w:tc>
          <w:tcPr>
            <w:tcW w:type="dxa" w:w="2340"/>
            <w:tcBorders>
              <w:top w:val="single" w:color="CCCCCC" w:sz="1"/>
              <w:left w:val="single" w:color="CCCCCC" w:sz="1"/>
              <w:bottom w:val="single" w:color="CCCCCC" w:sz="1"/>
              <w:right w:val="single" w:color="CCCCCC" w:sz="1"/>
            </w:tcBorders>
            <w:shd w:fill="D5E8F0" w:val="clear"/>
            <w:tcMar>
              <w:top w:type="dxa" w:w="140"/>
              <w:left w:type="dxa" w:w="120"/>
              <w:bottom w:type="dxa" w:w="140"/>
              <w:right w:type="dxa" w:w="120"/>
            </w:tcMar>
            <w:vAlign w:val="center"/>
          </w:tcPr>
          <w:p>
            <w:pPr>
              <w:spacing w:after="40"/>
              <w:jc w:val="center"/>
            </w:pPr>
            <w:r>
              <w:rPr>
                <w:b/>
                <w:bCs/>
                <w:color w:val="0A2472"/>
                <w:sz w:val="19"/>
                <w:szCs w:val="19"/>
              </w:rPr>
              <w:t xml:space="preserve">2. STORE</w:t>
            </w:r>
          </w:p>
          <w:p>
            <w:pPr>
              <w:jc w:val="center"/>
            </w:pPr>
            <w:r>
              <w:rPr>
                <w:color w:val="6B7280"/>
                <w:sz w:val="16"/>
                <w:szCs w:val="16"/>
              </w:rPr>
              <w:t xml:space="preserve">Save to the database</w:t>
            </w:r>
          </w:p>
        </w:tc>
        <w:tc>
          <w:tcPr>
            <w:tcW w:type="dxa" w:w="2340"/>
            <w:tcBorders>
              <w:top w:val="single" w:color="CCCCCC" w:sz="1"/>
              <w:left w:val="single" w:color="CCCCCC" w:sz="1"/>
              <w:bottom w:val="single" w:color="CCCCCC" w:sz="1"/>
              <w:right w:val="single" w:color="CCCCCC" w:sz="1"/>
            </w:tcBorders>
            <w:shd w:fill="EAF2FB" w:val="clear"/>
            <w:tcMar>
              <w:top w:type="dxa" w:w="140"/>
              <w:left w:type="dxa" w:w="120"/>
              <w:bottom w:type="dxa" w:w="140"/>
              <w:right w:type="dxa" w:w="120"/>
            </w:tcMar>
            <w:vAlign w:val="center"/>
          </w:tcPr>
          <w:p>
            <w:pPr>
              <w:spacing w:after="40"/>
              <w:jc w:val="center"/>
            </w:pPr>
            <w:r>
              <w:rPr>
                <w:b/>
                <w:bCs/>
                <w:color w:val="0A2472"/>
                <w:sz w:val="19"/>
                <w:szCs w:val="19"/>
              </w:rPr>
              <w:t xml:space="preserve">3. REFINE</w:t>
            </w:r>
          </w:p>
          <w:p>
            <w:pPr>
              <w:jc w:val="center"/>
            </w:pPr>
            <w:r>
              <w:rPr>
                <w:color w:val="6B7280"/>
                <w:sz w:val="16"/>
                <w:szCs w:val="16"/>
              </w:rPr>
              <w:t xml:space="preserve">Clean, score, explain</w:t>
            </w:r>
          </w:p>
        </w:tc>
        <w:tc>
          <w:tcPr>
            <w:tcW w:type="dxa" w:w="2340"/>
            <w:tcBorders>
              <w:top w:val="single" w:color="CCCCCC" w:sz="1"/>
              <w:left w:val="single" w:color="CCCCCC" w:sz="1"/>
              <w:bottom w:val="single" w:color="CCCCCC" w:sz="1"/>
              <w:right w:val="single" w:color="CCCCCC" w:sz="1"/>
            </w:tcBorders>
            <w:shd w:fill="D5E8F0" w:val="clear"/>
            <w:tcMar>
              <w:top w:type="dxa" w:w="140"/>
              <w:left w:type="dxa" w:w="120"/>
              <w:bottom w:type="dxa" w:w="140"/>
              <w:right w:type="dxa" w:w="120"/>
            </w:tcMar>
            <w:vAlign w:val="center"/>
          </w:tcPr>
          <w:p>
            <w:pPr>
              <w:spacing w:after="40"/>
              <w:jc w:val="center"/>
            </w:pPr>
            <w:r>
              <w:rPr>
                <w:b/>
                <w:bCs/>
                <w:color w:val="0A2472"/>
                <w:sz w:val="19"/>
                <w:szCs w:val="19"/>
              </w:rPr>
              <w:t xml:space="preserve">4. SURFACE</w:t>
            </w:r>
          </w:p>
          <w:p>
            <w:pPr>
              <w:jc w:val="center"/>
            </w:pPr>
            <w:r>
              <w:rPr>
                <w:color w:val="6B7280"/>
                <w:sz w:val="16"/>
                <w:szCs w:val="16"/>
              </w:rPr>
              <w:t xml:space="preserve">Show in the app</w:t>
            </w:r>
          </w:p>
        </w:tc>
      </w:tr>
    </w:tbl>
    <w:p>
      <w:pPr>
        <w:spacing w:after="80"/>
      </w:pPr>
      <w:r>
        <w:t xml:space="preserve"/>
      </w:r>
    </w:p>
    <w:p>
      <w:pPr>
        <w:spacing w:after="80" w:before="80"/>
      </w:pPr>
      <w:r>
        <w:rPr>
          <w:b/>
          <w:bCs/>
        </w:rPr>
        <w:t xml:space="preserve">Two refinements to the model:</w:t>
      </w:r>
    </w:p>
    <w:p>
      <w:pPr>
        <w:pStyle w:val="ListParagraph"/>
        <w:numPr>
          <w:ilvl w:val="0"/>
          <w:numId w:val="2"/>
        </w:numPr>
      </w:pPr>
      <w:r>
        <w:rPr>
          <w:b/>
          <w:bCs/>
        </w:rPr>
        <w:t xml:space="preserve">One central feed. </w:t>
      </w:r>
      <w:r>
        <w:t xml:space="preserve">Most sources funnel into a single “company signals” feed — the backbone of the alerts page. A few specialised data types (financials, clinical trials, the regulatory calendar) live in their own tables that feed specific tabs on a competitor’s profile.</w:t>
      </w:r>
    </w:p>
    <w:p>
      <w:pPr>
        <w:pStyle w:val="ListParagraph"/>
        <w:numPr>
          <w:ilvl w:val="0"/>
          <w:numId w:val="2"/>
        </w:numPr>
      </w:pPr>
      <w:r>
        <w:rPr>
          <w:b/>
          <w:bCs/>
        </w:rPr>
        <w:t xml:space="preserve">Refining happens in two places. </w:t>
      </w:r>
      <w:r>
        <w:t xml:space="preserve">Some cleaning happens when data is first collected (removing filing boilerplate, removing duplicates, writing the “why it matters” line). Further scoring happens the moment a user opens the app (judging each signal’s relevance and importance, and translating internal codes into friendly labels).</w:t>
      </w:r>
    </w:p>
    <w:p>
      <w:pPr>
        <w:pStyle w:val="Heading2"/>
      </w:pPr>
      <w:r>
        <w:t xml:space="preserve">Stage 1 — Collect: where the data comes from</w:t>
      </w:r>
    </w:p>
    <w:p>
      <w:pPr>
        <w:spacing w:after="120"/>
      </w:pPr>
      <w:r>
        <w:t xml:space="preserve">The platform pulls from seven live external sources. Each is fetched automatically; nothing is typed in by hand. Field-level detail is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Source</w:t>
            </w:r>
          </w:p>
        </w:tc>
        <w:tc>
          <w:tcPr>
            <w:tcW w:type="dxa" w:w="420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What we capture</w:t>
            </w:r>
          </w:p>
        </w:tc>
        <w:tc>
          <w:tcPr>
            <w:tcW w:type="dxa" w:w="216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How often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SEC EDGAR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Company filings: deals, executive changes, press releases, financials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Scheduled</w:t>
            </w:r>
          </w:p>
        </w:tc>
      </w:tr>
      <w:tr>
        <w:tc>
          <w:tcPr>
            <w:tcW w:type="dxa" w:w="30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PubMed</w:t>
            </w:r>
          </w:p>
        </w:tc>
        <w:tc>
          <w:tcPr>
            <w:tcW w:type="dxa" w:w="4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New scientific publications mentioning tracked drugs</w:t>
            </w:r>
          </w:p>
        </w:tc>
        <w:tc>
          <w:tcPr>
            <w:tcW w:type="dxa" w:w="21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Scheduled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ClinicalTrials.gov</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Trial status, phase, dates, sponsors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Scheduled</w:t>
            </w:r>
          </w:p>
        </w:tc>
      </w:tr>
      <w:tr>
        <w:tc>
          <w:tcPr>
            <w:tcW w:type="dxa" w:w="30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openFDA</w:t>
            </w:r>
          </w:p>
        </w:tc>
        <w:tc>
          <w:tcPr>
            <w:tcW w:type="dxa" w:w="4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Changes to FDA drug labels</w:t>
            </w:r>
          </w:p>
        </w:tc>
        <w:tc>
          <w:tcPr>
            <w:tcW w:type="dxa" w:w="21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Scheduled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Federal Register / EMA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Regulatory actions and committee meeting dates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Scheduled</w:t>
            </w:r>
          </w:p>
        </w:tc>
      </w:tr>
      <w:tr>
        <w:tc>
          <w:tcPr>
            <w:tcW w:type="dxa" w:w="30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NICE (UK HTA)</w:t>
            </w:r>
          </w:p>
        </w:tc>
        <w:tc>
          <w:tcPr>
            <w:tcW w:type="dxa" w:w="4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Reimbursement recommendations</w:t>
            </w:r>
          </w:p>
        </w:tc>
        <w:tc>
          <w:tcPr>
            <w:tcW w:type="dxa" w:w="21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Scheduled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Company websites (Firecrawl)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Press rooms, congress pages, product-page messaging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Scheduled</w:t>
            </w:r>
          </w:p>
        </w:tc>
      </w:tr>
    </w:tbl>
    <w:p>
      <w:pPr>
        <w:spacing w:after="80"/>
      </w:pPr>
      <w:r>
        <w:t xml:space="preserve"/>
      </w:r>
    </w:p>
    <w:p>
      <w:pPr>
        <w:pStyle w:val="Heading2"/>
      </w:pPr>
      <w:r>
        <w:t xml:space="preserve">Stage 2 — Store: one feed, plus supporting tables</w:t>
      </w:r>
    </w:p>
    <w:p>
      <w:pPr>
        <w:spacing w:after="120"/>
      </w:pPr>
      <w:r>
        <w:t xml:space="preserve">Collected items are written to a cloud database. The central “company signals” feed holds every alert-worthy development. Supporting tables hold richer detail for the competitor profile pages — clinical trials, financial snapshots, source documents, the regulatory calendar, and the newer change-detection baselines.</w:t>
      </w:r>
    </w:p>
    <w:p>
      <w:pPr>
        <w:pStyle w:val="Heading2"/>
      </w:pPr>
      <w:r>
        <w:t xml:space="preserve">Stage 3 — Refine: clean, score, explain</w:t>
      </w:r>
    </w:p>
    <w:p>
      <w:pPr>
        <w:spacing w:after="120"/>
      </w:pPr>
      <w:r>
        <w:t xml:space="preserve">Before a signal reaches a user it passes through several quality steps: filing boilerplate and machine codes are stripped out; each signal is checked for relevance to HAE using a drug-and-disease keyword list; an importance level (high / medium / low) is assigned, with imminent events nudged up; and a short “why it matters” explanation is attached.</w:t>
      </w:r>
    </w:p>
    <w:p>
      <w:pPr>
        <w:pStyle w:val="Heading2"/>
      </w:pPr>
      <w:r>
        <w:t xml:space="preserve">Stage 4 — Surface: where users see it</w:t>
      </w:r>
    </w:p>
    <w:p>
      <w:pPr>
        <w:pStyle w:val="ListParagraph"/>
        <w:numPr>
          <w:ilvl w:val="0"/>
          <w:numId w:val="2"/>
        </w:numPr>
      </w:pPr>
      <w:r>
        <w:rPr>
          <w:b/>
          <w:bCs/>
        </w:rPr>
        <w:t xml:space="preserve">Alerts feed </w:t>
      </w:r>
      <w:r>
        <w:t xml:space="preserve">— the personalised stream of recent signals for the competitors a user follows, with filters and read/unread tracking.</w:t>
      </w:r>
    </w:p>
    <w:p>
      <w:pPr>
        <w:pStyle w:val="ListParagraph"/>
        <w:numPr>
          <w:ilvl w:val="0"/>
          <w:numId w:val="2"/>
        </w:numPr>
      </w:pPr>
      <w:r>
        <w:rPr>
          <w:b/>
          <w:bCs/>
        </w:rPr>
        <w:t xml:space="preserve">War Room </w:t>
      </w:r>
      <w:r>
        <w:t xml:space="preserve">— the dashboard: top signals to triage, market “weather”, and a weekly digest.</w:t>
      </w:r>
    </w:p>
    <w:p>
      <w:pPr>
        <w:pStyle w:val="ListParagraph"/>
        <w:numPr>
          <w:ilvl w:val="0"/>
          <w:numId w:val="2"/>
        </w:numPr>
      </w:pPr>
      <w:r>
        <w:rPr>
          <w:b/>
          <w:bCs/>
        </w:rPr>
        <w:t xml:space="preserve">Competitor profiles </w:t>
      </w:r>
      <w:r>
        <w:t xml:space="preserve">— per-company pages with pipeline, financials, key events, and messaging tabs.</w:t>
      </w:r>
    </w:p>
    <w:p>
      <w:r>
        <w:br w:type="page"/>
      </w:r>
    </w:p>
    <w:p>
      <w:pPr>
        <w:pStyle w:val="Heading1"/>
      </w:pPr>
      <w:r>
        <w:t xml:space="preserve">3. Signal coverage &amp; distribution</w:t>
      </w:r>
    </w:p>
    <w:p>
      <w:pPr>
        <w:spacing w:after="120"/>
      </w:pPr>
      <w:r>
        <w:t xml:space="preserve">All figures below were pulled live from the production database on 25 June 2026. The queries used are listed in Appendix B.</w:t>
      </w:r>
    </w:p>
    <w:p>
      <w:pPr>
        <w:pStyle w:val="Heading2"/>
      </w:pPr>
      <w:r>
        <w:t xml:space="preserve">Total signals</w:t>
      </w:r>
    </w:p>
    <w:p>
      <w:pPr>
        <w:spacing w:after="120"/>
      </w:pPr>
      <w:r>
        <w:t xml:space="preserve">379 signals are currently held, dated from 15 December 2020 to 1 July 2026. 123 fall within the last 180 days and 64 within the last 90 days, confirming the feed is actively maintained.</w:t>
      </w:r>
    </w:p>
    <w:p>
      <w:pPr>
        <w:pStyle w:val="Heading2"/>
      </w:pPr>
      <w:r>
        <w:t xml:space="preserve">By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880"/>
        <w:gridCol w:w="1880"/>
      </w:tblGrid>
      <w:tr>
        <w:trPr>
          <w:tblHeader/>
        </w:trPr>
        <w:tc>
          <w:tcPr>
            <w:tcW w:type="dxa" w:w="560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Competitor</w:t>
            </w:r>
          </w:p>
        </w:tc>
        <w:tc>
          <w:tcPr>
            <w:tcW w:type="dxa" w:w="188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Signals</w:t>
            </w:r>
          </w:p>
        </w:tc>
        <w:tc>
          <w:tcPr>
            <w:tcW w:type="dxa" w:w="188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Share</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Takeda</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134</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35%</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BioCryst</w:t>
            </w:r>
          </w:p>
        </w:tc>
        <w:tc>
          <w:tcPr>
            <w:tcW w:type="dxa" w:w="18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77</w:t>
            </w:r>
          </w:p>
        </w:tc>
        <w:tc>
          <w:tcPr>
            <w:tcW w:type="dxa" w:w="18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20%</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Ionis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42</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11%</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CSL Behring</w:t>
            </w:r>
          </w:p>
        </w:tc>
        <w:tc>
          <w:tcPr>
            <w:tcW w:type="dxa" w:w="18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39</w:t>
            </w:r>
          </w:p>
        </w:tc>
        <w:tc>
          <w:tcPr>
            <w:tcW w:type="dxa" w:w="18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10%</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Pharvaris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34</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9%</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Intellia</w:t>
            </w:r>
          </w:p>
        </w:tc>
        <w:tc>
          <w:tcPr>
            <w:tcW w:type="dxa" w:w="18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29</w:t>
            </w:r>
          </w:p>
        </w:tc>
        <w:tc>
          <w:tcPr>
            <w:tcW w:type="dxa" w:w="18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8%</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Adverum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9</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2%</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Astria</w:t>
            </w:r>
          </w:p>
        </w:tc>
        <w:tc>
          <w:tcPr>
            <w:tcW w:type="dxa" w:w="18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7</w:t>
            </w:r>
          </w:p>
        </w:tc>
        <w:tc>
          <w:tcPr>
            <w:tcW w:type="dxa" w:w="188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2%</w:t>
            </w:r>
          </w:p>
        </w:tc>
      </w:tr>
    </w:tbl>
    <w:p>
      <w:pPr>
        <w:spacing w:after="80"/>
      </w:pPr>
      <w:r>
        <w:t xml:space="preserve"/>
      </w:r>
    </w:p>
    <w:p>
      <w:r>
        <w:rPr>
          <w:i/>
          <w:iCs/>
          <w:color w:val="6B7280"/>
          <w:sz w:val="18"/>
          <w:szCs w:val="18"/>
        </w:rPr>
        <w:t xml:space="preserve">Takeda and BioCryst together account for over half of all signals, reflecting their status as the two established HAE incumbents. (A small “congress” bucket of 8 abstracts is not company-attributed and is excluded above.)</w:t>
      </w:r>
    </w:p>
    <w:p>
      <w:pPr>
        <w:pStyle w:val="Heading2"/>
      </w:pPr>
      <w:r>
        <w:t xml:space="preserve">By type of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Category</w:t>
            </w:r>
          </w:p>
        </w:tc>
        <w:tc>
          <w:tcPr>
            <w:tcW w:type="dxa" w:w="376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Signals</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Press release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155</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Scientific publication</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146</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Executive change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28</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Deal / partnership</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17</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Congress abstract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15</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HTA decision</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12</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Regulatory catalyst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6</w:t>
            </w:r>
          </w:p>
        </w:tc>
      </w:tr>
    </w:tbl>
    <w:p>
      <w:pPr>
        <w:spacing w:after="80"/>
      </w:pPr>
      <w:r>
        <w:t xml:space="preserve"/>
      </w:r>
    </w:p>
    <w:p>
      <w:r>
        <w:rPr>
          <w:i/>
          <w:iCs/>
          <w:color w:val="6B7280"/>
          <w:sz w:val="18"/>
          <w:szCs w:val="18"/>
        </w:rPr>
        <w:t xml:space="preserve">Press releases and scientific publications dominate. Three newer alert types — clinical-trial changes, drug-label changes, and website-messaging changes — do not yet appear because their change-detection baselines have not completed a first production run (see note below).</w:t>
      </w:r>
    </w:p>
    <w:p>
      <w:pPr>
        <w:pStyle w:val="Heading2"/>
      </w:pPr>
      <w:r>
        <w:t xml:space="preserve">By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Source</w:t>
            </w:r>
          </w:p>
        </w:tc>
        <w:tc>
          <w:tcPr>
            <w:tcW w:type="dxa" w:w="376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Signals</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SEC EDGAR (filings)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192</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PubMed (publications)</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146</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Congress (Firecrawl)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15</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EU HTA (Firecrawl)</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10</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Investor relations (Firecrawl)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8</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Investor relations (RSS)</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6</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NICE HTA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2</w:t>
            </w:r>
          </w:p>
        </w:tc>
      </w:tr>
    </w:tbl>
    <w:p>
      <w:pPr>
        <w:spacing w:after="80"/>
      </w:pPr>
      <w:r>
        <w:t xml:space="preserve"/>
      </w:r>
    </w:p>
    <w:p>
      <w:pPr>
        <w:pStyle w:val="Heading2"/>
      </w:pPr>
      <w:r>
        <w:t xml:space="preserve">Supporting data coverage</w:t>
      </w:r>
    </w:p>
    <w:p>
      <w:pPr>
        <w:spacing w:after="120"/>
      </w:pPr>
      <w:r>
        <w:t xml:space="preserve">Beyond the signal feed, the platform holds the following supporting records that power the competitor profile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Data set</w:t>
            </w:r>
          </w:p>
        </w:tc>
        <w:tc>
          <w:tcPr>
            <w:tcW w:type="dxa" w:w="376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Records</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Clinical trials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134</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Source documents (10-K, labels, EPARs)</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175</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Financial snapshots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22</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Regulatory calendar events</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18</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Tracked assets (drug registry)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11</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Competitor narrative summaries</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8</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Regulatory milestones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6</w:t>
            </w:r>
          </w:p>
        </w:tc>
      </w:tr>
      <w:tr>
        <w:tc>
          <w:tcPr>
            <w:tcW w:type="dxa" w:w="5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HTA decisions</w:t>
            </w:r>
          </w:p>
        </w:tc>
        <w:tc>
          <w:tcPr>
            <w:tcW w:type="dxa" w:w="3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2</w:t>
            </w:r>
          </w:p>
        </w:tc>
      </w:tr>
    </w:tbl>
    <w:p>
      <w:pPr>
        <w:spacing w:after="80"/>
      </w:pPr>
      <w:r>
        <w:t xml:space="preserve"/>
      </w:r>
    </w:p>
    <w:p>
      <w:pPr>
        <w:pStyle w:val="Heading2"/>
      </w:pPr>
      <w:r>
        <w:t xml:space="preserve">Data quality notes</w:t>
      </w:r>
    </w:p>
    <w:p>
      <w:pPr>
        <w:pStyle w:val="ListParagraph"/>
        <w:numPr>
          <w:ilvl w:val="0"/>
          <w:numId w:val="2"/>
        </w:numPr>
      </w:pPr>
      <w:r>
        <w:rPr>
          <w:b/>
          <w:bCs/>
        </w:rPr>
        <w:t xml:space="preserve">“Why it matters” coverage: </w:t>
      </w:r>
      <w:r>
        <w:t xml:space="preserve">187 of 379 signals (49%) carry a written explanation; the remainder fall back to a category-based template. Raising this is a near-term improvement.</w:t>
      </w:r>
    </w:p>
    <w:p>
      <w:pPr>
        <w:pStyle w:val="ListParagraph"/>
        <w:numPr>
          <w:ilvl w:val="0"/>
          <w:numId w:val="2"/>
        </w:numPr>
      </w:pPr>
      <w:r>
        <w:rPr>
          <w:b/>
          <w:bCs/>
        </w:rPr>
        <w:t xml:space="preserve">Change-detection pipelines newly live: </w:t>
      </w:r>
      <w:r>
        <w:t xml:space="preserve">the clinical-trial, drug-label, and messaging-change detectors record a silent “baseline” on their first run and only emit alerts when something subsequently changes. Their baseline tables are currently empty in production, so they will begin producing alerts after their next scheduled run — this is by design, not a fault.</w:t>
      </w:r>
    </w:p>
    <w:p>
      <w:pPr>
        <w:pStyle w:val="ListParagraph"/>
        <w:numPr>
          <w:ilvl w:val="0"/>
          <w:numId w:val="2"/>
        </w:numPr>
      </w:pPr>
      <w:r>
        <w:rPr>
          <w:b/>
          <w:bCs/>
        </w:rPr>
        <w:t xml:space="preserve">Duplicate protection: </w:t>
      </w:r>
      <w:r>
        <w:t xml:space="preserve">every signal carries a content fingerprint, so re-running a source never creates duplicate alerts.</w:t>
      </w:r>
    </w:p>
    <w:p>
      <w:r>
        <w:br w:type="page"/>
      </w:r>
    </w:p>
    <w:p>
      <w:pPr>
        <w:pStyle w:val="Heading1"/>
      </w:pPr>
      <w:r>
        <w:t xml:space="preserve">4. What else you should know</w:t>
      </w:r>
    </w:p>
    <w:p>
      <w:pPr>
        <w:pStyle w:val="Heading2"/>
      </w:pPr>
      <w:r>
        <w:t xml:space="preserve">Live data vs. sample data</w:t>
      </w:r>
    </w:p>
    <w:p>
      <w:pPr>
        <w:spacing w:after="120"/>
      </w:pPr>
      <w:r>
        <w:t xml:space="preserve">The core experience — alerts, competitor pipelines, financials, key events, and messaging — runs on live data. Two minor screens (Pricing &amp; Access, and the Market Developments tab) still display illustrative sample data and are flagged for a future live-data wiring.</w:t>
      </w:r>
    </w:p>
    <w:p>
      <w:pPr>
        <w:pStyle w:val="Heading2"/>
      </w:pPr>
      <w:r>
        <w:t xml:space="preserve">User accounts are now live</w:t>
      </w:r>
    </w:p>
    <w:p>
      <w:pPr>
        <w:spacing w:after="120"/>
      </w:pPr>
      <w:r>
        <w:t xml:space="preserve">As of this release, users sign in with their own email-and-password account. Each user has a private profile, their own watchlist of competitors, and their own read/unread state — all stored securely and isolated per user. One pilot account is currently active.</w:t>
      </w:r>
    </w:p>
    <w:p>
      <w:pPr>
        <w:pStyle w:val="Heading2"/>
      </w:pPr>
      <w:r>
        <w:t xml:space="preserve">How the data stays current</w:t>
      </w:r>
    </w:p>
    <w:p>
      <w:pPr>
        <w:spacing w:after="120"/>
      </w:pPr>
      <w:r>
        <w:t xml:space="preserve">Each source runs on its own automated schedule. As of 24 June 2026 every source had completed a successful run within the preceding day, with one investor-relations feed reporting a partial (non-fatal) run.</w:t>
      </w:r>
    </w:p>
    <w:p>
      <w:pPr>
        <w:pStyle w:val="Heading2"/>
      </w:pPr>
      <w:r>
        <w:t xml:space="preserve">Data-integrity safeguards</w:t>
      </w:r>
    </w:p>
    <w:p>
      <w:pPr>
        <w:pStyle w:val="ListParagraph"/>
        <w:numPr>
          <w:ilvl w:val="0"/>
          <w:numId w:val="2"/>
        </w:numPr>
      </w:pPr>
      <w:r>
        <w:rPr>
          <w:b/>
          <w:bCs/>
        </w:rPr>
        <w:t xml:space="preserve">Anti-hallucination guard: </w:t>
      </w:r>
      <w:r>
        <w:t xml:space="preserve">any text extracted from a scraped web page is cross-checked against the real page content and rejected if it cannot be found — preventing fabricated headlines.</w:t>
      </w:r>
    </w:p>
    <w:p>
      <w:pPr>
        <w:pStyle w:val="ListParagraph"/>
        <w:numPr>
          <w:ilvl w:val="0"/>
          <w:numId w:val="2"/>
        </w:numPr>
      </w:pPr>
      <w:r>
        <w:rPr>
          <w:b/>
          <w:bCs/>
        </w:rPr>
        <w:t xml:space="preserve">Readability gate: </w:t>
      </w:r>
      <w:r>
        <w:t xml:space="preserve">regulatory-filing boilerplate and machine codes are filtered out so users see real prose, not raw filing fragments.</w:t>
      </w:r>
    </w:p>
    <w:p>
      <w:pPr>
        <w:pStyle w:val="ListParagraph"/>
        <w:numPr>
          <w:ilvl w:val="0"/>
          <w:numId w:val="2"/>
        </w:numPr>
      </w:pPr>
      <w:r>
        <w:rPr>
          <w:b/>
          <w:bCs/>
        </w:rPr>
        <w:t xml:space="preserve">First-run silence: </w:t>
      </w:r>
      <w:r>
        <w:t xml:space="preserve">change detectors establish a baseline quietly and only alert on genuine subsequent changes, avoiding a flood of false “new” signals on day one.</w:t>
      </w:r>
    </w:p>
    <w:p>
      <w:pPr>
        <w:pStyle w:val="ListParagraph"/>
        <w:numPr>
          <w:ilvl w:val="0"/>
          <w:numId w:val="2"/>
        </w:numPr>
      </w:pPr>
      <w:r>
        <w:rPr>
          <w:b/>
          <w:bCs/>
        </w:rPr>
        <w:t xml:space="preserve">Per-user data isolation: </w:t>
      </w:r>
      <w:r>
        <w:t xml:space="preserve">personal data (profile, watchlist, read state) is protected so each user can only ever see their own.</w:t>
      </w:r>
    </w:p>
    <w:p>
      <w:pPr>
        <w:pStyle w:val="Heading2"/>
      </w:pPr>
      <w:r>
        <w:t xml:space="preserve">Known limitations &amp; roadmap</w:t>
      </w:r>
    </w:p>
    <w:p>
      <w:pPr>
        <w:pStyle w:val="ListParagraph"/>
        <w:numPr>
          <w:ilvl w:val="0"/>
          <w:numId w:val="2"/>
        </w:numPr>
      </w:pPr>
      <w:r>
        <w:t xml:space="preserve">Bring the three change-detection pipelines (trials, labels, messaging) into their first live run so they begin emitting alerts.</w:t>
      </w:r>
    </w:p>
    <w:p>
      <w:pPr>
        <w:pStyle w:val="ListParagraph"/>
        <w:numPr>
          <w:ilvl w:val="0"/>
          <w:numId w:val="2"/>
        </w:numPr>
      </w:pPr>
      <w:r>
        <w:t xml:space="preserve">Raise “why it matters” coverage above the current ~49%.</w:t>
      </w:r>
    </w:p>
    <w:p>
      <w:pPr>
        <w:pStyle w:val="ListParagraph"/>
        <w:numPr>
          <w:ilvl w:val="0"/>
          <w:numId w:val="2"/>
        </w:numPr>
      </w:pPr>
      <w:r>
        <w:t xml:space="preserve">Wire the Pricing and Market Developments screens to live data.</w:t>
      </w:r>
    </w:p>
    <w:p>
      <w:pPr>
        <w:pStyle w:val="ListParagraph"/>
        <w:numPr>
          <w:ilvl w:val="0"/>
          <w:numId w:val="2"/>
        </w:numPr>
      </w:pPr>
      <w:r>
        <w:t xml:space="preserve">Add thematic grouping of alerts (currently a single live stream).</w:t>
      </w:r>
    </w:p>
    <w:p>
      <w:r>
        <w:br w:type="page"/>
      </w:r>
    </w:p>
    <w:p>
      <w:pPr>
        <w:pStyle w:val="Heading1"/>
      </w:pPr>
      <w:r>
        <w:t xml:space="preserve">Appendix A — Data source field detail</w:t>
      </w:r>
    </w:p>
    <w:p>
      <w:pPr>
        <w:spacing w:after="120"/>
      </w:pPr>
      <w:r>
        <w:t xml:space="preserve">Technical reference: the specific fields captured from each source and where they are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200"/>
        <w:gridCol w:w="1560"/>
      </w:tblGrid>
      <w:tr>
        <w:trPr>
          <w:tblHeader/>
        </w:trPr>
        <w:tc>
          <w:tcPr>
            <w:tcW w:type="dxa" w:w="220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Source</w:t>
            </w:r>
          </w:p>
        </w:tc>
        <w:tc>
          <w:tcPr>
            <w:tcW w:type="dxa" w:w="340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Key fields used</w:t>
            </w:r>
          </w:p>
        </w:tc>
        <w:tc>
          <w:tcPr>
            <w:tcW w:type="dxa" w:w="220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Stored in</w:t>
            </w:r>
          </w:p>
        </w:tc>
        <w:tc>
          <w:tcPr>
            <w:tcW w:type="dxa" w:w="1560"/>
            <w:tcBorders>
              <w:top w:val="single" w:color="CCCCCC" w:sz="1"/>
              <w:left w:val="single" w:color="CCCCCC" w:sz="1"/>
              <w:bottom w:val="single" w:color="CCCCCC" w:sz="1"/>
              <w:right w:val="single" w:color="CCCCCC" w:sz="1"/>
            </w:tcBorders>
            <w:shd w:fill="0A2472" w:val="clear"/>
            <w:tcMar>
              <w:top w:type="dxa" w:w="80"/>
              <w:left w:type="dxa" w:w="120"/>
              <w:bottom w:type="dxa" w:w="80"/>
              <w:right w:type="dxa" w:w="120"/>
            </w:tcMar>
            <w:vAlign w:val="center"/>
          </w:tcPr>
          <w:p>
            <w:r>
              <w:rPr>
                <w:b/>
                <w:bCs/>
                <w:color w:val="FFFFFF"/>
                <w:sz w:val="19"/>
                <w:szCs w:val="19"/>
              </w:rPr>
              <w:t xml:space="preserve">Signal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SEC EDGAR (8-K / 6-K / 20-F)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form, filing date, accession number, item codes, document 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company_signals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deal, exec_change, press_release</w:t>
            </w:r>
          </w:p>
        </w:tc>
      </w:tr>
      <w:tr>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SEC XBRL + GlobeNewswire</w:t>
            </w:r>
          </w:p>
        </w:tc>
        <w:tc>
          <w:tcPr>
            <w:tcW w:type="dxa" w:w="34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revenue &amp; R&amp;D concepts, currency, fiscal year</w:t>
            </w:r>
          </w:p>
        </w:tc>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financial_snapshots</w:t>
            </w:r>
          </w:p>
        </w:tc>
        <w:tc>
          <w:tcPr>
            <w:tcW w:type="dxa" w:w="15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ClinicalTrials.gov v2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NCT id, title, status, phase, dates, conditions, interventions, sponsor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trials, trial_snapshots, company_signals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trial_update</w:t>
            </w:r>
          </w:p>
        </w:tc>
      </w:tr>
      <w:tr>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openFDA labels</w:t>
            </w:r>
          </w:p>
        </w:tc>
        <w:tc>
          <w:tcPr>
            <w:tcW w:type="dxa" w:w="34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application number, sections hash, label version</w:t>
            </w:r>
          </w:p>
        </w:tc>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label_snapshots, company_signals</w:t>
            </w:r>
          </w:p>
        </w:tc>
        <w:tc>
          <w:tcPr>
            <w:tcW w:type="dxa" w:w="15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label_update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PubMed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PMID, title, journal, authors, publication 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company_signals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publication</w:t>
            </w:r>
          </w:p>
        </w:tc>
      </w:tr>
      <w:tr>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Federal Register</w:t>
            </w:r>
          </w:p>
        </w:tc>
        <w:tc>
          <w:tcPr>
            <w:tcW w:type="dxa" w:w="34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document number, title, abstract, publication date</w:t>
            </w:r>
          </w:p>
        </w:tc>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regulatory_calendar, company_signals</w:t>
            </w:r>
          </w:p>
        </w:tc>
        <w:tc>
          <w:tcPr>
            <w:tcW w:type="dxa" w:w="15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regulatory_catalyst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NICE HTA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guidance reference, title, decision 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hta_decisions, company_signals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hta_decision</w:t>
            </w:r>
          </w:p>
        </w:tc>
      </w:tr>
      <w:tr>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Investor-relations RSS</w:t>
            </w:r>
          </w:p>
        </w:tc>
        <w:tc>
          <w:tcPr>
            <w:tcW w:type="dxa" w:w="34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title, link, date</w:t>
            </w:r>
          </w:p>
        </w:tc>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company_signals</w:t>
            </w:r>
          </w:p>
        </w:tc>
        <w:tc>
          <w:tcPr>
            <w:tcW w:type="dxa" w:w="15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press_release / ir_rss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EMA CHMP / PRAC calendar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event type, title, 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regulatory_calendar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w:t>
            </w:r>
          </w:p>
        </w:tc>
      </w:tr>
      <w:tr>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Firecrawl (web scraping)</w:t>
            </w:r>
          </w:p>
        </w:tc>
        <w:tc>
          <w:tcPr>
            <w:tcW w:type="dxa" w:w="34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title, date, summary / core message, pillars</w:t>
            </w:r>
          </w:p>
        </w:tc>
        <w:tc>
          <w:tcPr>
            <w:tcW w:type="dxa" w:w="22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company_signals, messaging_snapshots</w:t>
            </w:r>
          </w:p>
        </w:tc>
        <w:tc>
          <w:tcPr>
            <w:tcW w:type="dxa" w:w="15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vAlign w:val="center"/>
          </w:tcPr>
          <w:p>
            <w:r>
              <w:rPr>
                <w:sz w:val="19"/>
                <w:szCs w:val="19"/>
              </w:rPr>
              <w:t xml:space="preserve">messaging_shift</w:t>
            </w:r>
          </w:p>
        </w:tc>
      </w:tr>
    </w:tbl>
    <w:p>
      <w:pPr>
        <w:spacing w:after="80"/>
      </w:pPr>
      <w:r>
        <w:t xml:space="preserve"/>
      </w:r>
    </w:p>
    <w:p>
      <w:r>
        <w:rPr>
          <w:b/>
          <w:bCs/>
          <w:sz w:val="18"/>
          <w:szCs w:val="18"/>
        </w:rPr>
        <w:t xml:space="preserve">Refining chain (technical): </w:t>
      </w:r>
      <w:r>
        <w:rPr>
          <w:color w:val="6B7280"/>
          <w:sz w:val="18"/>
          <w:szCs w:val="18"/>
        </w:rPr>
        <w:t xml:space="preserve">clean filing text → relevance check against drug/disease keyword list → importance scoring (critical/high/moderate/low, collapsed to high/medium/low, with a ≤60-day proximity bump) → attach “why it matters” → map internal codes to friendly UI labels.</w:t>
      </w:r>
    </w:p>
    <w:p>
      <w:r>
        <w:br w:type="page"/>
      </w:r>
    </w:p>
    <w:p>
      <w:pPr>
        <w:pStyle w:val="Heading1"/>
      </w:pPr>
      <w:r>
        <w:t xml:space="preserve">Appendix B — Named database queries</w:t>
      </w:r>
    </w:p>
    <w:p>
      <w:pPr>
        <w:spacing w:after="120"/>
      </w:pPr>
      <w:r>
        <w:t xml:space="preserve">The figures in Section 3 were produced by the following named, read-only queries against the company_signals table (and supporting tables). They can be re-run from the database dashboard to refresh the report.</w:t>
      </w:r>
    </w:p>
    <w:p>
      <w:pPr>
        <w:spacing w:after="40" w:before="120"/>
      </w:pPr>
      <w:r>
        <w:rPr>
          <w:b/>
          <w:bCs/>
          <w:color w:val="0A2472"/>
          <w:sz w:val="19"/>
          <w:szCs w:val="19"/>
        </w:rPr>
        <w:t xml:space="preserve">total_signals</w:t>
      </w:r>
    </w:p>
    <w:p>
      <w:pPr>
        <w:shd w:fill="F2F4F8" w:val="clear"/>
        <w:spacing w:after="0"/>
      </w:pPr>
      <w:r>
        <w:rPr>
          <w:rFonts w:ascii="Consolas" w:cs="Consolas" w:eastAsia="Consolas" w:hAnsi="Consolas"/>
          <w:sz w:val="17"/>
          <w:szCs w:val="17"/>
        </w:rPr>
        <w:t xml:space="preserve">select count(*) from company_signals;</w:t>
      </w:r>
    </w:p>
    <w:p>
      <w:pPr>
        <w:spacing w:after="40" w:before="120"/>
      </w:pPr>
      <w:r>
        <w:rPr>
          <w:b/>
          <w:bCs/>
          <w:color w:val="0A2472"/>
          <w:sz w:val="19"/>
          <w:szCs w:val="19"/>
        </w:rPr>
        <w:t xml:space="preserve">signals_per_competitor</w:t>
      </w:r>
    </w:p>
    <w:p>
      <w:pPr>
        <w:shd w:fill="F2F4F8" w:val="clear"/>
        <w:spacing w:after="0"/>
      </w:pPr>
      <w:r>
        <w:rPr>
          <w:rFonts w:ascii="Consolas" w:cs="Consolas" w:eastAsia="Consolas" w:hAnsi="Consolas"/>
          <w:sz w:val="17"/>
          <w:szCs w:val="17"/>
        </w:rPr>
        <w:t xml:space="preserve">select competitor_id, count(*) from company_signals</w:t>
      </w:r>
    </w:p>
    <w:p>
      <w:pPr>
        <w:shd w:fill="F2F4F8" w:val="clear"/>
        <w:spacing w:after="0"/>
      </w:pPr>
      <w:r>
        <w:rPr>
          <w:rFonts w:ascii="Consolas" w:cs="Consolas" w:eastAsia="Consolas" w:hAnsi="Consolas"/>
          <w:sz w:val="17"/>
          <w:szCs w:val="17"/>
        </w:rPr>
        <w:t xml:space="preserve">  group by competitor_id order by count(*) desc;</w:t>
      </w:r>
    </w:p>
    <w:p>
      <w:pPr>
        <w:spacing w:after="40" w:before="120"/>
      </w:pPr>
      <w:r>
        <w:rPr>
          <w:b/>
          <w:bCs/>
          <w:color w:val="0A2472"/>
          <w:sz w:val="19"/>
          <w:szCs w:val="19"/>
        </w:rPr>
        <w:t xml:space="preserve">signals_per_type</w:t>
      </w:r>
    </w:p>
    <w:p>
      <w:pPr>
        <w:shd w:fill="F2F4F8" w:val="clear"/>
        <w:spacing w:after="0"/>
      </w:pPr>
      <w:r>
        <w:rPr>
          <w:rFonts w:ascii="Consolas" w:cs="Consolas" w:eastAsia="Consolas" w:hAnsi="Consolas"/>
          <w:sz w:val="17"/>
          <w:szCs w:val="17"/>
        </w:rPr>
        <w:t xml:space="preserve">select signal_type, count(*) from company_signals</w:t>
      </w:r>
    </w:p>
    <w:p>
      <w:pPr>
        <w:shd w:fill="F2F4F8" w:val="clear"/>
        <w:spacing w:after="0"/>
      </w:pPr>
      <w:r>
        <w:rPr>
          <w:rFonts w:ascii="Consolas" w:cs="Consolas" w:eastAsia="Consolas" w:hAnsi="Consolas"/>
          <w:sz w:val="17"/>
          <w:szCs w:val="17"/>
        </w:rPr>
        <w:t xml:space="preserve">  group by signal_type order by count(*) desc;</w:t>
      </w:r>
    </w:p>
    <w:p>
      <w:pPr>
        <w:spacing w:after="40" w:before="120"/>
      </w:pPr>
      <w:r>
        <w:rPr>
          <w:b/>
          <w:bCs/>
          <w:color w:val="0A2472"/>
          <w:sz w:val="19"/>
          <w:szCs w:val="19"/>
        </w:rPr>
        <w:t xml:space="preserve">signals_per_data_source</w:t>
      </w:r>
    </w:p>
    <w:p>
      <w:pPr>
        <w:shd w:fill="F2F4F8" w:val="clear"/>
        <w:spacing w:after="0"/>
      </w:pPr>
      <w:r>
        <w:rPr>
          <w:rFonts w:ascii="Consolas" w:cs="Consolas" w:eastAsia="Consolas" w:hAnsi="Consolas"/>
          <w:sz w:val="17"/>
          <w:szCs w:val="17"/>
        </w:rPr>
        <w:t xml:space="preserve">select data_source, count(*) from company_signals</w:t>
      </w:r>
    </w:p>
    <w:p>
      <w:pPr>
        <w:shd w:fill="F2F4F8" w:val="clear"/>
        <w:spacing w:after="0"/>
      </w:pPr>
      <w:r>
        <w:rPr>
          <w:rFonts w:ascii="Consolas" w:cs="Consolas" w:eastAsia="Consolas" w:hAnsi="Consolas"/>
          <w:sz w:val="17"/>
          <w:szCs w:val="17"/>
        </w:rPr>
        <w:t xml:space="preserve">  group by data_source order by count(*) desc;</w:t>
      </w:r>
    </w:p>
    <w:p>
      <w:pPr>
        <w:spacing w:after="40" w:before="120"/>
      </w:pPr>
      <w:r>
        <w:rPr>
          <w:b/>
          <w:bCs/>
          <w:color w:val="0A2472"/>
          <w:sz w:val="19"/>
          <w:szCs w:val="19"/>
        </w:rPr>
        <w:t xml:space="preserve">signals_last_90_days</w:t>
      </w:r>
    </w:p>
    <w:p>
      <w:pPr>
        <w:shd w:fill="F2F4F8" w:val="clear"/>
        <w:spacing w:after="0"/>
      </w:pPr>
      <w:r>
        <w:rPr>
          <w:rFonts w:ascii="Consolas" w:cs="Consolas" w:eastAsia="Consolas" w:hAnsi="Consolas"/>
          <w:sz w:val="17"/>
          <w:szCs w:val="17"/>
        </w:rPr>
        <w:t xml:space="preserve">select count(*) from company_signals</w:t>
      </w:r>
    </w:p>
    <w:p>
      <w:pPr>
        <w:shd w:fill="F2F4F8" w:val="clear"/>
        <w:spacing w:after="0"/>
      </w:pPr>
      <w:r>
        <w:rPr>
          <w:rFonts w:ascii="Consolas" w:cs="Consolas" w:eastAsia="Consolas" w:hAnsi="Consolas"/>
          <w:sz w:val="17"/>
          <w:szCs w:val="17"/>
        </w:rPr>
        <w:t xml:space="preserve">  where date &gt;= current_date - interval '90 days';</w:t>
      </w:r>
    </w:p>
    <w:p>
      <w:pPr>
        <w:spacing w:after="40" w:before="120"/>
      </w:pPr>
      <w:r>
        <w:rPr>
          <w:b/>
          <w:bCs/>
          <w:color w:val="0A2472"/>
          <w:sz w:val="19"/>
          <w:szCs w:val="19"/>
        </w:rPr>
        <w:t xml:space="preserve">signal_why_coverage</w:t>
      </w:r>
    </w:p>
    <w:p>
      <w:pPr>
        <w:shd w:fill="F2F4F8" w:val="clear"/>
        <w:spacing w:after="0"/>
      </w:pPr>
      <w:r>
        <w:rPr>
          <w:rFonts w:ascii="Consolas" w:cs="Consolas" w:eastAsia="Consolas" w:hAnsi="Consolas"/>
          <w:sz w:val="17"/>
          <w:szCs w:val="17"/>
        </w:rPr>
        <w:t xml:space="preserve">select count(*) filter (where why_it_matters is not null) as with_why,</w:t>
      </w:r>
    </w:p>
    <w:p>
      <w:pPr>
        <w:shd w:fill="F2F4F8" w:val="clear"/>
        <w:spacing w:after="0"/>
      </w:pPr>
      <w:r>
        <w:rPr>
          <w:rFonts w:ascii="Consolas" w:cs="Consolas" w:eastAsia="Consolas" w:hAnsi="Consolas"/>
          <w:sz w:val="17"/>
          <w:szCs w:val="17"/>
        </w:rPr>
        <w:t xml:space="preserve">  count(*) as total from company_signals;</w:t>
      </w:r>
    </w:p>
    <w:p>
      <w:pPr>
        <w:spacing w:after="40" w:before="120"/>
      </w:pPr>
      <w:r>
        <w:rPr>
          <w:b/>
          <w:bCs/>
          <w:color w:val="0A2472"/>
          <w:sz w:val="19"/>
          <w:szCs w:val="19"/>
        </w:rPr>
        <w:t xml:space="preserve">table_coverage_counts</w:t>
      </w:r>
    </w:p>
    <w:p>
      <w:pPr>
        <w:shd w:fill="F2F4F8" w:val="clear"/>
        <w:spacing w:after="0"/>
      </w:pPr>
      <w:r>
        <w:rPr>
          <w:rFonts w:ascii="Consolas" w:cs="Consolas" w:eastAsia="Consolas" w:hAnsi="Consolas"/>
          <w:sz w:val="17"/>
          <w:szCs w:val="17"/>
        </w:rPr>
        <w:t xml:space="preserve">select count(*) from trials;   -- repeat for financial_snapshots,</w:t>
      </w:r>
    </w:p>
    <w:p>
      <w:pPr>
        <w:shd w:fill="F2F4F8" w:val="clear"/>
        <w:spacing w:after="0"/>
      </w:pPr>
      <w:r>
        <w:rPr>
          <w:rFonts w:ascii="Consolas" w:cs="Consolas" w:eastAsia="Consolas" w:hAnsi="Consolas"/>
          <w:sz w:val="17"/>
          <w:szCs w:val="17"/>
        </w:rPr>
        <w:t xml:space="preserve">  -- documents, regulatory_calendar, hta_decisions, messaging_snapshots</w:t>
      </w:r>
    </w:p>
    <w:p>
      <w:pPr>
        <w:spacing w:after="40" w:before="120"/>
      </w:pPr>
      <w:r>
        <w:rPr>
          <w:b/>
          <w:bCs/>
          <w:color w:val="0A2472"/>
          <w:sz w:val="19"/>
          <w:szCs w:val="19"/>
        </w:rPr>
        <w:t xml:space="preserve">last_ingest_per_source</w:t>
      </w:r>
    </w:p>
    <w:p>
      <w:pPr>
        <w:shd w:fill="F2F4F8" w:val="clear"/>
        <w:spacing w:after="0"/>
      </w:pPr>
      <w:r>
        <w:rPr>
          <w:rFonts w:ascii="Consolas" w:cs="Consolas" w:eastAsia="Consolas" w:hAnsi="Consolas"/>
          <w:sz w:val="17"/>
          <w:szCs w:val="17"/>
        </w:rPr>
        <w:t xml:space="preserve">select distinct on (source) source, status, finished_at, new_signals</w:t>
      </w:r>
    </w:p>
    <w:p>
      <w:pPr>
        <w:shd w:fill="F2F4F8" w:val="clear"/>
        <w:spacing w:after="0"/>
      </w:pPr>
      <w:r>
        <w:rPr>
          <w:rFonts w:ascii="Consolas" w:cs="Consolas" w:eastAsia="Consolas" w:hAnsi="Consolas"/>
          <w:sz w:val="17"/>
          <w:szCs w:val="17"/>
        </w:rPr>
        <w:t xml:space="preserve">  from ingest_runs order by source, finished_at desc;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Phamax  ·  Confidential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jc w:val="right"/>
    </w:pPr>
    <w:r>
      <w:rPr>
        <w:color w:val="6B7280"/>
        <w:sz w:val="16"/>
        <w:szCs w:val="16"/>
      </w:rPr>
      <w:t xml:space="preserve">Ariya Signals  ·  System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A2472"/>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0A2472"/>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A76F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Ariya Signals — System Overview &amp; Signal Coverage</dc:title>
  <dc:creator>Ayat Tayebulla</dc:creator>
  <cp:lastModifiedBy>Un-named</cp:lastModifiedBy>
  <cp:revision>1</cp:revision>
  <dcterms:created xsi:type="dcterms:W3CDTF">2026-06-25T03:49:38.877Z</dcterms:created>
  <dcterms:modified xsi:type="dcterms:W3CDTF">2026-06-25T03:49:38.878Z</dcterms:modified>
</cp:coreProperties>
</file>

<file path=docProps/custom.xml><?xml version="1.0" encoding="utf-8"?>
<Properties xmlns="http://schemas.openxmlformats.org/officeDocument/2006/custom-properties" xmlns:vt="http://schemas.openxmlformats.org/officeDocument/2006/docPropsVTypes"/>
</file>