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60" w:before="0"/>
      </w:pPr>
      <w:r>
        <w:rPr>
          <w:sz w:val="8"/>
          <w:szCs w:val="8"/>
        </w:rPr>
        <w:t xml:space="preserve"> </w:t>
      </w:r>
    </w:p>
    <w:p>
      <w:pPr>
        <w:spacing w:after="60" w:before="200"/>
      </w:pPr>
      <w:r>
        <w:rPr>
          <w:rFonts w:ascii="Arial" w:cs="Arial" w:eastAsia="Arial" w:hAnsi="Arial"/>
          <w:b/>
          <w:bCs/>
          <w:color w:val="1B3A6B"/>
          <w:sz w:val="36"/>
          <w:szCs w:val="36"/>
        </w:rPr>
        <w:t xml:space="preserve">OpenFDA Assessment</w:t>
      </w:r>
    </w:p>
    <w:p>
      <w:pPr>
        <w:spacing w:after="40" w:before="0"/>
      </w:pPr>
      <w:r>
        <w:rPr>
          <w:rFonts w:ascii="Arial" w:cs="Arial" w:eastAsia="Arial" w:hAnsi="Arial"/>
          <w:b/>
          <w:bCs/>
          <w:color w:val="2E6DA4"/>
          <w:sz w:val="48"/>
          <w:szCs w:val="48"/>
        </w:rPr>
        <w:t xml:space="preserve">DAWNZERA (Donidalorsen)</w:t>
      </w:r>
    </w:p>
    <w:p>
      <w:pPr>
        <w:spacing w:after="60" w:before="0"/>
      </w:pPr>
      <w:r>
        <w:rPr>
          <w:rFonts w:ascii="Arial" w:cs="Arial" w:eastAsia="Arial" w:hAnsi="Arial"/>
          <w:i/>
          <w:iCs/>
          <w:color w:val="555555"/>
          <w:sz w:val="20"/>
          <w:szCs w:val="20"/>
        </w:rPr>
        <w:t xml:space="preserve">Screenshots vs. openFDA API  —  Field-by-field comparison, gaps, and conflicts</w:t>
      </w:r>
    </w:p>
    <w:p>
      <w:pPr>
        <w:pBdr>
          <w:left w:val="single" w:color="C0392B" w:sz="20" w:space="8"/>
        </w:pBdr>
        <w:shd w:fill="FFEBEE" w:val="clear"/>
        <w:spacing w:after="100" w:before="100"/>
        <w:ind w:left="200"/>
      </w:pPr>
      <w:r>
        <w:rPr>
          <w:rFonts w:ascii="Arial" w:cs="Arial" w:eastAsia="Arial" w:hAnsi="Arial"/>
          <w:b/>
          <w:bCs/>
          <w:color w:val="C0392B"/>
          <w:sz w:val="19"/>
          <w:szCs w:val="19"/>
        </w:rPr>
        <w:t xml:space="preserve">⚠ CRITICAL: API generic_name = 'DONIDALORSEN' (free acid) but substance_name = 'DONIDALORSEN SODIUM' (correct salt). Internal API inconsistency. Screenshot active ingredient = DONIDALORSEN SODIUM.</w:t>
      </w:r>
    </w:p>
    <w:p>
      <w:pPr>
        <w:pBdr>
          <w:left w:val="single" w:color="117A65" w:sz="16" w:space="8"/>
        </w:pBdr>
        <w:shd w:fill="E0F2F1" w:val="clear"/>
        <w:spacing w:after="100" w:before="100"/>
        <w:ind w:left="200"/>
      </w:pPr>
      <w:r>
        <w:rPr>
          <w:rFonts w:ascii="Arial" w:cs="Arial" w:eastAsia="Arial" w:hAnsi="Arial"/>
          <w:b/>
          <w:bCs/>
          <w:color w:val="117A65"/>
          <w:sz w:val="19"/>
          <w:szCs w:val="19"/>
        </w:rPr>
        <w:t xml:space="preserve">ℹ UNIQUE DRUG CLASS: Only ASO-GalNAc conjugate in the dataset. Targets PKK mRNA (not protein). Hepatocyte-targeted via GalNAc ligand. Fundamentally different from all mAbs and small molecules in this series.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0E4F7" w:val="clear"/>
            <w:tcMar>
              <w:top w:type="dxa" w:w="80"/>
              <w:left w:type="dxa" w:w="140"/>
              <w:bottom w:type="dxa" w:w="80"/>
              <w:right w:type="dxa" w:w="140"/>
            </w:tcMar>
          </w:tcPr>
          <w:p>
            <w:r>
              <w:rPr>
                <w:rFonts w:ascii="Arial" w:cs="Arial" w:eastAsia="Arial" w:hAnsi="Arial"/>
                <w:b/>
                <w:bCs/>
                <w:color w:val="1B3A6B"/>
                <w:sz w:val="19"/>
                <w:szCs w:val="19"/>
              </w:rPr>
              <w:t xml:space="preserve">NDA: 219407</w:t>
            </w:r>
          </w:p>
        </w:tc>
        <w:tc>
          <w:tcPr>
            <w:tcW w:type="dxa" w:w="2340"/>
            <w:tcBorders>
              <w:top w:val="single" w:color="CCCCCC" w:sz="1"/>
              <w:left w:val="single" w:color="CCCCCC" w:sz="1"/>
              <w:bottom w:val="single" w:color="CCCCCC" w:sz="1"/>
              <w:right w:val="single" w:color="CCCCCC" w:sz="1"/>
            </w:tcBorders>
            <w:shd w:fill="D0E4F7" w:val="clear"/>
            <w:tcMar>
              <w:top w:type="dxa" w:w="80"/>
              <w:left w:type="dxa" w:w="140"/>
              <w:bottom w:type="dxa" w:w="80"/>
              <w:right w:type="dxa" w:w="140"/>
            </w:tcMar>
          </w:tcPr>
          <w:p>
            <w:r>
              <w:rPr>
                <w:rFonts w:ascii="Arial" w:cs="Arial" w:eastAsia="Arial" w:hAnsi="Arial"/>
                <w:b w:val="false"/>
                <w:bCs w:val="false"/>
                <w:color w:val="222222"/>
                <w:sz w:val="19"/>
                <w:szCs w:val="19"/>
              </w:rPr>
              <w:t xml:space="preserve">Manufacturer: Ionis Pharmaceuticals Inc.</w:t>
            </w:r>
          </w:p>
        </w:tc>
        <w:tc>
          <w:tcPr>
            <w:tcW w:type="dxa" w:w="2340"/>
            <w:tcBorders>
              <w:top w:val="single" w:color="CCCCCC" w:sz="1"/>
              <w:left w:val="single" w:color="CCCCCC" w:sz="1"/>
              <w:bottom w:val="single" w:color="CCCCCC" w:sz="1"/>
              <w:right w:val="single" w:color="CCCCCC" w:sz="1"/>
            </w:tcBorders>
            <w:shd w:fill="D0E4F7" w:val="clear"/>
            <w:tcMar>
              <w:top w:type="dxa" w:w="80"/>
              <w:left w:type="dxa" w:w="140"/>
              <w:bottom w:type="dxa" w:w="80"/>
              <w:right w:type="dxa" w:w="140"/>
            </w:tcMar>
          </w:tcPr>
          <w:p>
            <w:r>
              <w:rPr>
                <w:rFonts w:ascii="Arial" w:cs="Arial" w:eastAsia="Arial" w:hAnsi="Arial"/>
                <w:b w:val="false"/>
                <w:bCs w:val="false"/>
                <w:color w:val="222222"/>
                <w:sz w:val="19"/>
                <w:szCs w:val="19"/>
              </w:rPr>
              <w:t xml:space="preserve">API Version: 1 (Sep 2025)</w:t>
            </w:r>
          </w:p>
        </w:tc>
        <w:tc>
          <w:tcPr>
            <w:tcW w:type="dxa" w:w="2340"/>
            <w:tcBorders>
              <w:top w:val="single" w:color="CCCCCC" w:sz="1"/>
              <w:left w:val="single" w:color="CCCCCC" w:sz="1"/>
              <w:bottom w:val="single" w:color="CCCCCC" w:sz="1"/>
              <w:right w:val="single" w:color="CCCCCC" w:sz="1"/>
            </w:tcBorders>
            <w:shd w:fill="D0E4F7" w:val="clear"/>
            <w:tcMar>
              <w:top w:type="dxa" w:w="80"/>
              <w:left w:type="dxa" w:w="140"/>
              <w:bottom w:type="dxa" w:w="80"/>
              <w:right w:type="dxa" w:w="140"/>
            </w:tcMar>
          </w:tcPr>
          <w:p>
            <w:r>
              <w:rPr>
                <w:rFonts w:ascii="Arial" w:cs="Arial" w:eastAsia="Arial" w:hAnsi="Arial"/>
                <w:b w:val="false"/>
                <w:bCs w:val="false"/>
                <w:color w:val="222222"/>
                <w:sz w:val="19"/>
                <w:szCs w:val="19"/>
              </w:rPr>
              <w:t xml:space="preserve">Assessment Date: June 2026</w:t>
            </w:r>
          </w:p>
        </w:tc>
      </w:tr>
    </w:tbl>
    <w:p>
      <w:r>
        <w:t xml:space="preserve"/>
      </w:r>
    </w:p>
    <w:p>
      <w:pPr>
        <w:pStyle w:val="Heading1"/>
        <w:pBdr>
          <w:bottom w:val="single" w:color="2E6DA4" w:sz="8" w:space="4"/>
        </w:pBdr>
        <w:spacing w:after="120" w:before="320"/>
      </w:pPr>
      <w:r>
        <w:rPr>
          <w:rFonts w:ascii="Arial" w:cs="Arial" w:eastAsia="Arial" w:hAnsi="Arial"/>
          <w:b/>
          <w:bCs/>
          <w:color w:val="1B3A6B"/>
          <w:sz w:val="28"/>
          <w:szCs w:val="28"/>
        </w:rPr>
        <w:t xml:space="preserve">1. Drug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Brand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DAWNZERA (trademark of Ionis Pharmaceuticals Inc.)</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Generic Name (INN)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Donidalorsen (free acid INN). Active ingredient is donidalorsen sodium (salt form). API generic_name field uses free acid; substance_name uses sodium salt. Screenshots show sodium salt.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Drug Class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Prekallikrein (PKK)-directed antisense oligonucleotide (ASO-GalNAc conjugate). GalNAc = N-acetyl galactosamine, facilitates hepatocyte-targeted delivery.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Application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NDA 219407 (New Drug Application — small molecule/oligonucleotide NDA, not BLA)</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Indication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Prophylaxis to prevent attacks of hereditary angioedema (HAE) in adults and pediatric patients 12 years of age and older.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Dosage 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80mg/0.8mL single-dose autoinjector, SC injection only. One dose = one autoinjector. No prefilled syringe option.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Dosing options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80mg SC every 4 weeks (recommended). 80mg SC every 8 weeks may be considered. Two flexible dosing frequencies.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Route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Subcutaneous only. Self-administration or caregiver.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Original Approval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08/21/2025 (ORIG-1) — very recently approved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Orphan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STANDARD; Orphan (confirmed in Image 2 FDA screenshot)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RLD / 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RLD = Yes. RS = Yes. First drug in assessment series with both RLD and RS = Yes.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Submission 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Type 1 — New Molecular Entity (Image 2)</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Manufacturer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Distributed by Ionis Pharmaceuticals Inc., Carlsbad, CA 92010. Screenshots show 'IONIS PHARMS INC' (abbreviated).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Contraindication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History of serious hypersensitivity reactions, including anaphylaxis, to donidalorsen or any excipient. First drug in series with explicit contraindication.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Key Warning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Hypersensitivity reactions including anaphylaxis (Section 5.1). No QTc warning at recommended dose.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Storage (unique)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Refrigerate (2-8°C). Can also store at room temperature ≤30°C for up to 6 weeks. Discard if not used within 6 weeks at room temp. Only drug in series with validated room-temperature storage option.</w:t>
            </w:r>
          </w:p>
        </w:tc>
      </w:tr>
    </w:tbl>
    <w:p>
      <w:r>
        <w:t xml:space="preserve"/>
      </w:r>
    </w:p>
    <w:p>
      <w:pPr>
        <w:pStyle w:val="Heading1"/>
        <w:pBdr>
          <w:bottom w:val="single" w:color="2E6DA4" w:sz="8" w:space="4"/>
        </w:pBdr>
        <w:spacing w:after="120" w:before="320"/>
      </w:pPr>
      <w:r>
        <w:rPr>
          <w:rFonts w:ascii="Arial" w:cs="Arial" w:eastAsia="Arial" w:hAnsi="Arial"/>
          <w:b/>
          <w:bCs/>
          <w:color w:val="1B3A6B"/>
          <w:sz w:val="28"/>
          <w:szCs w:val="28"/>
        </w:rPr>
        <w:t xml:space="preserve">2. Data Sources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37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7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Limitations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Screenshots (x2)</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Image 1: Drugs@FDA NDA 219407 page with Labels section expanded, showing ORIG-1 label entry (08/21/2025). Image 2: Same page with Approval section expanded showing ORIG-1 approval details, submission classification, and orphan status.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Only ORIG-1 data. Device type visible in drug name (AUTOINJECTOR). Strength shows parenthetical repetition artifact. No label text.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openFDA API</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Full SPL, Version 1, effective 2025-09-24. Contains complete prescribing information including full ASO mechanism, GalNAc-conjugation description, dual-frequency dosing, PK tables, OASIS-HAE trial data, IFU.</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generic_name = DONIDALORSEN (free acid); substance_name = DONIDALORSEN SODIUM — internal inconsistency. Strength notation differs from screenshot. No pharm_class_epc or pharm_class_moa. Room-temperature storage policy requires label body parsing.</w:t>
            </w:r>
          </w:p>
        </w:tc>
      </w:tr>
    </w:tbl>
    <w:p>
      <w:r>
        <w:t xml:space="preserve"/>
      </w:r>
    </w:p>
    <w:p>
      <w:pPr>
        <w:pStyle w:val="Heading1"/>
        <w:pBdr>
          <w:bottom w:val="single" w:color="2E6DA4" w:sz="8" w:space="4"/>
        </w:pBdr>
        <w:spacing w:after="120" w:before="320"/>
      </w:pPr>
      <w:r>
        <w:rPr>
          <w:rFonts w:ascii="Arial" w:cs="Arial" w:eastAsia="Arial" w:hAnsi="Arial"/>
          <w:b/>
          <w:bCs/>
          <w:color w:val="1B3A6B"/>
          <w:sz w:val="28"/>
          <w:szCs w:val="28"/>
        </w:rPr>
        <w:t xml:space="preserve">3. Field-by-Field Comparison</w:t>
      </w:r>
    </w:p>
    <w:p>
      <w:pPr>
        <w:pBdr>
          <w:left w:val="single" w:color="2E6DA4" w:sz="16" w:space="8"/>
        </w:pBdr>
        <w:shd w:fill="D0E4F7" w:val="clear"/>
        <w:spacing w:after="100" w:before="100"/>
        <w:ind w:left="200"/>
      </w:pPr>
      <w:r>
        <w:rPr>
          <w:rFonts w:ascii="Arial" w:cs="Arial" w:eastAsia="Arial" w:hAnsi="Arial"/>
          <w:i/>
          <w:iCs/>
          <w:color w:val="2C3E50"/>
          <w:sz w:val="19"/>
          <w:szCs w:val="19"/>
        </w:rPr>
        <w:t xml:space="preserve">Legend: Match = consistent | Gap (expected) = by design | CONFLICT = requires resolution | Normalization = format difference | Drug-unique = no equivalent in previous drugs, pipeline design note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Screenshot (Drugs@FDA)</w:t>
            </w:r>
          </w:p>
        </w:tc>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openFDA API</w:t>
            </w:r>
          </w:p>
        </w:tc>
        <w:tc>
          <w:tcPr>
            <w:tcW w:type="dxa" w:w="1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NDA 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219407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NDA219407</w:t>
            </w:r>
          </w:p>
        </w:tc>
        <w:tc>
          <w:tcPr>
            <w:tcW w:type="dxa" w:w="15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7E34"/>
                <w:sz w:val="19"/>
                <w:szCs w:val="19"/>
              </w:rPr>
              <w:t xml:space="preserve">Match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Brand 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DAWNZERA (AUTOINJECTOR)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DAWNZERA</w:t>
            </w:r>
          </w:p>
        </w:tc>
        <w:tc>
          <w:tcPr>
            <w:tcW w:type="dxa" w:w="15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bCs/>
                <w:color w:val="D35400"/>
                <w:sz w:val="19"/>
                <w:szCs w:val="19"/>
              </w:rPr>
              <w:t xml:space="preserve">Normalization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Active ingredient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DONIDALORSEN SODIUM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generic_name: DONIDALORSEN; substance_name: DONIDALORSEN SODIUM</w:t>
            </w:r>
          </w:p>
        </w:tc>
        <w:tc>
          <w:tcPr>
            <w:tcW w:type="dxa" w:w="156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tcPr>
          <w:p>
            <w:r>
              <w:rPr>
                <w:rFonts w:ascii="Arial" w:cs="Arial" w:eastAsia="Arial" w:hAnsi="Arial"/>
                <w:b/>
                <w:bCs/>
                <w:color w:val="C0392B"/>
                <w:sz w:val="19"/>
                <w:szCs w:val="19"/>
              </w:rPr>
              <w:t xml:space="preserve">CONFLICT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Strength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EQ 80MG BASE/0.8ML (repeated in parens)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80mg/0.8mL</w:t>
            </w:r>
          </w:p>
        </w:tc>
        <w:tc>
          <w:tcPr>
            <w:tcW w:type="dxa" w:w="15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bCs/>
                <w:color w:val="D35400"/>
                <w:sz w:val="19"/>
                <w:szCs w:val="19"/>
              </w:rPr>
              <w:t xml:space="preserve">Normalization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Dosage 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SOLUTION;SUBCUTANEOUS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Injection in single-dose autoinjector</w:t>
            </w:r>
          </w:p>
        </w:tc>
        <w:tc>
          <w:tcPr>
            <w:tcW w:type="dxa" w:w="15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bCs/>
                <w:color w:val="D35400"/>
                <w:sz w:val="19"/>
                <w:szCs w:val="19"/>
              </w:rPr>
              <w:t xml:space="preserve">Normalization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Route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SOLUTION;SUBCUTANEOUS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SUBCUTANEOUS</w:t>
            </w:r>
          </w:p>
        </w:tc>
        <w:tc>
          <w:tcPr>
            <w:tcW w:type="dxa" w:w="15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7E34"/>
                <w:sz w:val="19"/>
                <w:szCs w:val="19"/>
              </w:rPr>
              <w:t xml:space="preserve">Match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Marketing 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Prescription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Human Prescription Drug</w:t>
            </w:r>
          </w:p>
        </w:tc>
        <w:tc>
          <w:tcPr>
            <w:tcW w:type="dxa" w:w="15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7E34"/>
                <w:sz w:val="19"/>
                <w:szCs w:val="19"/>
              </w:rPr>
              <w:t xml:space="preserve">Match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Manufacturer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IONIS PHARMS INC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Ionis Pharmaceuticals Inc.</w:t>
            </w:r>
          </w:p>
        </w:tc>
        <w:tc>
          <w:tcPr>
            <w:tcW w:type="dxa" w:w="15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bCs/>
                <w:color w:val="D35400"/>
                <w:sz w:val="19"/>
                <w:szCs w:val="19"/>
              </w:rPr>
              <w:t xml:space="preserve">Normalization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Original Approval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08/21/2025 (ORIG-1)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Inferred from label</w:t>
            </w:r>
          </w:p>
        </w:tc>
        <w:tc>
          <w:tcPr>
            <w:tcW w:type="dxa" w:w="15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7E34"/>
                <w:sz w:val="19"/>
                <w:szCs w:val="19"/>
              </w:rPr>
              <w:t xml:space="preserve">Match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Label version / 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ORIG-1 (08/21/2025)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Version 1, effective 09/24/2025</w:t>
            </w:r>
          </w:p>
        </w:tc>
        <w:tc>
          <w:tcPr>
            <w:tcW w:type="dxa" w:w="156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tcPr>
          <w:p>
            <w:r>
              <w:rPr>
                <w:rFonts w:ascii="Arial" w:cs="Arial" w:eastAsia="Arial" w:hAnsi="Arial"/>
                <w:b/>
                <w:bCs/>
                <w:color w:val="C0392B"/>
                <w:sz w:val="19"/>
                <w:szCs w:val="19"/>
              </w:rPr>
              <w:t xml:space="preserve">CONFLICT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Orphan 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STANDARD; Orphan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in API openfda block</w:t>
            </w:r>
          </w:p>
        </w:tc>
        <w:tc>
          <w:tcPr>
            <w:tcW w:type="dxa" w:w="15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C8962A"/>
                <w:sz w:val="19"/>
                <w:szCs w:val="19"/>
              </w:rPr>
              <w:t xml:space="preserve">Gap (expected)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RLD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in API</w:t>
            </w:r>
          </w:p>
        </w:tc>
        <w:tc>
          <w:tcPr>
            <w:tcW w:type="dxa" w:w="15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C8962A"/>
                <w:sz w:val="19"/>
                <w:szCs w:val="19"/>
              </w:rPr>
              <w:t xml:space="preserve">Gap (expected)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in API</w:t>
            </w:r>
          </w:p>
        </w:tc>
        <w:tc>
          <w:tcPr>
            <w:tcW w:type="dxa" w:w="15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C8962A"/>
                <w:sz w:val="19"/>
                <w:szCs w:val="19"/>
              </w:rPr>
              <w:t xml:space="preserve">Gap (expected)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TE 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in API</w:t>
            </w:r>
          </w:p>
        </w:tc>
        <w:tc>
          <w:tcPr>
            <w:tcW w:type="dxa" w:w="15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C8962A"/>
                <w:sz w:val="19"/>
                <w:szCs w:val="19"/>
              </w:rPr>
              <w:t xml:space="preserve">Gap (expected)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Submission Classification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Type 1 – NME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in API</w:t>
            </w:r>
          </w:p>
        </w:tc>
        <w:tc>
          <w:tcPr>
            <w:tcW w:type="dxa" w:w="15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C8962A"/>
                <w:sz w:val="19"/>
                <w:szCs w:val="19"/>
              </w:rPr>
              <w:t xml:space="preserve">Gap (expected)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Contraindication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visible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Anaphylaxis history (Section 4)</w:t>
            </w:r>
          </w:p>
        </w:tc>
        <w:tc>
          <w:tcPr>
            <w:tcW w:type="dxa" w:w="15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C8962A"/>
                <w:sz w:val="19"/>
                <w:szCs w:val="19"/>
              </w:rPr>
              <w:t xml:space="preserve">Gap (expected)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Pharm class EPC/MoA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shown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in API (absent)</w:t>
            </w:r>
          </w:p>
        </w:tc>
        <w:tc>
          <w:tcPr>
            <w:tcW w:type="dxa" w:w="15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C8962A"/>
                <w:sz w:val="19"/>
                <w:szCs w:val="19"/>
              </w:rPr>
              <w:t xml:space="preserve">Gap (expected)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NDC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shown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71860-103-01</w:t>
            </w:r>
          </w:p>
        </w:tc>
        <w:tc>
          <w:tcPr>
            <w:tcW w:type="dxa" w:w="15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C8962A"/>
                <w:sz w:val="19"/>
                <w:szCs w:val="19"/>
              </w:rPr>
              <w:t xml:space="preserve">Gap (expected)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RxCUI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shown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2724447, 2724453</w:t>
            </w:r>
          </w:p>
        </w:tc>
        <w:tc>
          <w:tcPr>
            <w:tcW w:type="dxa" w:w="15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C8962A"/>
                <w:sz w:val="19"/>
                <w:szCs w:val="19"/>
              </w:rPr>
              <w:t xml:space="preserve">Gap (expected)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UNII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shown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Y30VEG5PH1</w:t>
            </w:r>
          </w:p>
        </w:tc>
        <w:tc>
          <w:tcPr>
            <w:tcW w:type="dxa" w:w="15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C8962A"/>
                <w:sz w:val="19"/>
                <w:szCs w:val="19"/>
              </w:rPr>
              <w:t xml:space="preserve">Gap (expected)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Platelet reduction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visible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~9.6% mean decrease at 25 wks (Q4W dose)</w:t>
            </w:r>
          </w:p>
        </w:tc>
        <w:tc>
          <w:tcPr>
            <w:tcW w:type="dxa" w:w="1560"/>
            <w:tcBorders>
              <w:top w:val="single" w:color="CCCCCC" w:sz="1"/>
              <w:left w:val="single" w:color="CCCCCC" w:sz="1"/>
              <w:bottom w:val="single" w:color="CCCCCC" w:sz="1"/>
              <w:right w:val="single" w:color="CCCCCC" w:sz="1"/>
            </w:tcBorders>
            <w:shd w:fill="E0F2F1" w:val="clear"/>
            <w:tcMar>
              <w:top w:type="dxa" w:w="80"/>
              <w:left w:type="dxa" w:w="140"/>
              <w:bottom w:type="dxa" w:w="80"/>
              <w:right w:type="dxa" w:w="140"/>
            </w:tcMar>
          </w:tcPr>
          <w:p>
            <w:r>
              <w:rPr>
                <w:rFonts w:ascii="Arial" w:cs="Arial" w:eastAsia="Arial" w:hAnsi="Arial"/>
                <w:b/>
                <w:bCs/>
                <w:color w:val="117A65"/>
                <w:sz w:val="19"/>
                <w:szCs w:val="19"/>
              </w:rPr>
              <w:t xml:space="preserve">Drug-unique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ADA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visible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20-22% (controlled trial); 35% (OLE)</w:t>
            </w:r>
          </w:p>
        </w:tc>
        <w:tc>
          <w:tcPr>
            <w:tcW w:type="dxa" w:w="1560"/>
            <w:tcBorders>
              <w:top w:val="single" w:color="CCCCCC" w:sz="1"/>
              <w:left w:val="single" w:color="CCCCCC" w:sz="1"/>
              <w:bottom w:val="single" w:color="CCCCCC" w:sz="1"/>
              <w:right w:val="single" w:color="CCCCCC" w:sz="1"/>
            </w:tcBorders>
            <w:shd w:fill="E0F2F1" w:val="clear"/>
            <w:tcMar>
              <w:top w:type="dxa" w:w="80"/>
              <w:left w:type="dxa" w:w="140"/>
              <w:bottom w:type="dxa" w:w="80"/>
              <w:right w:type="dxa" w:w="140"/>
            </w:tcMar>
          </w:tcPr>
          <w:p>
            <w:r>
              <w:rPr>
                <w:rFonts w:ascii="Arial" w:cs="Arial" w:eastAsia="Arial" w:hAnsi="Arial"/>
                <w:b/>
                <w:bCs/>
                <w:color w:val="117A65"/>
                <w:sz w:val="19"/>
                <w:szCs w:val="19"/>
              </w:rPr>
              <w:t xml:space="preserve">Drug-unique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Room-temp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visible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Up to 30°C for 6 weeks (unique in series)</w:t>
            </w:r>
          </w:p>
        </w:tc>
        <w:tc>
          <w:tcPr>
            <w:tcW w:type="dxa" w:w="1560"/>
            <w:tcBorders>
              <w:top w:val="single" w:color="CCCCCC" w:sz="1"/>
              <w:left w:val="single" w:color="CCCCCC" w:sz="1"/>
              <w:bottom w:val="single" w:color="CCCCCC" w:sz="1"/>
              <w:right w:val="single" w:color="CCCCCC" w:sz="1"/>
            </w:tcBorders>
            <w:shd w:fill="E0F2F1" w:val="clear"/>
            <w:tcMar>
              <w:top w:type="dxa" w:w="80"/>
              <w:left w:type="dxa" w:w="140"/>
              <w:bottom w:type="dxa" w:w="80"/>
              <w:right w:type="dxa" w:w="140"/>
            </w:tcMar>
          </w:tcPr>
          <w:p>
            <w:r>
              <w:rPr>
                <w:rFonts w:ascii="Arial" w:cs="Arial" w:eastAsia="Arial" w:hAnsi="Arial"/>
                <w:b/>
                <w:bCs/>
                <w:color w:val="117A65"/>
                <w:sz w:val="19"/>
                <w:szCs w:val="19"/>
              </w:rPr>
              <w:t xml:space="preserve">Drug-unique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Dual dosing frequencies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visible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Q4W and Q8W both approved</w:t>
            </w:r>
          </w:p>
        </w:tc>
        <w:tc>
          <w:tcPr>
            <w:tcW w:type="dxa" w:w="1560"/>
            <w:tcBorders>
              <w:top w:val="single" w:color="CCCCCC" w:sz="1"/>
              <w:left w:val="single" w:color="CCCCCC" w:sz="1"/>
              <w:bottom w:val="single" w:color="CCCCCC" w:sz="1"/>
              <w:right w:val="single" w:color="CCCCCC" w:sz="1"/>
            </w:tcBorders>
            <w:shd w:fill="E0F2F1" w:val="clear"/>
            <w:tcMar>
              <w:top w:type="dxa" w:w="80"/>
              <w:left w:type="dxa" w:w="140"/>
              <w:bottom w:type="dxa" w:w="80"/>
              <w:right w:type="dxa" w:w="140"/>
            </w:tcMar>
          </w:tcPr>
          <w:p>
            <w:r>
              <w:rPr>
                <w:rFonts w:ascii="Arial" w:cs="Arial" w:eastAsia="Arial" w:hAnsi="Arial"/>
                <w:b/>
                <w:bCs/>
                <w:color w:val="117A65"/>
                <w:sz w:val="19"/>
                <w:szCs w:val="19"/>
              </w:rPr>
              <w:t xml:space="preserve">Drug-unique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Mechanism 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visible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ASO-GalNAc conjugate / mRNA degradation</w:t>
            </w:r>
          </w:p>
        </w:tc>
        <w:tc>
          <w:tcPr>
            <w:tcW w:type="dxa" w:w="1560"/>
            <w:tcBorders>
              <w:top w:val="single" w:color="CCCCCC" w:sz="1"/>
              <w:left w:val="single" w:color="CCCCCC" w:sz="1"/>
              <w:bottom w:val="single" w:color="CCCCCC" w:sz="1"/>
              <w:right w:val="single" w:color="CCCCCC" w:sz="1"/>
            </w:tcBorders>
            <w:shd w:fill="E0F2F1" w:val="clear"/>
            <w:tcMar>
              <w:top w:type="dxa" w:w="80"/>
              <w:left w:type="dxa" w:w="140"/>
              <w:bottom w:type="dxa" w:w="80"/>
              <w:right w:type="dxa" w:w="140"/>
            </w:tcMar>
          </w:tcPr>
          <w:p>
            <w:r>
              <w:rPr>
                <w:rFonts w:ascii="Arial" w:cs="Arial" w:eastAsia="Arial" w:hAnsi="Arial"/>
                <w:b/>
                <w:bCs/>
                <w:color w:val="117A65"/>
                <w:sz w:val="19"/>
                <w:szCs w:val="19"/>
              </w:rPr>
              <w:t xml:space="preserve">Drug-unique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M8 metabolite interaction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visible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M8 inhibits MATE1; substrate of BSEP/OATP1B3</w:t>
            </w:r>
          </w:p>
        </w:tc>
        <w:tc>
          <w:tcPr>
            <w:tcW w:type="dxa" w:w="1560"/>
            <w:tcBorders>
              <w:top w:val="single" w:color="CCCCCC" w:sz="1"/>
              <w:left w:val="single" w:color="CCCCCC" w:sz="1"/>
              <w:bottom w:val="single" w:color="CCCCCC" w:sz="1"/>
              <w:right w:val="single" w:color="CCCCCC" w:sz="1"/>
            </w:tcBorders>
            <w:shd w:fill="E0F2F1" w:val="clear"/>
            <w:tcMar>
              <w:top w:type="dxa" w:w="80"/>
              <w:left w:type="dxa" w:w="140"/>
              <w:bottom w:type="dxa" w:w="80"/>
              <w:right w:type="dxa" w:w="140"/>
            </w:tcMar>
          </w:tcPr>
          <w:p>
            <w:r>
              <w:rPr>
                <w:rFonts w:ascii="Arial" w:cs="Arial" w:eastAsia="Arial" w:hAnsi="Arial"/>
                <w:b/>
                <w:bCs/>
                <w:color w:val="117A65"/>
                <w:sz w:val="19"/>
                <w:szCs w:val="19"/>
              </w:rPr>
              <w:t xml:space="preserve">Drug-unique</w:t>
            </w:r>
          </w:p>
        </w:tc>
      </w:tr>
    </w:tbl>
    <w:p>
      <w:r>
        <w:t xml:space="preserve"/>
      </w:r>
    </w:p>
    <w:p>
      <w:pPr>
        <w:pStyle w:val="Heading1"/>
        <w:pBdr>
          <w:bottom w:val="single" w:color="2E6DA4" w:sz="8" w:space="4"/>
        </w:pBdr>
        <w:spacing w:after="120" w:before="320"/>
      </w:pPr>
      <w:r>
        <w:rPr>
          <w:rFonts w:ascii="Arial" w:cs="Arial" w:eastAsia="Arial" w:hAnsi="Arial"/>
          <w:b/>
          <w:bCs/>
          <w:color w:val="1B3A6B"/>
          <w:sz w:val="28"/>
          <w:szCs w:val="28"/>
        </w:rPr>
        <w:t xml:space="preserve">4. Conflicts — Detail &amp; Resolution Guidance</w:t>
      </w:r>
    </w:p>
    <w:p>
      <w:pPr>
        <w:pStyle w:val="Heading2"/>
        <w:spacing w:after="80" w:before="240"/>
      </w:pPr>
      <w:r>
        <w:rPr>
          <w:rFonts w:ascii="Arial" w:cs="Arial" w:eastAsia="Arial" w:hAnsi="Arial"/>
          <w:b/>
          <w:bCs/>
          <w:color w:val="2E6DA4"/>
          <w:sz w:val="24"/>
          <w:szCs w:val="24"/>
        </w:rPr>
        <w:t xml:space="preserve">CONFLICT 1 — Active Ingredient / Salt Form Inconsistency (Internal API Error)</w:t>
      </w:r>
    </w:p>
    <w:p>
      <w:pPr>
        <w:pBdr>
          <w:left w:val="single" w:color="C0392B" w:sz="20" w:space="8"/>
        </w:pBdr>
        <w:shd w:fill="FFEBEE" w:val="clear"/>
        <w:spacing w:after="100" w:before="100"/>
        <w:ind w:left="200"/>
      </w:pPr>
      <w:r>
        <w:rPr>
          <w:rFonts w:ascii="Arial" w:cs="Arial" w:eastAsia="Arial" w:hAnsi="Arial"/>
          <w:b/>
          <w:bCs/>
          <w:color w:val="C0392B"/>
          <w:sz w:val="19"/>
          <w:szCs w:val="19"/>
        </w:rPr>
        <w:t xml:space="preserve">⚠ This is an internal inconsistency within the API response itself: generic_name and substance_name fields disagree on whether to use the free acid or sodium salt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37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37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Screenshot (active ingredient)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DONIDALORSEN SODIUM</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Drugs@FDA product table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API generic_name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DONIDALORSEN (free acid)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openfda.generic_name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API substance_name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DONIDALORSEN SODIUM (salt)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openfda.substance_name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Label body (description)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'donidalorsen sodium' is the active ingredient. 80mg donidalorsen = 84mg donidalorsen sodium.</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Section 11 Description</w:t>
            </w:r>
          </w:p>
        </w:tc>
      </w:tr>
    </w:tbl>
    <w:p>
      <w:pPr>
        <w:spacing w:after="60" w:before="60"/>
      </w:pPr>
      <w:r>
        <w:rPr>
          <w:rFonts w:ascii="Arial" w:cs="Arial" w:eastAsia="Arial" w:hAnsi="Arial"/>
          <w:b/>
          <w:bCs/>
          <w:sz w:val="19"/>
          <w:szCs w:val="19"/>
        </w:rPr>
        <w:t xml:space="preserve">Explanation:</w:t>
      </w:r>
    </w:p>
    <w:p>
      <w:pPr>
        <w:pStyle w:val="ListParagraph"/>
        <w:numPr>
          <w:ilvl w:val="0"/>
          <w:numId w:val="2"/>
        </w:numPr>
        <w:spacing w:after="40" w:before="40"/>
      </w:pPr>
      <w:r>
        <w:rPr>
          <w:rFonts w:ascii="Arial" w:cs="Arial" w:eastAsia="Arial" w:hAnsi="Arial"/>
          <w:b w:val="false"/>
          <w:bCs w:val="false"/>
          <w:sz w:val="19"/>
          <w:szCs w:val="19"/>
        </w:rPr>
        <w:t xml:space="preserve">The drug is formulated as donidalorsen sodium (the salt form). 80mg free base = 84mg sodium salt.</w:t>
      </w:r>
    </w:p>
    <w:p>
      <w:pPr>
        <w:pStyle w:val="ListParagraph"/>
        <w:numPr>
          <w:ilvl w:val="0"/>
          <w:numId w:val="2"/>
        </w:numPr>
        <w:spacing w:after="40" w:before="40"/>
      </w:pPr>
      <w:r>
        <w:rPr>
          <w:rFonts w:ascii="Arial" w:cs="Arial" w:eastAsia="Arial" w:hAnsi="Arial"/>
          <w:b w:val="false"/>
          <w:bCs w:val="false"/>
          <w:sz w:val="19"/>
          <w:szCs w:val="19"/>
        </w:rPr>
        <w:t xml:space="preserve">openfda.generic_name returns the INN (free acid, donidalorsen) while openfda.substance_name returns the correct formulated salt form (donidalorsen sodium).</w:t>
      </w:r>
    </w:p>
    <w:p>
      <w:pPr>
        <w:pStyle w:val="ListParagraph"/>
        <w:numPr>
          <w:ilvl w:val="0"/>
          <w:numId w:val="2"/>
        </w:numPr>
        <w:spacing w:after="40" w:before="40"/>
      </w:pPr>
      <w:r>
        <w:rPr>
          <w:rFonts w:ascii="Arial" w:cs="Arial" w:eastAsia="Arial" w:hAnsi="Arial"/>
          <w:b w:val="false"/>
          <w:bCs w:val="false"/>
          <w:sz w:val="19"/>
          <w:szCs w:val="19"/>
        </w:rPr>
        <w:t xml:space="preserve">The screenshots and the label body both correctly identify donidalorsen sodium as the active ingredient.</w:t>
      </w:r>
    </w:p>
    <w:p>
      <w:pPr>
        <w:pStyle w:val="ListParagraph"/>
        <w:numPr>
          <w:ilvl w:val="0"/>
          <w:numId w:val="2"/>
        </w:numPr>
        <w:spacing w:after="40" w:before="40"/>
      </w:pPr>
      <w:r>
        <w:rPr>
          <w:rFonts w:ascii="Arial" w:cs="Arial" w:eastAsia="Arial" w:hAnsi="Arial"/>
          <w:b w:val="false"/>
          <w:bCs w:val="false"/>
          <w:sz w:val="19"/>
          <w:szCs w:val="19"/>
        </w:rPr>
        <w:t xml:space="preserve">This is the same pattern seen in Berotralstat (berotralstat vs berotralstat hydrochloride) but here the inconsistency is within the API's own fields, not just between API and screenshots.</w:t>
      </w:r>
    </w:p>
    <w:p>
      <w:pPr>
        <w:spacing w:after="60" w:before="60"/>
      </w:pPr>
      <w:r>
        <w:rPr>
          <w:rFonts w:ascii="Arial" w:cs="Arial" w:eastAsia="Arial" w:hAnsi="Arial"/>
          <w:b/>
          <w:bCs/>
          <w:sz w:val="19"/>
          <w:szCs w:val="19"/>
        </w:rPr>
        <w:t xml:space="preserve">Pipeline resolution:</w:t>
      </w:r>
    </w:p>
    <w:p>
      <w:pPr>
        <w:pStyle w:val="ListParagraph"/>
        <w:numPr>
          <w:ilvl w:val="0"/>
          <w:numId w:val="2"/>
        </w:numPr>
        <w:spacing w:after="40" w:before="40"/>
      </w:pPr>
      <w:r>
        <w:rPr>
          <w:rFonts w:ascii="Arial" w:cs="Arial" w:eastAsia="Arial" w:hAnsi="Arial"/>
          <w:b/>
          <w:bCs/>
          <w:sz w:val="19"/>
          <w:szCs w:val="19"/>
        </w:rPr>
        <w:t xml:space="preserve">Use openfda.substance_name as the authoritative active ingredient field for salt-form drugs, not generic_name.</w:t>
      </w:r>
    </w:p>
    <w:p>
      <w:pPr>
        <w:pStyle w:val="ListParagraph"/>
        <w:numPr>
          <w:ilvl w:val="0"/>
          <w:numId w:val="2"/>
        </w:numPr>
        <w:spacing w:after="40" w:before="40"/>
      </w:pPr>
      <w:r>
        <w:rPr>
          <w:rFonts w:ascii="Arial" w:cs="Arial" w:eastAsia="Arial" w:hAnsi="Arial"/>
          <w:b w:val="false"/>
          <w:bCs w:val="false"/>
          <w:sz w:val="19"/>
          <w:szCs w:val="19"/>
        </w:rPr>
        <w:t xml:space="preserve">Store both values: inn_free_acid (donidalorsen) and active_ingredient_formulated (donidalorsen sodium), with the conversion factor (80mg base = 84mg sodium salt).</w:t>
      </w:r>
    </w:p>
    <w:p>
      <w:pPr>
        <w:pStyle w:val="ListParagraph"/>
        <w:numPr>
          <w:ilvl w:val="0"/>
          <w:numId w:val="2"/>
        </w:numPr>
        <w:spacing w:after="40" w:before="40"/>
      </w:pPr>
      <w:r>
        <w:rPr>
          <w:rFonts w:ascii="Arial" w:cs="Arial" w:eastAsia="Arial" w:hAnsi="Arial"/>
          <w:b w:val="false"/>
          <w:bCs w:val="false"/>
          <w:sz w:val="19"/>
          <w:szCs w:val="19"/>
        </w:rPr>
        <w:t xml:space="preserve">Flag any drug where generic_name != substance_name (excluding salt modifiers) for manual review.</w:t>
      </w:r>
    </w:p>
    <w:p>
      <w:pPr>
        <w:pStyle w:val="ListParagraph"/>
        <w:numPr>
          <w:ilvl w:val="0"/>
          <w:numId w:val="2"/>
        </w:numPr>
        <w:spacing w:after="40" w:before="40"/>
      </w:pPr>
      <w:r>
        <w:rPr>
          <w:rFonts w:ascii="Arial" w:cs="Arial" w:eastAsia="Arial" w:hAnsi="Arial"/>
          <w:b w:val="false"/>
          <w:bCs w:val="false"/>
          <w:sz w:val="19"/>
          <w:szCs w:val="19"/>
        </w:rPr>
        <w:t xml:space="preserve">Always cross-check against the description section in the label body for strength conversion details.</w:t>
      </w:r>
    </w:p>
    <w:p>
      <w:r>
        <w:t xml:space="preserve"/>
      </w:r>
    </w:p>
    <w:p>
      <w:pPr>
        <w:pStyle w:val="Heading2"/>
        <w:spacing w:after="80" w:before="240"/>
      </w:pPr>
      <w:r>
        <w:rPr>
          <w:rFonts w:ascii="Arial" w:cs="Arial" w:eastAsia="Arial" w:hAnsi="Arial"/>
          <w:b/>
          <w:bCs/>
          <w:color w:val="2E6DA4"/>
          <w:sz w:val="24"/>
          <w:szCs w:val="24"/>
        </w:rPr>
        <w:t xml:space="preserve">CONFLICT 2 — Label Version Gap (34-Day Post-Approval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37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Screenshot</w:t>
            </w:r>
          </w:p>
        </w:tc>
        <w:tc>
          <w:tcPr>
            <w:tcW w:type="dxa" w:w="37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API</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Approval / Label date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ORIG-1, 08/21/2025</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Version 1, effective_time 09/24/2025</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IFU approved date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visible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08/2025 (from IFU text)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Patient Info issued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visible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08/2025 (from Patient Info text)</w:t>
            </w:r>
          </w:p>
        </w:tc>
      </w:tr>
    </w:tbl>
    <w:p>
      <w:pPr>
        <w:spacing w:after="60" w:before="60"/>
      </w:pPr>
      <w:r>
        <w:rPr>
          <w:rFonts w:ascii="Arial" w:cs="Arial" w:eastAsia="Arial" w:hAnsi="Arial"/>
          <w:b/>
          <w:bCs/>
          <w:sz w:val="19"/>
          <w:szCs w:val="19"/>
        </w:rPr>
        <w:t xml:space="preserve">Explanation:</w:t>
      </w:r>
    </w:p>
    <w:p>
      <w:pPr>
        <w:pStyle w:val="ListParagraph"/>
        <w:numPr>
          <w:ilvl w:val="0"/>
          <w:numId w:val="2"/>
        </w:numPr>
        <w:spacing w:after="40" w:before="40"/>
      </w:pPr>
      <w:r>
        <w:rPr>
          <w:rFonts w:ascii="Arial" w:cs="Arial" w:eastAsia="Arial" w:hAnsi="Arial"/>
          <w:b w:val="false"/>
          <w:bCs w:val="false"/>
          <w:sz w:val="19"/>
          <w:szCs w:val="19"/>
        </w:rPr>
        <w:t xml:space="preserve">Original FDA approval was 08/21/2025. Both the IFU and Patient Information reference 08/2025 as their approval/issuance date.</w:t>
      </w:r>
    </w:p>
    <w:p>
      <w:pPr>
        <w:pStyle w:val="ListParagraph"/>
        <w:numPr>
          <w:ilvl w:val="0"/>
          <w:numId w:val="2"/>
        </w:numPr>
        <w:spacing w:after="40" w:before="40"/>
      </w:pPr>
      <w:r>
        <w:rPr>
          <w:rFonts w:ascii="Arial" w:cs="Arial" w:eastAsia="Arial" w:hAnsi="Arial"/>
          <w:b w:val="false"/>
          <w:bCs w:val="false"/>
          <w:sz w:val="19"/>
          <w:szCs w:val="19"/>
        </w:rPr>
        <w:t xml:space="preserve">The API label effective_time is 09/24/2025 — 34 days after the original approval. This is API Version 1, meaning it's not a supplement per se, but the SPL submitted to FDA has been revised since the original label.</w:t>
      </w:r>
    </w:p>
    <w:p>
      <w:pPr>
        <w:pStyle w:val="ListParagraph"/>
        <w:numPr>
          <w:ilvl w:val="0"/>
          <w:numId w:val="2"/>
        </w:numPr>
        <w:spacing w:after="40" w:before="40"/>
      </w:pPr>
      <w:r>
        <w:rPr>
          <w:rFonts w:ascii="Arial" w:cs="Arial" w:eastAsia="Arial" w:hAnsi="Arial"/>
          <w:b w:val="false"/>
          <w:bCs w:val="false"/>
          <w:sz w:val="19"/>
          <w:szCs w:val="19"/>
        </w:rPr>
        <w:t xml:space="preserve">This pattern of a 'Version 1' label dated post-approval appears across recently-approved drugs in this series (Garadacimab had a 14-day gap, Donidalorsen has 34 days). It likely reflects FDA's internal SPL processing and post-approval SPL corrections.</w:t>
      </w:r>
    </w:p>
    <w:p>
      <w:pPr>
        <w:spacing w:after="60" w:before="60"/>
      </w:pPr>
      <w:r>
        <w:rPr>
          <w:rFonts w:ascii="Arial" w:cs="Arial" w:eastAsia="Arial" w:hAnsi="Arial"/>
          <w:b/>
          <w:bCs/>
          <w:sz w:val="19"/>
          <w:szCs w:val="19"/>
        </w:rPr>
        <w:t xml:space="preserve">Pipeline resolution:</w:t>
      </w:r>
    </w:p>
    <w:p>
      <w:pPr>
        <w:pStyle w:val="ListParagraph"/>
        <w:numPr>
          <w:ilvl w:val="0"/>
          <w:numId w:val="2"/>
        </w:numPr>
        <w:spacing w:after="40" w:before="40"/>
      </w:pPr>
      <w:r>
        <w:rPr>
          <w:rFonts w:ascii="Arial" w:cs="Arial" w:eastAsia="Arial" w:hAnsi="Arial"/>
          <w:b w:val="false"/>
          <w:bCs w:val="false"/>
          <w:sz w:val="19"/>
          <w:szCs w:val="19"/>
        </w:rPr>
        <w:t xml:space="preserve">Store effective_time as the authoritative label date, not the FDA approval date.</w:t>
      </w:r>
    </w:p>
    <w:p>
      <w:pPr>
        <w:pStyle w:val="ListParagraph"/>
        <w:numPr>
          <w:ilvl w:val="0"/>
          <w:numId w:val="2"/>
        </w:numPr>
        <w:spacing w:after="40" w:before="40"/>
      </w:pPr>
      <w:r>
        <w:rPr>
          <w:rFonts w:ascii="Arial" w:cs="Arial" w:eastAsia="Arial" w:hAnsi="Arial"/>
          <w:b/>
          <w:bCs/>
          <w:sz w:val="19"/>
          <w:szCs w:val="19"/>
        </w:rPr>
        <w:t xml:space="preserve">For newly-approved drugs, the approval date and the first API effective_time will differ. Store both.</w:t>
      </w:r>
    </w:p>
    <w:p>
      <w:pPr>
        <w:pStyle w:val="ListParagraph"/>
        <w:numPr>
          <w:ilvl w:val="0"/>
          <w:numId w:val="2"/>
        </w:numPr>
        <w:spacing w:after="40" w:before="40"/>
      </w:pPr>
      <w:r>
        <w:rPr>
          <w:rFonts w:ascii="Arial" w:cs="Arial" w:eastAsia="Arial" w:hAnsi="Arial"/>
          <w:b w:val="false"/>
          <w:bCs w:val="false"/>
          <w:sz w:val="19"/>
          <w:szCs w:val="19"/>
        </w:rPr>
        <w:t xml:space="preserve">Do not use version number to infer supplement count for recently-approved drugs.</w:t>
      </w:r>
    </w:p>
    <w:p>
      <w:r>
        <w:t xml:space="preserve"/>
      </w:r>
    </w:p>
    <w:p>
      <w:pPr>
        <w:pStyle w:val="Heading2"/>
        <w:spacing w:after="80" w:before="240"/>
      </w:pPr>
      <w:r>
        <w:rPr>
          <w:rFonts w:ascii="Arial" w:cs="Arial" w:eastAsia="Arial" w:hAnsi="Arial"/>
          <w:b/>
          <w:bCs/>
          <w:color w:val="2E6DA4"/>
          <w:sz w:val="24"/>
          <w:szCs w:val="24"/>
        </w:rPr>
        <w:t xml:space="preserve">CONFLICT 3 — Active Ingredient Name in Strength Field (Salt vs. Base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37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Screenshot</w:t>
            </w:r>
          </w:p>
        </w:tc>
        <w:tc>
          <w:tcPr>
            <w:tcW w:type="dxa" w:w="37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API</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Strength display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EQ 80MG BASE/0.8ML (EQ 80MG BASE/0.8ML)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80 mg/0.8 mL</w:t>
            </w:r>
          </w:p>
        </w:tc>
      </w:tr>
    </w:tbl>
    <w:p>
      <w:pPr>
        <w:spacing w:after="60" w:before="60"/>
      </w:pPr>
      <w:r>
        <w:rPr>
          <w:rFonts w:ascii="Arial" w:cs="Arial" w:eastAsia="Arial" w:hAnsi="Arial"/>
          <w:b/>
          <w:bCs/>
          <w:sz w:val="19"/>
          <w:szCs w:val="19"/>
        </w:rPr>
        <w:t xml:space="preserve">Explanation:</w:t>
      </w:r>
    </w:p>
    <w:p>
      <w:pPr>
        <w:pStyle w:val="ListParagraph"/>
        <w:numPr>
          <w:ilvl w:val="0"/>
          <w:numId w:val="2"/>
        </w:numPr>
        <w:spacing w:after="40" w:before="40"/>
      </w:pPr>
      <w:r>
        <w:rPr>
          <w:rFonts w:ascii="Arial" w:cs="Arial" w:eastAsia="Arial" w:hAnsi="Arial"/>
          <w:b w:val="false"/>
          <w:bCs w:val="false"/>
          <w:sz w:val="19"/>
          <w:szCs w:val="19"/>
        </w:rPr>
        <w:t xml:space="preserve">The 'EQ 80MG BASE/0.8ML' notation in the screenshot uses the 'EQ BASE' qualifier, confirming that the 80mg refers to the free base equivalent (same as the INN dose). The parenthetical repetition is a Drugs@FDA display artifact.</w:t>
      </w:r>
    </w:p>
    <w:p>
      <w:pPr>
        <w:pStyle w:val="ListParagraph"/>
        <w:numPr>
          <w:ilvl w:val="0"/>
          <w:numId w:val="2"/>
        </w:numPr>
        <w:spacing w:after="40" w:before="40"/>
      </w:pPr>
      <w:r>
        <w:rPr>
          <w:rFonts w:ascii="Arial" w:cs="Arial" w:eastAsia="Arial" w:hAnsi="Arial"/>
          <w:b w:val="false"/>
          <w:bCs w:val="false"/>
          <w:sz w:val="19"/>
          <w:szCs w:val="19"/>
        </w:rPr>
        <w:t xml:space="preserve">The API is straightforward: 80mg/0.8mL. These represent the same dose.</w:t>
      </w:r>
    </w:p>
    <w:p>
      <w:pPr>
        <w:spacing w:after="60" w:before="60"/>
      </w:pPr>
      <w:r>
        <w:rPr>
          <w:rFonts w:ascii="Arial" w:cs="Arial" w:eastAsia="Arial" w:hAnsi="Arial"/>
          <w:b/>
          <w:bCs/>
          <w:sz w:val="19"/>
          <w:szCs w:val="19"/>
        </w:rPr>
        <w:t xml:space="preserve">Pipeline resolution:</w:t>
      </w:r>
    </w:p>
    <w:p>
      <w:pPr>
        <w:pStyle w:val="ListParagraph"/>
        <w:numPr>
          <w:ilvl w:val="0"/>
          <w:numId w:val="2"/>
        </w:numPr>
        <w:spacing w:after="40" w:before="40"/>
      </w:pPr>
      <w:r>
        <w:rPr>
          <w:rFonts w:ascii="Arial" w:cs="Arial" w:eastAsia="Arial" w:hAnsi="Arial"/>
          <w:b w:val="false"/>
          <w:bCs w:val="false"/>
          <w:sz w:val="19"/>
          <w:szCs w:val="19"/>
        </w:rPr>
        <w:t xml:space="preserve">Strip the 'EQ' and 'BASE' qualifiers and deduplicate the parenthetical during normalisation.</w:t>
      </w:r>
    </w:p>
    <w:p>
      <w:pPr>
        <w:pStyle w:val="ListParagraph"/>
        <w:numPr>
          <w:ilvl w:val="0"/>
          <w:numId w:val="2"/>
        </w:numPr>
        <w:spacing w:after="40" w:before="40"/>
      </w:pPr>
      <w:r>
        <w:rPr>
          <w:rFonts w:ascii="Arial" w:cs="Arial" w:eastAsia="Arial" w:hAnsi="Arial"/>
          <w:b w:val="false"/>
          <w:bCs w:val="false"/>
          <w:sz w:val="19"/>
          <w:szCs w:val="19"/>
        </w:rPr>
        <w:t xml:space="preserve">Store: dose_value = 80, dose_unit = mg, volume = 0.8, volume_unit = mL, concentration = 100mg/mL.</w:t>
      </w:r>
    </w:p>
    <w:p>
      <w:r>
        <w:t xml:space="preserve"/>
      </w:r>
    </w:p>
    <w:p>
      <w:pPr>
        <w:pStyle w:val="Heading1"/>
        <w:pBdr>
          <w:bottom w:val="single" w:color="2E6DA4" w:sz="8" w:space="4"/>
        </w:pBdr>
        <w:spacing w:after="120" w:before="320"/>
      </w:pPr>
      <w:r>
        <w:rPr>
          <w:rFonts w:ascii="Arial" w:cs="Arial" w:eastAsia="Arial" w:hAnsi="Arial"/>
          <w:b/>
          <w:bCs/>
          <w:color w:val="1B3A6B"/>
          <w:sz w:val="28"/>
          <w:szCs w:val="28"/>
        </w:rPr>
        <w:t xml:space="preserve">5. Notable Pipeline Flags (Drug-Unique Architectural Considerations)</w:t>
      </w:r>
    </w:p>
    <w:p>
      <w:pPr>
        <w:pStyle w:val="Heading2"/>
        <w:spacing w:after="80" w:before="240"/>
      </w:pPr>
      <w:r>
        <w:rPr>
          <w:rFonts w:ascii="Arial" w:cs="Arial" w:eastAsia="Arial" w:hAnsi="Arial"/>
          <w:b/>
          <w:bCs/>
          <w:color w:val="2E6DA4"/>
          <w:sz w:val="24"/>
          <w:szCs w:val="24"/>
        </w:rPr>
        <w:t xml:space="preserve">5.1 ASO-GalNAc Conjugate — Unique Drug Class in Dataset</w:t>
      </w:r>
    </w:p>
    <w:p>
      <w:pPr>
        <w:pBdr>
          <w:left w:val="single" w:color="117A65" w:sz="16" w:space="8"/>
        </w:pBdr>
        <w:shd w:fill="E0F2F1" w:val="clear"/>
        <w:spacing w:after="100" w:before="100"/>
        <w:ind w:left="200"/>
      </w:pPr>
      <w:r>
        <w:rPr>
          <w:rFonts w:ascii="Arial" w:cs="Arial" w:eastAsia="Arial" w:hAnsi="Arial"/>
          <w:b/>
          <w:bCs/>
          <w:color w:val="117A65"/>
          <w:sz w:val="19"/>
          <w:szCs w:val="19"/>
        </w:rPr>
        <w:t xml:space="preserve">ℹ Donidalorsen is the only oligonucleotide in the HAE drug dataset. Its mechanism, PK, metabolism, and interaction profile are fundamentally different from all other drugs in this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51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Donidalorsen (ASO)</w:t>
            </w:r>
          </w:p>
        </w:tc>
        <w:tc>
          <w:tcPr>
            <w:tcW w:type="dxa" w:w="351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All other HAE drugs in series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Drug class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Antisense oligonucleotide (ASO)</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mAb (Lanadelumab, Garadacimab) or small molecule (Berotralstat)</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Target type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mRNA (PKK mRNA → degrades it via RNase H1)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Protein (enzyme, receptor)</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Delivery system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GalNAc conjugate for hepatocyte-specific uptake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None / standard SC distribution</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Application type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NDA (small molecule pathway)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BLA (Lanadelumab, Garadacimab) or NDA (Berotralstat)</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Metabolism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Endonucleases/exonucleases (ASO moiety); hydrolysis + CYP3A4 (linker/M8 metabolite)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CYP450 (Berotralstat), catabolic peptides (mAbs)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CYP interaction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a CYP substrate or inhibitor (ASO). Linker metabolite M8 is CYP3A4 substrate.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Berotralstat: moderate CYP2D6/3A4 inhibitor. mAbs: no CYP.</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Protein binding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&gt;98%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~99% (Berotralstat), negligible (mAbs)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Half-life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~1 month (terminal); ~5h (rapid distribution phase)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1.4h (Icatibant), 14-17 days (mAbs), 93h (Berotralstat)</w:t>
            </w:r>
          </w:p>
        </w:tc>
      </w:tr>
    </w:tbl>
    <w:p>
      <w:pPr>
        <w:pStyle w:val="ListParagraph"/>
        <w:numPr>
          <w:ilvl w:val="0"/>
          <w:numId w:val="2"/>
        </w:numPr>
        <w:spacing w:after="40" w:before="40"/>
      </w:pPr>
      <w:r>
        <w:rPr>
          <w:rFonts w:ascii="Arial" w:cs="Arial" w:eastAsia="Arial" w:hAnsi="Arial"/>
          <w:b/>
          <w:bCs/>
          <w:sz w:val="19"/>
          <w:szCs w:val="19"/>
        </w:rPr>
        <w:t xml:space="preserve">Store drug_class = 'ASO-GalNAc conjugate' and mechanism_class = 'mRNA degradation (RNase H1-mediated)' separately from protein-level inhibitors.</w:t>
      </w:r>
    </w:p>
    <w:p>
      <w:pPr>
        <w:pStyle w:val="ListParagraph"/>
        <w:numPr>
          <w:ilvl w:val="0"/>
          <w:numId w:val="2"/>
        </w:numPr>
        <w:spacing w:after="40" w:before="40"/>
      </w:pPr>
      <w:r>
        <w:rPr>
          <w:rFonts w:ascii="Arial" w:cs="Arial" w:eastAsia="Arial" w:hAnsi="Arial"/>
          <w:b w:val="false"/>
          <w:bCs w:val="false"/>
          <w:sz w:val="19"/>
          <w:szCs w:val="19"/>
        </w:rPr>
        <w:t xml:space="preserve">The pipeline's interaction model for ASOs must handle: (1) ASO moiety: not CYP metabolised, not a transporter substrate/inhibitor; (2) Linker metabolite M8: CYP3A4 substrate, MATE1 inhibitor, BSEP/OATP1B3 substrate. These are distinct compartments.</w:t>
      </w:r>
    </w:p>
    <w:p>
      <w:pPr>
        <w:pStyle w:val="ListParagraph"/>
        <w:numPr>
          <w:ilvl w:val="0"/>
          <w:numId w:val="2"/>
        </w:numPr>
        <w:spacing w:after="40" w:before="40"/>
      </w:pPr>
      <w:r>
        <w:rPr>
          <w:rFonts w:ascii="Arial" w:cs="Arial" w:eastAsia="Arial" w:hAnsi="Arial"/>
          <w:b w:val="false"/>
          <w:bCs w:val="false"/>
          <w:sz w:val="19"/>
          <w:szCs w:val="19"/>
        </w:rPr>
        <w:t xml:space="preserve">GalNAc conjugation means hepatic distribution is intentional and dominant. Store tissue_distribution = 'liver (primary), kidney cortex (secondary)'.</w:t>
      </w:r>
    </w:p>
    <w:p>
      <w:r>
        <w:t xml:space="preserve"/>
      </w:r>
    </w:p>
    <w:p>
      <w:pPr>
        <w:pStyle w:val="Heading2"/>
        <w:spacing w:after="80" w:before="240"/>
      </w:pPr>
      <w:r>
        <w:rPr>
          <w:rFonts w:ascii="Arial" w:cs="Arial" w:eastAsia="Arial" w:hAnsi="Arial"/>
          <w:b/>
          <w:bCs/>
          <w:color w:val="2E6DA4"/>
          <w:sz w:val="24"/>
          <w:szCs w:val="24"/>
        </w:rPr>
        <w:t xml:space="preserve">5.2 Dual Dosing Frequency — Q4W and Q8W Both Approved</w:t>
      </w:r>
    </w:p>
    <w:p>
      <w:pPr>
        <w:pBdr>
          <w:left w:val="single" w:color="117A65" w:sz="16" w:space="8"/>
        </w:pBdr>
        <w:shd w:fill="E0F2F1" w:val="clear"/>
        <w:spacing w:after="100" w:before="100"/>
        <w:ind w:left="200"/>
      </w:pPr>
      <w:r>
        <w:rPr>
          <w:rFonts w:ascii="Arial" w:cs="Arial" w:eastAsia="Arial" w:hAnsi="Arial"/>
          <w:b/>
          <w:bCs/>
          <w:color w:val="117A65"/>
          <w:sz w:val="19"/>
          <w:szCs w:val="19"/>
        </w:rPr>
        <w:t xml:space="preserve">ℹ Unlike all other drugs in the series which have one primary dosing frequency, Donidalorsen has two fully approved dosing regimens. This requires the pipeline to store two regimens per drug record.</w:t>
      </w:r>
    </w:p>
    <w:p>
      <w:pPr>
        <w:pStyle w:val="ListParagraph"/>
        <w:numPr>
          <w:ilvl w:val="0"/>
          <w:numId w:val="2"/>
        </w:numPr>
        <w:spacing w:after="40" w:before="40"/>
      </w:pPr>
      <w:r>
        <w:rPr>
          <w:rFonts w:ascii="Arial" w:cs="Arial" w:eastAsia="Arial" w:hAnsi="Arial"/>
          <w:b w:val="false"/>
          <w:bCs w:val="false"/>
          <w:sz w:val="19"/>
          <w:szCs w:val="19"/>
        </w:rPr>
        <w:t xml:space="preserve">Q4W (80mg every 4 weeks): primary recommended dose. 81% attack rate reduction vs placebo.</w:t>
      </w:r>
    </w:p>
    <w:p>
      <w:pPr>
        <w:pStyle w:val="ListParagraph"/>
        <w:numPr>
          <w:ilvl w:val="0"/>
          <w:numId w:val="2"/>
        </w:numPr>
        <w:spacing w:after="40" w:before="40"/>
      </w:pPr>
      <w:r>
        <w:rPr>
          <w:rFonts w:ascii="Arial" w:cs="Arial" w:eastAsia="Arial" w:hAnsi="Arial"/>
          <w:b/>
          <w:bCs/>
          <w:sz w:val="19"/>
          <w:szCs w:val="19"/>
        </w:rPr>
        <w:t xml:space="preserve">Q8W (80mg every 8 weeks): approved alternative. 55% attack rate reduction vs placebo.</w:t>
      </w:r>
    </w:p>
    <w:p>
      <w:pPr>
        <w:pStyle w:val="ListParagraph"/>
        <w:numPr>
          <w:ilvl w:val="0"/>
          <w:numId w:val="2"/>
        </w:numPr>
        <w:spacing w:after="40" w:before="40"/>
      </w:pPr>
      <w:r>
        <w:rPr>
          <w:rFonts w:ascii="Arial" w:cs="Arial" w:eastAsia="Arial" w:hAnsi="Arial"/>
          <w:b w:val="false"/>
          <w:bCs w:val="false"/>
          <w:sz w:val="19"/>
          <w:szCs w:val="19"/>
        </w:rPr>
        <w:t xml:space="preserve">C_max,ss is nearly identical across both regimens (417 vs 416 ng/mL) due to no Cmax accumulation. C_trough,ss differs significantly: 0.755 vs 0.255 ng/mL.</w:t>
      </w:r>
    </w:p>
    <w:p>
      <w:pPr>
        <w:pStyle w:val="ListParagraph"/>
        <w:numPr>
          <w:ilvl w:val="0"/>
          <w:numId w:val="2"/>
        </w:numPr>
        <w:spacing w:after="40" w:before="40"/>
      </w:pPr>
      <w:r>
        <w:rPr>
          <w:rFonts w:ascii="Arial" w:cs="Arial" w:eastAsia="Arial" w:hAnsi="Arial"/>
          <w:b w:val="false"/>
          <w:bCs w:val="false"/>
          <w:sz w:val="19"/>
          <w:szCs w:val="19"/>
        </w:rPr>
        <w:t xml:space="preserve">Pipeline dosing schema must store both frequency options with their respective efficacy data. A single 'dose' field cannot represent this drug.</w:t>
      </w:r>
    </w:p>
    <w:p>
      <w:pPr>
        <w:pStyle w:val="ListParagraph"/>
        <w:numPr>
          <w:ilvl w:val="0"/>
          <w:numId w:val="2"/>
        </w:numPr>
        <w:spacing w:after="40" w:before="40"/>
      </w:pPr>
      <w:r>
        <w:rPr>
          <w:rFonts w:ascii="Arial" w:cs="Arial" w:eastAsia="Arial" w:hAnsi="Arial"/>
          <w:b w:val="false"/>
          <w:bCs w:val="false"/>
          <w:sz w:val="19"/>
          <w:szCs w:val="19"/>
        </w:rPr>
        <w:t xml:space="preserve">PKK reduction data also differs by regimen: 73% (Q4W) vs 47% (Q8W) reduction from baseline.</w:t>
      </w:r>
    </w:p>
    <w:p>
      <w:r>
        <w:t xml:space="preserve"/>
      </w:r>
    </w:p>
    <w:p>
      <w:pPr>
        <w:pStyle w:val="Heading2"/>
        <w:spacing w:after="80" w:before="240"/>
      </w:pPr>
      <w:r>
        <w:rPr>
          <w:rFonts w:ascii="Arial" w:cs="Arial" w:eastAsia="Arial" w:hAnsi="Arial"/>
          <w:b/>
          <w:bCs/>
          <w:color w:val="2E6DA4"/>
          <w:sz w:val="24"/>
          <w:szCs w:val="24"/>
        </w:rPr>
        <w:t xml:space="preserve">5.3 Platelet Count Reduction — Pharmacological Safety Signal</w:t>
      </w:r>
    </w:p>
    <w:p>
      <w:pPr>
        <w:pBdr>
          <w:left w:val="single" w:color="117A65" w:sz="16" w:space="8"/>
        </w:pBdr>
        <w:shd w:fill="E0F2F1" w:val="clear"/>
        <w:spacing w:after="100" w:before="100"/>
        <w:ind w:left="200"/>
      </w:pPr>
      <w:r>
        <w:rPr>
          <w:rFonts w:ascii="Arial" w:cs="Arial" w:eastAsia="Arial" w:hAnsi="Arial"/>
          <w:b/>
          <w:bCs/>
          <w:color w:val="117A65"/>
          <w:sz w:val="19"/>
          <w:szCs w:val="19"/>
        </w:rPr>
        <w:t xml:space="preserve">ℹ Donidalorsen causes measurable platelet count reduction (~9.6% Q4W, ~7.9% Q8W at 25 weeks). This is a pharmacological effect, not an assay artifact. No platelet count &lt;50,000/mm³ and no major bleeding events observed.</w:t>
      </w:r>
    </w:p>
    <w:p>
      <w:pPr>
        <w:pStyle w:val="ListParagraph"/>
        <w:numPr>
          <w:ilvl w:val="0"/>
          <w:numId w:val="2"/>
        </w:numPr>
        <w:spacing w:after="40" w:before="40"/>
      </w:pPr>
      <w:r>
        <w:rPr>
          <w:rFonts w:ascii="Arial" w:cs="Arial" w:eastAsia="Arial" w:hAnsi="Arial"/>
          <w:b/>
          <w:bCs/>
          <w:sz w:val="19"/>
          <w:szCs w:val="19"/>
        </w:rPr>
        <w:t xml:space="preserve">This is distinct from the coagulation assay artifacts seen with Lanadelumab (aPTT) and Garadacimab (aPTT + PT/INR).</w:t>
      </w:r>
    </w:p>
    <w:p>
      <w:pPr>
        <w:pStyle w:val="ListParagraph"/>
        <w:numPr>
          <w:ilvl w:val="0"/>
          <w:numId w:val="2"/>
        </w:numPr>
        <w:spacing w:after="40" w:before="40"/>
      </w:pPr>
      <w:r>
        <w:rPr>
          <w:rFonts w:ascii="Arial" w:cs="Arial" w:eastAsia="Arial" w:hAnsi="Arial"/>
          <w:b w:val="false"/>
          <w:bCs w:val="false"/>
          <w:sz w:val="19"/>
          <w:szCs w:val="19"/>
        </w:rPr>
        <w:t xml:space="preserve">Store as: platelet_effect = true, mechanism = pharmacological, clinical_significance = low (no counts &lt;50,000, no major bleeding).</w:t>
      </w:r>
    </w:p>
    <w:p>
      <w:pPr>
        <w:pStyle w:val="ListParagraph"/>
        <w:numPr>
          <w:ilvl w:val="0"/>
          <w:numId w:val="2"/>
        </w:numPr>
        <w:spacing w:after="40" w:before="40"/>
      </w:pPr>
      <w:r>
        <w:rPr>
          <w:rFonts w:ascii="Arial" w:cs="Arial" w:eastAsia="Arial" w:hAnsi="Arial"/>
          <w:b w:val="false"/>
          <w:bCs w:val="false"/>
          <w:sz w:val="19"/>
          <w:szCs w:val="19"/>
        </w:rPr>
        <w:t xml:space="preserve">Pipeline clinical decision support must flag: patients on Donidalorsen who have platelet counts ordered should expect a ~10% reduction from baseline.</w:t>
      </w:r>
    </w:p>
    <w:p>
      <w:pPr>
        <w:pStyle w:val="ListParagraph"/>
        <w:numPr>
          <w:ilvl w:val="0"/>
          <w:numId w:val="2"/>
        </w:numPr>
        <w:spacing w:after="40" w:before="40"/>
      </w:pPr>
      <w:r>
        <w:rPr>
          <w:rFonts w:ascii="Arial" w:cs="Arial" w:eastAsia="Arial" w:hAnsi="Arial"/>
          <w:b w:val="false"/>
          <w:bCs w:val="false"/>
          <w:sz w:val="19"/>
          <w:szCs w:val="19"/>
        </w:rPr>
        <w:t xml:space="preserve">Liver function tests (ALT, AST, GGT) also elevated in a minority. Store as: hepatic_monitoring_required = true.</w:t>
      </w:r>
    </w:p>
    <w:p>
      <w:r>
        <w:t xml:space="preserve"/>
      </w:r>
    </w:p>
    <w:p>
      <w:pPr>
        <w:pStyle w:val="Heading2"/>
        <w:spacing w:after="80" w:before="240"/>
      </w:pPr>
      <w:r>
        <w:rPr>
          <w:rFonts w:ascii="Arial" w:cs="Arial" w:eastAsia="Arial" w:hAnsi="Arial"/>
          <w:b/>
          <w:bCs/>
          <w:color w:val="2E6DA4"/>
          <w:sz w:val="24"/>
          <w:szCs w:val="24"/>
        </w:rPr>
        <w:t xml:space="preserve">5.4 ADA Rate — Highest in Series (35% in OLE)</w:t>
      </w:r>
    </w:p>
    <w:p>
      <w:pPr>
        <w:pBdr>
          <w:left w:val="single" w:color="117A65" w:sz="16" w:space="8"/>
        </w:pBdr>
        <w:shd w:fill="E0F2F1" w:val="clear"/>
        <w:spacing w:after="100" w:before="100"/>
        <w:ind w:left="200"/>
      </w:pPr>
      <w:r>
        <w:rPr>
          <w:rFonts w:ascii="Arial" w:cs="Arial" w:eastAsia="Arial" w:hAnsi="Arial"/>
          <w:b/>
          <w:bCs/>
          <w:color w:val="117A65"/>
          <w:sz w:val="19"/>
          <w:szCs w:val="19"/>
        </w:rPr>
        <w:t xml:space="preserve">ℹ Anti-drug antibody incidence: 20-22% in the controlled OASIS-HAE trial, rising to 35% in the 3-year open-label extension. This is the highest ADA rate of any drug assessed.</w:t>
      </w:r>
    </w:p>
    <w:p>
      <w:pPr>
        <w:pStyle w:val="ListParagraph"/>
        <w:numPr>
          <w:ilvl w:val="0"/>
          <w:numId w:val="2"/>
        </w:numPr>
        <w:spacing w:after="40" w:before="40"/>
      </w:pPr>
      <w:r>
        <w:rPr>
          <w:rFonts w:ascii="Arial" w:cs="Arial" w:eastAsia="Arial" w:hAnsi="Arial"/>
          <w:b w:val="false"/>
          <w:bCs w:val="false"/>
          <w:sz w:val="19"/>
          <w:szCs w:val="19"/>
        </w:rPr>
        <w:t xml:space="preserve">Despite high ADA rates, no clinically meaningful effect on pharmacodynamics, safety, or efficacy was found in most patients.</w:t>
      </w:r>
    </w:p>
    <w:p>
      <w:pPr>
        <w:pStyle w:val="ListParagraph"/>
        <w:numPr>
          <w:ilvl w:val="0"/>
          <w:numId w:val="2"/>
        </w:numPr>
        <w:spacing w:after="40" w:before="40"/>
      </w:pPr>
      <w:r>
        <w:rPr>
          <w:rFonts w:ascii="Arial" w:cs="Arial" w:eastAsia="Arial" w:hAnsi="Arial"/>
          <w:b/>
          <w:bCs/>
          <w:sz w:val="19"/>
          <w:szCs w:val="19"/>
        </w:rPr>
        <w:t xml:space="preserve">Exception: ADA-positive patients with HIGH TITERS showed increased donidalorsen plasma C_trough. Clinical significance is inconclusive due to small sample size.</w:t>
      </w:r>
    </w:p>
    <w:p>
      <w:pPr>
        <w:pStyle w:val="ListParagraph"/>
        <w:numPr>
          <w:ilvl w:val="0"/>
          <w:numId w:val="2"/>
        </w:numPr>
        <w:spacing w:after="40" w:before="40"/>
      </w:pPr>
      <w:r>
        <w:rPr>
          <w:rFonts w:ascii="Arial" w:cs="Arial" w:eastAsia="Arial" w:hAnsi="Arial"/>
          <w:b w:val="false"/>
          <w:bCs w:val="false"/>
          <w:sz w:val="19"/>
          <w:szCs w:val="19"/>
        </w:rPr>
        <w:t xml:space="preserve">Pipeline immunogenicity field should store: ada_rate_controlled (20-22%), ada_rate_ole (35%), ada_clinical_impact = 'generally no impact; inconclusive at high titers'.</w:t>
      </w:r>
    </w:p>
    <w:p>
      <w:pPr>
        <w:pStyle w:val="ListParagraph"/>
        <w:numPr>
          <w:ilvl w:val="0"/>
          <w:numId w:val="2"/>
        </w:numPr>
        <w:spacing w:after="40" w:before="40"/>
      </w:pPr>
      <w:r>
        <w:rPr>
          <w:rFonts w:ascii="Arial" w:cs="Arial" w:eastAsia="Arial" w:hAnsi="Arial"/>
          <w:b w:val="false"/>
          <w:bCs w:val="false"/>
          <w:sz w:val="19"/>
          <w:szCs w:val="19"/>
        </w:rPr>
        <w:t xml:space="preserve">A threshold alert for ADA monitoring should be implemented in downstream clinical tools.</w:t>
      </w:r>
    </w:p>
    <w:p>
      <w:r>
        <w:t xml:space="preserve"/>
      </w:r>
    </w:p>
    <w:p>
      <w:pPr>
        <w:pStyle w:val="Heading2"/>
        <w:spacing w:after="80" w:before="240"/>
      </w:pPr>
      <w:r>
        <w:rPr>
          <w:rFonts w:ascii="Arial" w:cs="Arial" w:eastAsia="Arial" w:hAnsi="Arial"/>
          <w:b/>
          <w:bCs/>
          <w:color w:val="2E6DA4"/>
          <w:sz w:val="24"/>
          <w:szCs w:val="24"/>
        </w:rPr>
        <w:t xml:space="preserve">5.5 Room-Temperature Storage — Unique in Dataset</w:t>
      </w:r>
    </w:p>
    <w:p>
      <w:pPr>
        <w:pBdr>
          <w:left w:val="single" w:color="117A65" w:sz="16" w:space="8"/>
        </w:pBdr>
        <w:shd w:fill="E0F2F1" w:val="clear"/>
        <w:spacing w:after="100" w:before="100"/>
        <w:ind w:left="200"/>
      </w:pPr>
      <w:r>
        <w:rPr>
          <w:rFonts w:ascii="Arial" w:cs="Arial" w:eastAsia="Arial" w:hAnsi="Arial"/>
          <w:b/>
          <w:bCs/>
          <w:color w:val="117A65"/>
          <w:sz w:val="19"/>
          <w:szCs w:val="19"/>
        </w:rPr>
        <w:t xml:space="preserve">ℹ DAWNZERA is the only drug in this series with validated room-temperature storage: up to 30°C for up to 6 weeks. All other drugs require continuous refrigeration.</w:t>
      </w:r>
    </w:p>
    <w:p>
      <w:pPr>
        <w:pStyle w:val="ListParagraph"/>
        <w:numPr>
          <w:ilvl w:val="0"/>
          <w:numId w:val="2"/>
        </w:numPr>
        <w:spacing w:after="40" w:before="40"/>
      </w:pPr>
      <w:r>
        <w:rPr>
          <w:rFonts w:ascii="Arial" w:cs="Arial" w:eastAsia="Arial" w:hAnsi="Arial"/>
          <w:b w:val="false"/>
          <w:bCs w:val="false"/>
          <w:sz w:val="19"/>
          <w:szCs w:val="19"/>
        </w:rPr>
        <w:t xml:space="preserve">Storage schema must include: primary_storage = refrigerator (2-8°C); secondary_storage = room_temperature (up to 30°C, max 6 weeks); discard_after_room_temp = 6 weeks.</w:t>
      </w:r>
    </w:p>
    <w:p>
      <w:pPr>
        <w:pStyle w:val="ListParagraph"/>
        <w:numPr>
          <w:ilvl w:val="0"/>
          <w:numId w:val="2"/>
        </w:numPr>
        <w:spacing w:after="40" w:before="40"/>
      </w:pPr>
      <w:r>
        <w:rPr>
          <w:rFonts w:ascii="Arial" w:cs="Arial" w:eastAsia="Arial" w:hAnsi="Arial"/>
          <w:b/>
          <w:bCs/>
          <w:sz w:val="19"/>
          <w:szCs w:val="19"/>
        </w:rPr>
        <w:t xml:space="preserve">This is clinically significant for patient convenience and travel. Pipeline should store this as a distinct field, not just 'store refrigerated.'</w:t>
      </w:r>
    </w:p>
    <w:p>
      <w:pPr>
        <w:pStyle w:val="ListParagraph"/>
        <w:numPr>
          <w:ilvl w:val="0"/>
          <w:numId w:val="2"/>
        </w:numPr>
        <w:spacing w:after="40" w:before="40"/>
      </w:pPr>
      <w:r>
        <w:rPr>
          <w:rFonts w:ascii="Arial" w:cs="Arial" w:eastAsia="Arial" w:hAnsi="Arial"/>
          <w:b w:val="false"/>
          <w:bCs w:val="false"/>
          <w:sz w:val="19"/>
          <w:szCs w:val="19"/>
        </w:rPr>
        <w:t xml:space="preserve">The 6-week room-temp window is absolute. Drug must be discarded if not used within 6 weeks of removal from refrigerator.</w:t>
      </w:r>
    </w:p>
    <w:p>
      <w:r>
        <w:t xml:space="preserve"/>
      </w:r>
    </w:p>
    <w:p>
      <w:pPr>
        <w:pStyle w:val="Heading2"/>
        <w:spacing w:after="80" w:before="240"/>
      </w:pPr>
      <w:r>
        <w:rPr>
          <w:rFonts w:ascii="Arial" w:cs="Arial" w:eastAsia="Arial" w:hAnsi="Arial"/>
          <w:b/>
          <w:bCs/>
          <w:color w:val="2E6DA4"/>
          <w:sz w:val="24"/>
          <w:szCs w:val="24"/>
        </w:rPr>
        <w:t xml:space="preserve">5.6 Contraindication Present — First in Series</w:t>
      </w:r>
    </w:p>
    <w:p>
      <w:pPr>
        <w:pBdr>
          <w:left w:val="single" w:color="117A65" w:sz="16" w:space="8"/>
        </w:pBdr>
        <w:shd w:fill="E0F2F1" w:val="clear"/>
        <w:spacing w:after="100" w:before="100"/>
        <w:ind w:left="200"/>
      </w:pPr>
      <w:r>
        <w:rPr>
          <w:rFonts w:ascii="Arial" w:cs="Arial" w:eastAsia="Arial" w:hAnsi="Arial"/>
          <w:b/>
          <w:bCs/>
          <w:color w:val="117A65"/>
          <w:sz w:val="19"/>
          <w:szCs w:val="19"/>
        </w:rPr>
        <w:t xml:space="preserve">ℹ Section 4 lists an explicit contraindication: history of serious hypersensitivity reactions, including anaphylaxis. No other drug in this series has a formal Section 4 contraindication.</w:t>
      </w:r>
    </w:p>
    <w:p>
      <w:pPr>
        <w:pStyle w:val="ListParagraph"/>
        <w:numPr>
          <w:ilvl w:val="0"/>
          <w:numId w:val="2"/>
        </w:numPr>
        <w:spacing w:after="40" w:before="40"/>
      </w:pPr>
      <w:r>
        <w:rPr>
          <w:rFonts w:ascii="Arial" w:cs="Arial" w:eastAsia="Arial" w:hAnsi="Arial"/>
          <w:b w:val="false"/>
          <w:bCs w:val="false"/>
          <w:sz w:val="19"/>
          <w:szCs w:val="19"/>
        </w:rPr>
        <w:t xml:space="preserve">Garadacimab and Lanadelumab both have NONE in Section 4. Berotralstat has NONE.</w:t>
      </w:r>
    </w:p>
    <w:p>
      <w:pPr>
        <w:pStyle w:val="ListParagraph"/>
        <w:numPr>
          <w:ilvl w:val="0"/>
          <w:numId w:val="2"/>
        </w:numPr>
        <w:spacing w:after="40" w:before="40"/>
      </w:pPr>
      <w:r>
        <w:rPr>
          <w:rFonts w:ascii="Arial" w:cs="Arial" w:eastAsia="Arial" w:hAnsi="Arial"/>
          <w:b/>
          <w:bCs/>
          <w:sz w:val="19"/>
          <w:szCs w:val="19"/>
        </w:rPr>
        <w:t xml:space="preserve">Donidalorsen is contraindicated in any patient with prior serious hypersensitivity to donidalorsen or its excipients.</w:t>
      </w:r>
    </w:p>
    <w:p>
      <w:pPr>
        <w:pStyle w:val="ListParagraph"/>
        <w:numPr>
          <w:ilvl w:val="0"/>
          <w:numId w:val="2"/>
        </w:numPr>
        <w:spacing w:after="40" w:before="40"/>
      </w:pPr>
      <w:r>
        <w:rPr>
          <w:rFonts w:ascii="Arial" w:cs="Arial" w:eastAsia="Arial" w:hAnsi="Arial"/>
          <w:b w:val="false"/>
          <w:bCs w:val="false"/>
          <w:sz w:val="19"/>
          <w:szCs w:val="19"/>
        </w:rPr>
        <w:t xml:space="preserve">Pipeline contraindication field must not default to null or 'none' for all drugs. Implement per-drug conditional logic.</w:t>
      </w:r>
    </w:p>
    <w:p>
      <w:pPr>
        <w:pStyle w:val="ListParagraph"/>
        <w:numPr>
          <w:ilvl w:val="0"/>
          <w:numId w:val="2"/>
        </w:numPr>
        <w:spacing w:after="40" w:before="40"/>
      </w:pPr>
      <w:r>
        <w:rPr>
          <w:rFonts w:ascii="Arial" w:cs="Arial" w:eastAsia="Arial" w:hAnsi="Arial"/>
          <w:b w:val="false"/>
          <w:bCs w:val="false"/>
          <w:sz w:val="19"/>
          <w:szCs w:val="19"/>
        </w:rPr>
        <w:t xml:space="preserve">The hypersensitivity warning (Section 5.1) and contraindication (Section 4) are complementary: Section 4 blocks initiation; Section 5.1 addresses management during treatment.</w:t>
      </w:r>
    </w:p>
    <w:p>
      <w:r>
        <w:t xml:space="preserve"/>
      </w:r>
    </w:p>
    <w:p>
      <w:pPr>
        <w:pStyle w:val="Heading2"/>
        <w:spacing w:after="80" w:before="240"/>
      </w:pPr>
      <w:r>
        <w:rPr>
          <w:rFonts w:ascii="Arial" w:cs="Arial" w:eastAsia="Arial" w:hAnsi="Arial"/>
          <w:b/>
          <w:bCs/>
          <w:color w:val="2E6DA4"/>
          <w:sz w:val="24"/>
          <w:szCs w:val="24"/>
        </w:rPr>
        <w:t xml:space="preserve">5.7 M8 Metabolite Transporter Interactions</w:t>
      </w:r>
    </w:p>
    <w:p>
      <w:pPr>
        <w:pBdr>
          <w:left w:val="single" w:color="117A65" w:sz="16" w:space="8"/>
        </w:pBdr>
        <w:shd w:fill="E0F2F1" w:val="clear"/>
        <w:spacing w:after="100" w:before="100"/>
        <w:ind w:left="200"/>
      </w:pPr>
      <w:r>
        <w:rPr>
          <w:rFonts w:ascii="Arial" w:cs="Arial" w:eastAsia="Arial" w:hAnsi="Arial"/>
          <w:b/>
          <w:bCs/>
          <w:color w:val="117A65"/>
          <w:sz w:val="19"/>
          <w:szCs w:val="19"/>
        </w:rPr>
        <w:t xml:space="preserve">ℹ The ASO linker metabolite M8 has transporter interactions distinct from the ASO itself. These require separate storage in the pipeline.</w:t>
      </w:r>
    </w:p>
    <w:p>
      <w:pPr>
        <w:pStyle w:val="ListParagraph"/>
        <w:numPr>
          <w:ilvl w:val="0"/>
          <w:numId w:val="2"/>
        </w:numPr>
        <w:spacing w:after="40" w:before="40"/>
      </w:pPr>
      <w:r>
        <w:rPr>
          <w:rFonts w:ascii="Arial" w:cs="Arial" w:eastAsia="Arial" w:hAnsi="Arial"/>
          <w:b w:val="false"/>
          <w:bCs w:val="false"/>
          <w:sz w:val="19"/>
          <w:szCs w:val="19"/>
        </w:rPr>
        <w:t xml:space="preserve">ASO moiety (donidalorsen): NOT a substrate/inhibitor of CYP enzymes or transporters. Does not interact with plasma-protein-bound drugs.</w:t>
      </w:r>
    </w:p>
    <w:p>
      <w:pPr>
        <w:pStyle w:val="ListParagraph"/>
        <w:numPr>
          <w:ilvl w:val="0"/>
          <w:numId w:val="2"/>
        </w:numPr>
        <w:spacing w:after="40" w:before="40"/>
      </w:pPr>
      <w:r>
        <w:rPr>
          <w:rFonts w:ascii="Arial" w:cs="Arial" w:eastAsia="Arial" w:hAnsi="Arial"/>
          <w:b/>
          <w:bCs/>
          <w:sz w:val="19"/>
          <w:szCs w:val="19"/>
        </w:rPr>
        <w:t xml:space="preserve">M8 (linker metabolite): Substrate of BSEP and OATP1B3. Inhibitor of MATE1.</w:t>
      </w:r>
    </w:p>
    <w:p>
      <w:pPr>
        <w:pStyle w:val="ListParagraph"/>
        <w:numPr>
          <w:ilvl w:val="0"/>
          <w:numId w:val="2"/>
        </w:numPr>
        <w:spacing w:after="40" w:before="40"/>
      </w:pPr>
      <w:r>
        <w:rPr>
          <w:rFonts w:ascii="Arial" w:cs="Arial" w:eastAsia="Arial" w:hAnsi="Arial"/>
          <w:b w:val="false"/>
          <w:bCs w:val="false"/>
          <w:sz w:val="19"/>
          <w:szCs w:val="19"/>
        </w:rPr>
        <w:t xml:space="preserve">Clinical significance: 'No clinical drug-drug interaction studies have been performed.' In vitro data only.</w:t>
      </w:r>
    </w:p>
    <w:p>
      <w:pPr>
        <w:pStyle w:val="ListParagraph"/>
        <w:numPr>
          <w:ilvl w:val="0"/>
          <w:numId w:val="2"/>
        </w:numPr>
        <w:spacing w:after="40" w:before="40"/>
      </w:pPr>
      <w:r>
        <w:rPr>
          <w:rFonts w:ascii="Arial" w:cs="Arial" w:eastAsia="Arial" w:hAnsi="Arial"/>
          <w:b w:val="false"/>
          <w:bCs w:val="false"/>
          <w:sz w:val="19"/>
          <w:szCs w:val="19"/>
        </w:rPr>
        <w:t xml:space="preserve">Pipeline must store: aso_cYP_interaction = none; linker_metabolite_M8_transporters = [BSEP (substrate), OATP1B3 (substrate), MATE1 (inhibitor)].</w:t>
      </w:r>
    </w:p>
    <w:p>
      <w:pPr>
        <w:pStyle w:val="ListParagraph"/>
        <w:numPr>
          <w:ilvl w:val="0"/>
          <w:numId w:val="2"/>
        </w:numPr>
        <w:spacing w:after="40" w:before="40"/>
      </w:pPr>
      <w:r>
        <w:rPr>
          <w:rFonts w:ascii="Arial" w:cs="Arial" w:eastAsia="Arial" w:hAnsi="Arial"/>
          <w:b w:val="false"/>
          <w:bCs w:val="false"/>
          <w:sz w:val="19"/>
          <w:szCs w:val="19"/>
        </w:rPr>
        <w:t xml:space="preserve">This two-compartment interaction model (ASO vs. linker) is unique to ASO-conjugate drugs and not applicable to any other drug in this series.</w:t>
      </w:r>
    </w:p>
    <w:p>
      <w:r>
        <w:t xml:space="preserve"/>
      </w:r>
    </w:p>
    <w:p>
      <w:pPr>
        <w:pStyle w:val="Heading1"/>
        <w:pBdr>
          <w:bottom w:val="single" w:color="2E6DA4" w:sz="8" w:space="4"/>
        </w:pBdr>
        <w:spacing w:after="120" w:before="320"/>
      </w:pPr>
      <w:r>
        <w:rPr>
          <w:rFonts w:ascii="Arial" w:cs="Arial" w:eastAsia="Arial" w:hAnsi="Arial"/>
          <w:b/>
          <w:bCs/>
          <w:color w:val="1B3A6B"/>
          <w:sz w:val="28"/>
          <w:szCs w:val="28"/>
        </w:rPr>
        <w:t xml:space="preserve">6. API Gaps — Fields in Screenshots Not in openFDA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Missing Field</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Screenshot Value</w:t>
            </w:r>
          </w:p>
        </w:tc>
        <w:tc>
          <w:tcPr>
            <w:tcW w:type="dxa" w:w="5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Pipeline Implication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Orphan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STANDARD; Orphan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Must be sourced from Drugs@FDA application page.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RLD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First NDA drug in series with RLD=Yes. Relevant for generic equivalency — any generic donidalorsen ASO would reference this.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Reference Standard. First drug in series with RS=Yes. Store per product.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TE 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 therapeutic equivalence rating. Expected for novel class.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Submission Classification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Type 1 – NME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Available only in Drugs@FDA approval history. Not in API.</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Device type in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(AUTOINJECTOR) appended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Device qualifier in product name field. Pipeline may need to strip for normalised drug name.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Pharm Class EPC/MoA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Not shown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Absent from API. Likely classification: Prekallikrein Inhibitor [EPC] or similar — but requires external source.</w:t>
            </w:r>
          </w:p>
        </w:tc>
      </w:tr>
    </w:tbl>
    <w:p>
      <w:r>
        <w:t xml:space="preserve"/>
      </w:r>
    </w:p>
    <w:p>
      <w:pPr>
        <w:pStyle w:val="Heading1"/>
        <w:pBdr>
          <w:bottom w:val="single" w:color="2E6DA4" w:sz="8" w:space="4"/>
        </w:pBdr>
        <w:spacing w:after="120" w:before="320"/>
      </w:pPr>
      <w:r>
        <w:rPr>
          <w:rFonts w:ascii="Arial" w:cs="Arial" w:eastAsia="Arial" w:hAnsi="Arial"/>
          <w:b/>
          <w:bCs/>
          <w:color w:val="1B3A6B"/>
          <w:sz w:val="28"/>
          <w:szCs w:val="28"/>
        </w:rPr>
        <w:t xml:space="preserve">7. Pipeline Recommendations</w:t>
      </w:r>
    </w:p>
    <w:p>
      <w:pPr>
        <w:pStyle w:val="Heading2"/>
        <w:spacing w:after="80" w:before="240"/>
      </w:pPr>
      <w:r>
        <w:rPr>
          <w:rFonts w:ascii="Arial" w:cs="Arial" w:eastAsia="Arial" w:hAnsi="Arial"/>
          <w:b/>
          <w:bCs/>
          <w:color w:val="2E6DA4"/>
          <w:sz w:val="24"/>
          <w:szCs w:val="24"/>
        </w:rPr>
        <w:t xml:space="preserve">7.1 Salt Form Handling for Oligonucleotides</w:t>
      </w:r>
    </w:p>
    <w:p>
      <w:pPr>
        <w:pStyle w:val="ListParagraph"/>
        <w:numPr>
          <w:ilvl w:val="0"/>
          <w:numId w:val="2"/>
        </w:numPr>
        <w:spacing w:after="40" w:before="40"/>
      </w:pPr>
      <w:r>
        <w:rPr>
          <w:rFonts w:ascii="Arial" w:cs="Arial" w:eastAsia="Arial" w:hAnsi="Arial"/>
          <w:b/>
          <w:bCs/>
          <w:sz w:val="19"/>
          <w:szCs w:val="19"/>
        </w:rPr>
        <w:t xml:space="preserve">Implement salt-to-base conversion for ASO drugs (same pattern as small molecules): 80mg donidalorsen = 84mg donidalorsen sodium.</w:t>
      </w:r>
    </w:p>
    <w:p>
      <w:pPr>
        <w:pStyle w:val="ListParagraph"/>
        <w:numPr>
          <w:ilvl w:val="0"/>
          <w:numId w:val="2"/>
        </w:numPr>
        <w:spacing w:after="40" w:before="40"/>
      </w:pPr>
      <w:r>
        <w:rPr>
          <w:rFonts w:ascii="Arial" w:cs="Arial" w:eastAsia="Arial" w:hAnsi="Arial"/>
          <w:b w:val="false"/>
          <w:bCs w:val="false"/>
          <w:sz w:val="19"/>
          <w:szCs w:val="19"/>
        </w:rPr>
        <w:t xml:space="preserve">Use substance_name (donidalorsen sodium) as the formulated active ingredient; generic_name (donidalorsen) as the INN stem.</w:t>
      </w:r>
    </w:p>
    <w:p>
      <w:pPr>
        <w:pStyle w:val="ListParagraph"/>
        <w:numPr>
          <w:ilvl w:val="0"/>
          <w:numId w:val="2"/>
        </w:numPr>
        <w:spacing w:after="40" w:before="40"/>
      </w:pPr>
      <w:r>
        <w:rPr>
          <w:rFonts w:ascii="Arial" w:cs="Arial" w:eastAsia="Arial" w:hAnsi="Arial"/>
          <w:b w:val="false"/>
          <w:bCs w:val="false"/>
          <w:sz w:val="19"/>
          <w:szCs w:val="19"/>
        </w:rPr>
        <w:t xml:space="preserve">Flag any drug where generic_name and substance_name differ by salt modifier for human review.</w:t>
      </w:r>
    </w:p>
    <w:p>
      <w:pPr>
        <w:pStyle w:val="Heading2"/>
        <w:spacing w:after="80" w:before="240"/>
      </w:pPr>
      <w:r>
        <w:rPr>
          <w:rFonts w:ascii="Arial" w:cs="Arial" w:eastAsia="Arial" w:hAnsi="Arial"/>
          <w:b/>
          <w:bCs/>
          <w:color w:val="2E6DA4"/>
          <w:sz w:val="24"/>
          <w:szCs w:val="24"/>
        </w:rPr>
        <w:t xml:space="preserve">7.2 Dual Dosing Regimen Schema</w:t>
      </w:r>
    </w:p>
    <w:p>
      <w:pPr>
        <w:pStyle w:val="ListParagraph"/>
        <w:numPr>
          <w:ilvl w:val="0"/>
          <w:numId w:val="2"/>
        </w:numPr>
        <w:spacing w:after="40" w:before="40"/>
      </w:pPr>
      <w:r>
        <w:rPr>
          <w:rFonts w:ascii="Arial" w:cs="Arial" w:eastAsia="Arial" w:hAnsi="Arial"/>
          <w:b/>
          <w:bCs/>
          <w:sz w:val="19"/>
          <w:szCs w:val="19"/>
        </w:rPr>
        <w:t xml:space="preserve">Design dosing schema to support: dosing_regimen = array[{frequency: 'Q4W', dose: '80mg', status: 'recommended', attack_reduction: '81%'}, {frequency: 'Q8W', dose: '80mg', status: 'alternative', attack_reduction: '55%'}].</w:t>
      </w:r>
    </w:p>
    <w:p>
      <w:pPr>
        <w:pStyle w:val="ListParagraph"/>
        <w:numPr>
          <w:ilvl w:val="0"/>
          <w:numId w:val="2"/>
        </w:numPr>
        <w:spacing w:after="40" w:before="40"/>
      </w:pPr>
      <w:r>
        <w:rPr>
          <w:rFonts w:ascii="Arial" w:cs="Arial" w:eastAsia="Arial" w:hAnsi="Arial"/>
          <w:b w:val="false"/>
          <w:bCs w:val="false"/>
          <w:sz w:val="19"/>
          <w:szCs w:val="19"/>
        </w:rPr>
        <w:t xml:space="preserve">Do not flatten dual-frequency dosing into a single 'recommended dose' field.</w:t>
      </w:r>
    </w:p>
    <w:p>
      <w:pPr>
        <w:pStyle w:val="ListParagraph"/>
        <w:numPr>
          <w:ilvl w:val="0"/>
          <w:numId w:val="2"/>
        </w:numPr>
        <w:spacing w:after="40" w:before="40"/>
      </w:pPr>
      <w:r>
        <w:rPr>
          <w:rFonts w:ascii="Arial" w:cs="Arial" w:eastAsia="Arial" w:hAnsi="Arial"/>
          <w:b w:val="false"/>
          <w:bCs w:val="false"/>
          <w:sz w:val="19"/>
          <w:szCs w:val="19"/>
        </w:rPr>
        <w:t xml:space="preserve">PK parameters differ by regimen (especially C_trough). Store PK per regimen.</w:t>
      </w:r>
    </w:p>
    <w:p>
      <w:pPr>
        <w:pStyle w:val="Heading2"/>
        <w:spacing w:after="80" w:before="240"/>
      </w:pPr>
      <w:r>
        <w:rPr>
          <w:rFonts w:ascii="Arial" w:cs="Arial" w:eastAsia="Arial" w:hAnsi="Arial"/>
          <w:b/>
          <w:bCs/>
          <w:color w:val="2E6DA4"/>
          <w:sz w:val="24"/>
          <w:szCs w:val="24"/>
        </w:rPr>
        <w:t xml:space="preserve">7.3 ASO-Specific Mechanism Classification</w:t>
      </w:r>
    </w:p>
    <w:p>
      <w:pPr>
        <w:pStyle w:val="ListParagraph"/>
        <w:numPr>
          <w:ilvl w:val="0"/>
          <w:numId w:val="2"/>
        </w:numPr>
        <w:spacing w:after="40" w:before="40"/>
      </w:pPr>
      <w:r>
        <w:rPr>
          <w:rFonts w:ascii="Arial" w:cs="Arial" w:eastAsia="Arial" w:hAnsi="Arial"/>
          <w:b w:val="false"/>
          <w:bCs w:val="false"/>
          <w:sz w:val="19"/>
          <w:szCs w:val="19"/>
        </w:rPr>
        <w:t xml:space="preserve">Add drug_class = 'ASO-GalNAc conjugate' to the mechanism taxonomy alongside the HAE cascade taxonomy from the Garadacimab assessment.</w:t>
      </w:r>
    </w:p>
    <w:p>
      <w:pPr>
        <w:pStyle w:val="ListParagraph"/>
        <w:numPr>
          <w:ilvl w:val="0"/>
          <w:numId w:val="2"/>
        </w:numPr>
        <w:spacing w:after="40" w:before="40"/>
      </w:pPr>
      <w:r>
        <w:rPr>
          <w:rFonts w:ascii="Arial" w:cs="Arial" w:eastAsia="Arial" w:hAnsi="Arial"/>
          <w:b/>
          <w:bCs/>
          <w:sz w:val="19"/>
          <w:szCs w:val="19"/>
        </w:rPr>
        <w:t xml:space="preserve">Store mechanism_level: 'mRNA degradation (pre-translational)' to distinguish from protein-level inhibitors.</w:t>
      </w:r>
    </w:p>
    <w:p>
      <w:pPr>
        <w:pStyle w:val="ListParagraph"/>
        <w:numPr>
          <w:ilvl w:val="0"/>
          <w:numId w:val="2"/>
        </w:numPr>
        <w:spacing w:after="40" w:before="40"/>
      </w:pPr>
      <w:r>
        <w:rPr>
          <w:rFonts w:ascii="Arial" w:cs="Arial" w:eastAsia="Arial" w:hAnsi="Arial"/>
          <w:b w:val="false"/>
          <w:bCs w:val="false"/>
          <w:sz w:val="19"/>
          <w:szCs w:val="19"/>
        </w:rPr>
        <w:t xml:space="preserve">The cascade position: PKK mRNA → PKK protein → kallikrein → bradykinin. Donidalorsen acts at the mRNA level of PKK, upstream of Lanadelumab (acts on kallikrein protein) and Garadacimab (acts on FXIIa, upstream of PKK).</w:t>
      </w:r>
    </w:p>
    <w:p>
      <w:pPr>
        <w:pStyle w:val="Heading2"/>
        <w:spacing w:after="80" w:before="240"/>
      </w:pPr>
      <w:r>
        <w:rPr>
          <w:rFonts w:ascii="Arial" w:cs="Arial" w:eastAsia="Arial" w:hAnsi="Arial"/>
          <w:b/>
          <w:bCs/>
          <w:color w:val="2E6DA4"/>
          <w:sz w:val="24"/>
          <w:szCs w:val="24"/>
        </w:rPr>
        <w:t xml:space="preserve">7.4 Safety Monitoring Flags</w:t>
      </w:r>
    </w:p>
    <w:p>
      <w:pPr>
        <w:pStyle w:val="ListParagraph"/>
        <w:numPr>
          <w:ilvl w:val="0"/>
          <w:numId w:val="2"/>
        </w:numPr>
        <w:spacing w:after="40" w:before="40"/>
      </w:pPr>
      <w:r>
        <w:rPr>
          <w:rFonts w:ascii="Arial" w:cs="Arial" w:eastAsia="Arial" w:hAnsi="Arial"/>
          <w:b w:val="false"/>
          <w:bCs w:val="false"/>
          <w:sz w:val="19"/>
          <w:szCs w:val="19"/>
        </w:rPr>
        <w:t xml:space="preserve">Platelet monitoring: store platelet_effect_expected = true, platelet_reduction_mean_percent = 9.6 (Q4W), 7.9 (Q8W).</w:t>
      </w:r>
    </w:p>
    <w:p>
      <w:pPr>
        <w:pStyle w:val="ListParagraph"/>
        <w:numPr>
          <w:ilvl w:val="0"/>
          <w:numId w:val="2"/>
        </w:numPr>
        <w:spacing w:after="40" w:before="40"/>
      </w:pPr>
      <w:r>
        <w:rPr>
          <w:rFonts w:ascii="Arial" w:cs="Arial" w:eastAsia="Arial" w:hAnsi="Arial"/>
          <w:b w:val="false"/>
          <w:bCs w:val="false"/>
          <w:sz w:val="19"/>
          <w:szCs w:val="19"/>
        </w:rPr>
        <w:t xml:space="preserve">Hepatic monitoring: LFT elevations observed; use_not_recommended in moderate/severe hepatic impairment.</w:t>
      </w:r>
    </w:p>
    <w:p>
      <w:pPr>
        <w:pStyle w:val="ListParagraph"/>
        <w:numPr>
          <w:ilvl w:val="0"/>
          <w:numId w:val="2"/>
        </w:numPr>
        <w:spacing w:after="40" w:before="40"/>
      </w:pPr>
      <w:r>
        <w:rPr>
          <w:rFonts w:ascii="Arial" w:cs="Arial" w:eastAsia="Arial" w:hAnsi="Arial"/>
          <w:b w:val="false"/>
          <w:bCs w:val="false"/>
          <w:sz w:val="19"/>
          <w:szCs w:val="19"/>
        </w:rPr>
        <w:t xml:space="preserve">Hypersensitivity: contraindication for prior serious hypersensitivity; anaphylaxis warning during treatment.</w:t>
      </w:r>
    </w:p>
    <w:p>
      <w:pPr>
        <w:pStyle w:val="ListParagraph"/>
        <w:numPr>
          <w:ilvl w:val="0"/>
          <w:numId w:val="2"/>
        </w:numPr>
        <w:spacing w:after="40" w:before="40"/>
      </w:pPr>
      <w:r>
        <w:rPr>
          <w:rFonts w:ascii="Arial" w:cs="Arial" w:eastAsia="Arial" w:hAnsi="Arial"/>
          <w:b w:val="false"/>
          <w:bCs w:val="false"/>
          <w:sz w:val="19"/>
          <w:szCs w:val="19"/>
        </w:rPr>
        <w:t xml:space="preserve">ADA monitoring: high ADA rate (35% OLE); flag high-titer ADA patients for increased PK surveillance.</w:t>
      </w:r>
    </w:p>
    <w:p>
      <w:pPr>
        <w:pStyle w:val="Heading2"/>
        <w:spacing w:after="80" w:before="240"/>
      </w:pPr>
      <w:r>
        <w:rPr>
          <w:rFonts w:ascii="Arial" w:cs="Arial" w:eastAsia="Arial" w:hAnsi="Arial"/>
          <w:b/>
          <w:bCs/>
          <w:color w:val="2E6DA4"/>
          <w:sz w:val="24"/>
          <w:szCs w:val="24"/>
        </w:rPr>
        <w:t xml:space="preserve">7.5 Storage Model Enhancement</w:t>
      </w:r>
    </w:p>
    <w:p>
      <w:pPr>
        <w:pStyle w:val="ListParagraph"/>
        <w:numPr>
          <w:ilvl w:val="0"/>
          <w:numId w:val="2"/>
        </w:numPr>
        <w:spacing w:after="40" w:before="40"/>
      </w:pPr>
      <w:r>
        <w:rPr>
          <w:rFonts w:ascii="Arial" w:cs="Arial" w:eastAsia="Arial" w:hAnsi="Arial"/>
          <w:b w:val="false"/>
          <w:bCs w:val="false"/>
          <w:sz w:val="19"/>
          <w:szCs w:val="19"/>
        </w:rPr>
        <w:t xml:space="preserve">Expand storage model to 3 tiers:</w:t>
      </w:r>
    </w:p>
    <w:p>
      <w:pPr>
        <w:pStyle w:val="ListParagraph"/>
        <w:numPr>
          <w:ilvl w:val="0"/>
          <w:numId w:val="3"/>
        </w:numPr>
        <w:spacing w:after="30" w:before="30"/>
      </w:pPr>
      <w:r>
        <w:rPr>
          <w:rFonts w:ascii="Arial" w:cs="Arial" w:eastAsia="Arial" w:hAnsi="Arial"/>
          <w:sz w:val="18"/>
          <w:szCs w:val="18"/>
        </w:rPr>
        <w:t xml:space="preserve">Primary: Refrigerator 2-8°C (all drugs in series)</w:t>
      </w:r>
    </w:p>
    <w:p>
      <w:pPr>
        <w:pStyle w:val="ListParagraph"/>
        <w:numPr>
          <w:ilvl w:val="0"/>
          <w:numId w:val="3"/>
        </w:numPr>
        <w:spacing w:after="30" w:before="30"/>
      </w:pPr>
      <w:r>
        <w:rPr>
          <w:rFonts w:ascii="Arial" w:cs="Arial" w:eastAsia="Arial" w:hAnsi="Arial"/>
          <w:sz w:val="18"/>
          <w:szCs w:val="18"/>
        </w:rPr>
        <w:t xml:space="preserve">Secondary: Room temperature ≤30°C, max 6 weeks (Donidalorsen only in this series)</w:t>
      </w:r>
    </w:p>
    <w:p>
      <w:pPr>
        <w:pStyle w:val="ListParagraph"/>
        <w:numPr>
          <w:ilvl w:val="0"/>
          <w:numId w:val="3"/>
        </w:numPr>
        <w:spacing w:after="30" w:before="30"/>
      </w:pPr>
      <w:r>
        <w:rPr>
          <w:rFonts w:ascii="Arial" w:cs="Arial" w:eastAsia="Arial" w:hAnsi="Arial"/>
          <w:sz w:val="18"/>
          <w:szCs w:val="18"/>
        </w:rPr>
        <w:t xml:space="preserve">Tertiary: Freeze = never (all drugs)</w:t>
      </w:r>
    </w:p>
    <w:p>
      <w:pPr>
        <w:pStyle w:val="ListParagraph"/>
        <w:numPr>
          <w:ilvl w:val="0"/>
          <w:numId w:val="2"/>
        </w:numPr>
        <w:spacing w:after="40" w:before="40"/>
      </w:pPr>
      <w:r>
        <w:rPr>
          <w:rFonts w:ascii="Arial" w:cs="Arial" w:eastAsia="Arial" w:hAnsi="Arial"/>
          <w:b/>
          <w:bCs/>
          <w:sz w:val="19"/>
          <w:szCs w:val="19"/>
        </w:rPr>
        <w:t xml:space="preserve">Store discard_if_unrefrigerated_after = 6 weeks for Donidalorsen.</w:t>
      </w:r>
    </w:p>
    <w:p>
      <w:pPr>
        <w:pStyle w:val="ListParagraph"/>
        <w:numPr>
          <w:ilvl w:val="0"/>
          <w:numId w:val="2"/>
        </w:numPr>
        <w:spacing w:after="40" w:before="40"/>
      </w:pPr>
      <w:r>
        <w:rPr>
          <w:rFonts w:ascii="Arial" w:cs="Arial" w:eastAsia="Arial" w:hAnsi="Arial"/>
          <w:b w:val="false"/>
          <w:bCs w:val="false"/>
          <w:sz w:val="19"/>
          <w:szCs w:val="19"/>
        </w:rPr>
        <w:t xml:space="preserve">Implement a storage_flexibility flag: refrigerate_only vs. room_temp_permitted for downstream patient-facing applications.</w:t>
      </w:r>
    </w:p>
    <w:p>
      <w:pPr>
        <w:pStyle w:val="Heading2"/>
        <w:spacing w:after="80" w:before="240"/>
      </w:pPr>
      <w:r>
        <w:rPr>
          <w:rFonts w:ascii="Arial" w:cs="Arial" w:eastAsia="Arial" w:hAnsi="Arial"/>
          <w:b/>
          <w:bCs/>
          <w:color w:val="2E6DA4"/>
          <w:sz w:val="24"/>
          <w:szCs w:val="24"/>
        </w:rPr>
        <w:t xml:space="preserve">7.6 Contraindication Field</w:t>
      </w:r>
    </w:p>
    <w:p>
      <w:pPr>
        <w:pStyle w:val="ListParagraph"/>
        <w:numPr>
          <w:ilvl w:val="0"/>
          <w:numId w:val="2"/>
        </w:numPr>
        <w:spacing w:after="40" w:before="40"/>
      </w:pPr>
      <w:r>
        <w:rPr>
          <w:rFonts w:ascii="Arial" w:cs="Arial" w:eastAsia="Arial" w:hAnsi="Arial"/>
          <w:b/>
          <w:bCs/>
          <w:sz w:val="19"/>
          <w:szCs w:val="19"/>
        </w:rPr>
        <w:t xml:space="preserve">This is the first drug in the series with a populated Section 4 contraindication. Implement a contraindication field as an array, not a boolean.</w:t>
      </w:r>
    </w:p>
    <w:p>
      <w:pPr>
        <w:pStyle w:val="ListParagraph"/>
        <w:numPr>
          <w:ilvl w:val="0"/>
          <w:numId w:val="2"/>
        </w:numPr>
        <w:spacing w:after="40" w:before="40"/>
      </w:pPr>
      <w:r>
        <w:rPr>
          <w:rFonts w:ascii="Arial" w:cs="Arial" w:eastAsia="Arial" w:hAnsi="Arial"/>
          <w:b w:val="false"/>
          <w:bCs w:val="false"/>
          <w:sz w:val="19"/>
          <w:szCs w:val="19"/>
        </w:rPr>
        <w:t xml:space="preserve">contraindications = [{type: 'hypersensitivity', severity: 'serious/anaphylaxis', target: 'donidalorsen or excipients'}].</w:t>
      </w:r>
    </w:p>
    <w:p>
      <w:pPr>
        <w:pStyle w:val="ListParagraph"/>
        <w:numPr>
          <w:ilvl w:val="0"/>
          <w:numId w:val="2"/>
        </w:numPr>
        <w:spacing w:after="40" w:before="40"/>
      </w:pPr>
      <w:r>
        <w:rPr>
          <w:rFonts w:ascii="Arial" w:cs="Arial" w:eastAsia="Arial" w:hAnsi="Arial"/>
          <w:b w:val="false"/>
          <w:bCs w:val="false"/>
          <w:sz w:val="19"/>
          <w:szCs w:val="19"/>
        </w:rPr>
        <w:t xml:space="preserve">For all other drugs in series: contraindications = [] (empty array), not null.</w:t>
      </w:r>
    </w:p>
    <w:p>
      <w:r>
        <w:t xml:space="preserve"/>
      </w:r>
    </w:p>
    <w:p>
      <w:pPr>
        <w:pStyle w:val="Heading1"/>
        <w:pBdr>
          <w:bottom w:val="single" w:color="2E6DA4" w:sz="8" w:space="4"/>
        </w:pBdr>
        <w:spacing w:after="120" w:before="320"/>
      </w:pPr>
      <w:r>
        <w:rPr>
          <w:rFonts w:ascii="Arial" w:cs="Arial" w:eastAsia="Arial" w:hAnsi="Arial"/>
          <w:b/>
          <w:bCs/>
          <w:color w:val="1B3A6B"/>
          <w:sz w:val="28"/>
          <w:szCs w:val="28"/>
        </w:rPr>
        <w:t xml:space="preserve">8. Key Clinical Data Captured from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Key Content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Mechanism of 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ASO-GalNAc conjugate. Binds PKK mRNA → RNase H1-mediated mRNA degradation → reduced PKK protein → less kallikrein → less bradykinin. GalNAc facilitates hepatocyte-targeted delivery.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Indication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HAE prophylaxis. Adults and pediatric patients 12+ years. NOT approved for acute attack treatment.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Dosing (two options)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Q4W: 80mg SC every 4 weeks (recommended). Q8W: 80mg SC every 8 weeks (alternative). Single-dose autoinjector only.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Pharmacodynamics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73% PKK reduction from baseline at Week 24 (Q4W); 47% (Q8W). First reduction visible at Week 4 (48% across both groups).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Tmax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~2 hours (range 0.25-8h) post-dose.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Half-life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Terminal: ~1 month. Rapid distribution phase: ~5 hours.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Volume of distribution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Vc/F = 69.8L; Vp/F = 1840L. Large Vp indicates significant tissue distribution (liver, kidney).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Protein binding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&gt;98% bound to plasma proteins in vitro.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Metabolism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ASO moiety: endo/exonucleases in liver. Not CYP substrate. Linker metabolite M8: CYP3A4 substrate; MATE1 inhibitor; BSEP/OATP1B3 substrate.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Excretion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&lt;1% unchanged ASO in urine within 24h. Renal elimination minor.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Contraindication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Prior serious hypersensitivity including anaphylaxis to donidalorsen or excipients.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Warning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Hypersensitivity reactions including anaphylaxis. Discontinue and seek immediate care if symptoms occur.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Top AEs (&gt;=5%)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Injection site reactions (24% Q4W, 4% Q8W, 5% placebo). URTI (9%/9%/5%). UTI (9%/9%/0%). Abdominal discomfort (7%/0%/0%).</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Lab: Platelet count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Mean -9.6% (Q4W) and -7.9% (Q8W) at Week 25. No counts &lt;50,000/mm³. No major bleeding.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Lab: Liver enzymes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ALT/AST/GGT elevations generally &lt;3x ULN, stabilised. Infrequent discontinuations.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Hepatic impairment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Mild: no dose adjustment. Moderate/Severe: NOT RECOMMENDED (not studied).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Renal impairment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Mild (eGFR 60-90): no dose adjustment. Moderate/Severe/ESRD: not studied.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Efficacy (Q4W)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81% reduction in HAE attack rate vs placebo (p&lt;0.001). 53% attack-free at 6 months. 93% achieved ≥50% reduction.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Efficacy (Q8W)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55% reduction vs placebo (p=0.004). 35% attack-free. 83% achieved ≥50% reduction.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Pregnancy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 human data. No fetal structural alterations in mice up to 5x MRHD. Donidalorsen does NOT cross placental barrier (unique note — different from mAbs which do cross placenta).</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ADA 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20-22% (OASIS-HAE, 24 weeks). 35% (OLE, up to 3 years). Highest in series. Generally no clinical impact; inconclusive at high titers.</w:t>
            </w:r>
          </w:p>
        </w:tc>
      </w:tr>
    </w:tbl>
    <w:p>
      <w:r>
        <w:t xml:space="preserve"/>
      </w:r>
    </w:p>
    <w:p>
      <w:pPr>
        <w:pStyle w:val="Heading1"/>
        <w:pBdr>
          <w:bottom w:val="single" w:color="2E6DA4" w:sz="8" w:space="4"/>
        </w:pBdr>
        <w:spacing w:after="120" w:before="320"/>
      </w:pPr>
      <w:r>
        <w:rPr>
          <w:rFonts w:ascii="Arial" w:cs="Arial" w:eastAsia="Arial" w:hAnsi="Arial"/>
          <w:b/>
          <w:bCs/>
          <w:color w:val="1B3A6B"/>
          <w:sz w:val="28"/>
          <w:szCs w:val="28"/>
        </w:rPr>
        <w:t xml:space="preserve">9. Cross-Drug Comparison — All Four Assessed Drugs</w:t>
      </w:r>
    </w:p>
    <w:p>
      <w:pPr>
        <w:pBdr>
          <w:left w:val="single" w:color="2E6DA4" w:sz="16" w:space="8"/>
        </w:pBdr>
        <w:shd w:fill="D0E4F7" w:val="clear"/>
        <w:spacing w:after="100" w:before="100"/>
        <w:ind w:left="200"/>
      </w:pPr>
      <w:r>
        <w:rPr>
          <w:rFonts w:ascii="Arial" w:cs="Arial" w:eastAsia="Arial" w:hAnsi="Arial"/>
          <w:i/>
          <w:iCs/>
          <w:color w:val="2C3E50"/>
          <w:sz w:val="19"/>
          <w:szCs w:val="19"/>
        </w:rPr>
        <w:t xml:space="preserve">Updated comparison table including all drugs assessed to date.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65"/>
        <w:gridCol w:w="1865"/>
        <w:gridCol w:w="1865"/>
        <w:gridCol w:w="1865"/>
      </w:tblGrid>
      <w:tr>
        <w:tc>
          <w:tcPr>
            <w:tcW w:type="dxa" w:w="19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1865"/>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Lanadelumab</w:t>
            </w:r>
          </w:p>
        </w:tc>
        <w:tc>
          <w:tcPr>
            <w:tcW w:type="dxa" w:w="1865"/>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Berotralstat</w:t>
            </w:r>
          </w:p>
        </w:tc>
        <w:tc>
          <w:tcPr>
            <w:tcW w:type="dxa" w:w="1865"/>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Garadacimab</w:t>
            </w:r>
          </w:p>
        </w:tc>
        <w:tc>
          <w:tcPr>
            <w:tcW w:type="dxa" w:w="1865"/>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Donidalorsen</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Application</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BLA 761090</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NDA 214094 +219776</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BLA 761367</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NDA 219407</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Drug class</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mAb (IgG1)</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Small molecule</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mAb (IgG4)</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ASO-GalNAc</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Target</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Kallikrein (protein)</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Kallikrein (active site)</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FXIIa (upstream)</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PKK mRNA</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Route</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SC (biweekly)</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Oral (daily)</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SC (monthly)</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SC (Q4W or Q8W)</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Peds age</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2+ yrs</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2+ yrs (pellets)</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12+ yrs</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12+ yrs</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Warnings</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Hypersensitivity</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QTc (excess dose)</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NONE</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Hypersensitivity</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Contraindication</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None</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None</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None</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Prior anaphylaxis</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Drug interactions</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aPTT assay only</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CYP2D6/3A4; desogestrel</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aPTT + PT/INR assay</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M8: MATE1/BSEP/OATP1B3</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RLD / RS</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N/A (BLA)</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RLD=Yes; RS=150mg</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RLD=No; RS=No</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RLD=Yes; RS=Yes</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Platelet effect</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None</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None</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None</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~9-10% reduction</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ADA rate</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12% (trial)</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Low</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2.6%</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35% (OLE) — highest</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Room temp storage</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Yes (room temp)</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Yes (6 wks, ≤30°C)</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22222"/>
                <w:sz w:val="19"/>
                <w:szCs w:val="19"/>
              </w:rPr>
              <w:t xml:space="preserve">INN suffix issue</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None (full INN in API)</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Salt form mismatch</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-gxii suffix missing</w:t>
            </w:r>
          </w:p>
        </w:tc>
        <w:tc>
          <w:tcPr>
            <w:tcW w:type="dxa" w:w="18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Internal API inconsistency</w:t>
            </w:r>
          </w:p>
        </w:tc>
      </w:tr>
    </w:tbl>
    <w:p>
      <w:r>
        <w:t xml:space="preserve"/>
      </w:r>
    </w:p>
    <w:p>
      <w:pPr>
        <w:pStyle w:val="Heading1"/>
        <w:pBdr>
          <w:bottom w:val="single" w:color="2E6DA4" w:sz="8" w:space="4"/>
        </w:pBdr>
        <w:spacing w:after="120" w:before="320"/>
      </w:pPr>
      <w:r>
        <w:rPr>
          <w:rFonts w:ascii="Arial" w:cs="Arial" w:eastAsia="Arial" w:hAnsi="Arial"/>
          <w:b/>
          <w:bCs/>
          <w:color w:val="1B3A6B"/>
          <w:sz w:val="28"/>
          <w:szCs w:val="28"/>
        </w:rPr>
        <w:t xml:space="preserve">10. Assessment Summary</w:t>
      </w:r>
    </w:p>
    <w:p>
      <w:pPr>
        <w:pBdr>
          <w:left w:val="single" w:color="C0392B" w:sz="20" w:space="8"/>
        </w:pBdr>
        <w:shd w:fill="FFEBEE" w:val="clear"/>
        <w:spacing w:after="100" w:before="100"/>
        <w:ind w:left="200"/>
      </w:pPr>
      <w:r>
        <w:rPr>
          <w:rFonts w:ascii="Arial" w:cs="Arial" w:eastAsia="Arial" w:hAnsi="Arial"/>
          <w:b/>
          <w:bCs/>
          <w:color w:val="C0392B"/>
          <w:sz w:val="19"/>
          <w:szCs w:val="19"/>
        </w:rPr>
        <w:t xml:space="preserve">⚠ Overall data quality: GOOD with 3 structured conflicts. The most significant is the internal API inconsistency between generic_name and substance_name (free acid vs sodium salt). The 34-day label version gap is consistent with the pattern seen in other recently-approved drugs. The drug-unique flags (ASO class, dual dosing, platelet effect, room-temp storage, contraindication) are not conflicts but require pipeline schema extensions.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7E34" w:sz="1"/>
              <w:left w:val="single" w:color="1E7E34" w:sz="1"/>
              <w:bottom w:val="single" w:color="1E7E34" w:sz="1"/>
              <w:right w:val="single" w:color="1E7E34" w:sz="1"/>
            </w:tcBorders>
            <w:shd w:fill="1E7E34" w:val="clear"/>
            <w:tcMar>
              <w:top w:type="dxa" w:w="100"/>
              <w:left w:type="dxa" w:w="140"/>
              <w:bottom w:type="dxa" w:w="100"/>
              <w:right w:type="dxa" w:w="140"/>
            </w:tcMar>
          </w:tcPr>
          <w:p>
            <w:r>
              <w:rPr>
                <w:rFonts w:ascii="Arial" w:cs="Arial" w:eastAsia="Arial" w:hAnsi="Arial"/>
                <w:b/>
                <w:bCs/>
                <w:color w:val="FFFFFF"/>
                <w:sz w:val="20"/>
                <w:szCs w:val="20"/>
              </w:rPr>
              <w:t xml:space="preserve">Consistent Fields</w:t>
            </w:r>
          </w:p>
        </w:tc>
        <w:tc>
          <w:tcPr>
            <w:tcW w:type="dxa" w:w="3120"/>
            <w:tcBorders>
              <w:top w:val="single" w:color="C8962A" w:sz="1"/>
              <w:left w:val="single" w:color="C8962A" w:sz="1"/>
              <w:bottom w:val="single" w:color="C8962A" w:sz="1"/>
              <w:right w:val="single" w:color="C8962A" w:sz="1"/>
            </w:tcBorders>
            <w:shd w:fill="C8962A" w:val="clear"/>
            <w:tcMar>
              <w:top w:type="dxa" w:w="100"/>
              <w:left w:type="dxa" w:w="140"/>
              <w:bottom w:type="dxa" w:w="100"/>
              <w:right w:type="dxa" w:w="140"/>
            </w:tcMar>
          </w:tcPr>
          <w:p>
            <w:r>
              <w:rPr>
                <w:rFonts w:ascii="Arial" w:cs="Arial" w:eastAsia="Arial" w:hAnsi="Arial"/>
                <w:b/>
                <w:bCs/>
                <w:color w:val="FFFFFF"/>
                <w:sz w:val="20"/>
                <w:szCs w:val="20"/>
              </w:rPr>
              <w:t xml:space="preserve">Gaps (Expected)</w:t>
            </w:r>
          </w:p>
        </w:tc>
        <w:tc>
          <w:tcPr>
            <w:tcW w:type="dxa" w:w="312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Conflicts (Action Required)</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b w:val="false"/>
                <w:bCs w:val="false"/>
                <w:sz w:val="19"/>
                <w:szCs w:val="19"/>
              </w:rPr>
              <w:t xml:space="preserve">NDA Number (219407)</w:t>
            </w:r>
          </w:p>
          <w:p>
            <w:pPr>
              <w:pStyle w:val="ListParagraph"/>
              <w:numPr>
                <w:ilvl w:val="0"/>
                <w:numId w:val="2"/>
              </w:numPr>
              <w:spacing w:after="40" w:before="40"/>
            </w:pPr>
            <w:r>
              <w:rPr>
                <w:rFonts w:ascii="Arial" w:cs="Arial" w:eastAsia="Arial" w:hAnsi="Arial"/>
                <w:b w:val="false"/>
                <w:bCs w:val="false"/>
                <w:sz w:val="19"/>
                <w:szCs w:val="19"/>
              </w:rPr>
              <w:t xml:space="preserve">Brand Name (DAWNZERA)</w:t>
            </w:r>
          </w:p>
          <w:p>
            <w:pPr>
              <w:pStyle w:val="ListParagraph"/>
              <w:numPr>
                <w:ilvl w:val="0"/>
                <w:numId w:val="2"/>
              </w:numPr>
              <w:spacing w:after="40" w:before="40"/>
            </w:pPr>
            <w:r>
              <w:rPr>
                <w:rFonts w:ascii="Arial" w:cs="Arial" w:eastAsia="Arial" w:hAnsi="Arial"/>
                <w:b w:val="false"/>
                <w:bCs w:val="false"/>
                <w:sz w:val="19"/>
                <w:szCs w:val="19"/>
              </w:rPr>
              <w:t xml:space="preserve">Route (subcutaneous)</w:t>
            </w:r>
          </w:p>
          <w:p>
            <w:pPr>
              <w:pStyle w:val="ListParagraph"/>
              <w:numPr>
                <w:ilvl w:val="0"/>
                <w:numId w:val="2"/>
              </w:numPr>
              <w:spacing w:after="40" w:before="40"/>
            </w:pPr>
            <w:r>
              <w:rPr>
                <w:rFonts w:ascii="Arial" w:cs="Arial" w:eastAsia="Arial" w:hAnsi="Arial"/>
                <w:b w:val="false"/>
                <w:bCs w:val="false"/>
                <w:sz w:val="19"/>
                <w:szCs w:val="19"/>
              </w:rPr>
              <w:t xml:space="preserve">Marketing status</w:t>
            </w:r>
          </w:p>
          <w:p>
            <w:pPr>
              <w:pStyle w:val="ListParagraph"/>
              <w:numPr>
                <w:ilvl w:val="0"/>
                <w:numId w:val="2"/>
              </w:numPr>
              <w:spacing w:after="40" w:before="40"/>
            </w:pPr>
            <w:r>
              <w:rPr>
                <w:rFonts w:ascii="Arial" w:cs="Arial" w:eastAsia="Arial" w:hAnsi="Arial"/>
                <w:b w:val="false"/>
                <w:bCs w:val="false"/>
                <w:sz w:val="19"/>
                <w:szCs w:val="19"/>
              </w:rPr>
              <w:t xml:space="preserve">Manufacturer (abbreviated diff only)</w:t>
            </w:r>
          </w:p>
          <w:p>
            <w:pPr>
              <w:pStyle w:val="ListParagraph"/>
              <w:numPr>
                <w:ilvl w:val="0"/>
                <w:numId w:val="2"/>
              </w:numPr>
              <w:spacing w:after="40" w:before="40"/>
            </w:pPr>
            <w:r>
              <w:rPr>
                <w:rFonts w:ascii="Arial" w:cs="Arial" w:eastAsia="Arial" w:hAnsi="Arial"/>
                <w:b w:val="false"/>
                <w:bCs w:val="false"/>
                <w:sz w:val="19"/>
                <w:szCs w:val="19"/>
              </w:rPr>
              <w:t xml:space="preserve">Original approval date</w:t>
            </w:r>
          </w:p>
        </w:tc>
        <w:tc>
          <w:tcPr>
            <w:tcW w:type="dxa" w:w="312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b w:val="false"/>
                <w:bCs w:val="false"/>
                <w:sz w:val="19"/>
                <w:szCs w:val="19"/>
              </w:rPr>
              <w:t xml:space="preserve">Orphan status (not in API)</w:t>
            </w:r>
          </w:p>
          <w:p>
            <w:pPr>
              <w:pStyle w:val="ListParagraph"/>
              <w:numPr>
                <w:ilvl w:val="0"/>
                <w:numId w:val="2"/>
              </w:numPr>
              <w:spacing w:after="40" w:before="40"/>
            </w:pPr>
            <w:r>
              <w:rPr>
                <w:rFonts w:ascii="Arial" w:cs="Arial" w:eastAsia="Arial" w:hAnsi="Arial"/>
                <w:b w:val="false"/>
                <w:bCs w:val="false"/>
                <w:sz w:val="19"/>
                <w:szCs w:val="19"/>
              </w:rPr>
              <w:t xml:space="preserve">RLD=Yes / RS=Yes (not in API)</w:t>
            </w:r>
          </w:p>
          <w:p>
            <w:pPr>
              <w:pStyle w:val="ListParagraph"/>
              <w:numPr>
                <w:ilvl w:val="0"/>
                <w:numId w:val="2"/>
              </w:numPr>
              <w:spacing w:after="40" w:before="40"/>
            </w:pPr>
            <w:r>
              <w:rPr>
                <w:rFonts w:ascii="Arial" w:cs="Arial" w:eastAsia="Arial" w:hAnsi="Arial"/>
                <w:b w:val="false"/>
                <w:bCs w:val="false"/>
                <w:sz w:val="19"/>
                <w:szCs w:val="19"/>
              </w:rPr>
              <w:t xml:space="preserve">Submission Type 1-NME (not in API)</w:t>
            </w:r>
          </w:p>
          <w:p>
            <w:pPr>
              <w:pStyle w:val="ListParagraph"/>
              <w:numPr>
                <w:ilvl w:val="0"/>
                <w:numId w:val="2"/>
              </w:numPr>
              <w:spacing w:after="40" w:before="40"/>
            </w:pPr>
            <w:r>
              <w:rPr>
                <w:rFonts w:ascii="Arial" w:cs="Arial" w:eastAsia="Arial" w:hAnsi="Arial"/>
                <w:b w:val="false"/>
                <w:bCs w:val="false"/>
                <w:sz w:val="19"/>
                <w:szCs w:val="19"/>
              </w:rPr>
              <w:t xml:space="preserve">Pharm class EPC/MoA (absent both)</w:t>
            </w:r>
          </w:p>
          <w:p>
            <w:pPr>
              <w:pStyle w:val="ListParagraph"/>
              <w:numPr>
                <w:ilvl w:val="0"/>
                <w:numId w:val="2"/>
              </w:numPr>
              <w:spacing w:after="40" w:before="40"/>
            </w:pPr>
            <w:r>
              <w:rPr>
                <w:rFonts w:ascii="Arial" w:cs="Arial" w:eastAsia="Arial" w:hAnsi="Arial"/>
                <w:b w:val="false"/>
                <w:bCs w:val="false"/>
                <w:sz w:val="19"/>
                <w:szCs w:val="19"/>
              </w:rPr>
              <w:t xml:space="preserve">Contraindication (not in screenshot)</w:t>
            </w:r>
          </w:p>
        </w:tc>
        <w:tc>
          <w:tcPr>
            <w:tcW w:type="dxa" w:w="312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b w:val="false"/>
                <w:bCs w:val="false"/>
                <w:sz w:val="19"/>
                <w:szCs w:val="19"/>
              </w:rPr>
              <w:t xml:space="preserve">API generic_name vs substance_name (salt form mismatch)</w:t>
            </w:r>
          </w:p>
          <w:p>
            <w:pPr>
              <w:pStyle w:val="ListParagraph"/>
              <w:numPr>
                <w:ilvl w:val="0"/>
                <w:numId w:val="2"/>
              </w:numPr>
              <w:spacing w:after="40" w:before="40"/>
            </w:pPr>
            <w:r>
              <w:rPr>
                <w:rFonts w:ascii="Arial" w:cs="Arial" w:eastAsia="Arial" w:hAnsi="Arial"/>
                <w:b w:val="false"/>
                <w:bCs w:val="false"/>
                <w:sz w:val="19"/>
                <w:szCs w:val="19"/>
              </w:rPr>
              <w:t xml:space="preserve">Label version gap (34 days post-approval)</w:t>
            </w:r>
          </w:p>
          <w:p>
            <w:pPr>
              <w:pStyle w:val="ListParagraph"/>
              <w:numPr>
                <w:ilvl w:val="0"/>
                <w:numId w:val="2"/>
              </w:numPr>
              <w:spacing w:after="40" w:before="40"/>
            </w:pPr>
            <w:r>
              <w:rPr>
                <w:rFonts w:ascii="Arial" w:cs="Arial" w:eastAsia="Arial" w:hAnsi="Arial"/>
                <w:b w:val="false"/>
                <w:bCs w:val="false"/>
                <w:sz w:val="19"/>
                <w:szCs w:val="19"/>
              </w:rPr>
              <w:t xml:space="preserve">Strength notation (parenthetical repetition)</w:t>
            </w:r>
          </w:p>
        </w:tc>
      </w:tr>
    </w:tbl>
    <w:p>
      <w:r>
        <w:t xml:space="preserve"/>
      </w:r>
    </w:p>
    <w:p>
      <w:r>
        <w:t xml:space="preserve"/>
      </w:r>
    </w:p>
    <w:p>
      <w:pPr>
        <w:jc w:val="center"/>
      </w:pPr>
      <w:r>
        <w:rPr>
          <w:rFonts w:ascii="Arial" w:cs="Arial" w:eastAsia="Arial" w:hAnsi="Arial"/>
          <w:i/>
          <w:iCs/>
          <w:color w:val="888888"/>
          <w:sz w:val="18"/>
          <w:szCs w:val="18"/>
        </w:rPr>
        <w:t xml:space="preserve">End of Assessment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Phamax  |  Ariya Platform  |  Drug Data Pipeline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jc w:val="right"/>
    </w:pPr>
    <w:r>
      <w:rPr>
        <w:rFonts w:ascii="Arial" w:cs="Arial" w:eastAsia="Arial" w:hAnsi="Arial"/>
        <w:color w:val="888888"/>
        <w:sz w:val="18"/>
        <w:szCs w:val="18"/>
      </w:rPr>
      <w:t xml:space="preserve">OpenFDA Assessment  |  </w:t>
    </w:r>
    <w:r>
      <w:rPr>
        <w:rFonts w:ascii="Arial" w:cs="Arial" w:eastAsia="Arial" w:hAnsi="Arial"/>
        <w:b/>
        <w:bCs/>
        <w:color w:val="1B3A6B"/>
        <w:sz w:val="18"/>
        <w:szCs w:val="18"/>
      </w:rPr>
      <w:t xml:space="preserve">DAWNZERA (Donidalorsen)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6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2026-06-17T07:33:01.763Z</dcterms:created>
  <dcterms:modified xsi:type="dcterms:W3CDTF">2026-06-17T07:33:01.778Z</dcterms:modified>
</cp:coreProperties>
</file>

<file path=docProps/custom.xml><?xml version="1.0" encoding="utf-8"?>
<Properties xmlns="http://schemas.openxmlformats.org/officeDocument/2006/custom-properties" xmlns:vt="http://schemas.openxmlformats.org/officeDocument/2006/docPropsVTypes"/>
</file>