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3A6B" w:val="clear"/>
        <w:spacing w:after="60" w:before="0"/>
      </w:pPr>
      <w:r>
        <w:rPr>
          <w:sz w:val="8"/>
          <w:szCs w:val="8"/>
        </w:rPr>
        <w:t xml:space="preserve"> </w:t>
      </w:r>
    </w:p>
    <w:p>
      <w:pPr>
        <w:spacing w:after="60" w:before="200"/>
      </w:pPr>
      <w:r>
        <w:rPr>
          <w:rFonts w:ascii="Arial" w:cs="Arial" w:eastAsia="Arial" w:hAnsi="Arial"/>
          <w:b/>
          <w:bCs/>
          <w:color w:val="1B3A6B"/>
          <w:sz w:val="36"/>
          <w:szCs w:val="36"/>
        </w:rPr>
        <w:t xml:space="preserve">OpenFDA Assessment</w:t>
      </w:r>
    </w:p>
    <w:p>
      <w:pPr>
        <w:spacing w:after="40" w:before="0"/>
      </w:pPr>
      <w:r>
        <w:rPr>
          <w:rFonts w:ascii="Arial" w:cs="Arial" w:eastAsia="Arial" w:hAnsi="Arial"/>
          <w:b/>
          <w:bCs/>
          <w:color w:val="2E6DA4"/>
          <w:sz w:val="48"/>
          <w:szCs w:val="48"/>
        </w:rPr>
        <w:t xml:space="preserve">SAJAZIR / FIRAZYR (Icatibant Acetate)</w:t>
      </w:r>
    </w:p>
    <w:p>
      <w:pPr>
        <w:spacing w:after="60" w:before="0"/>
      </w:pPr>
      <w:r>
        <w:rPr>
          <w:rFonts w:ascii="Arial" w:cs="Arial" w:eastAsia="Arial" w:hAnsi="Arial"/>
          <w:i/>
          <w:iCs/>
          <w:color w:val="555555"/>
          <w:sz w:val="20"/>
          <w:szCs w:val="20"/>
        </w:rPr>
        <w:t xml:space="preserve">Screenshots (5 images) vs. openFDA API  —  Field-by-field comparison, gaps, and conflicts</w:t>
      </w:r>
    </w:p>
    <w:p>
      <w:pPr>
        <w:pBdr>
          <w:left w:val="single" w:color="7B241C" w:sz="20" w:space="8"/>
        </w:pBdr>
        <w:shd w:fill="FADBD8" w:val="clear"/>
        <w:spacing w:after="100" w:before="100"/>
        <w:ind w:left="200"/>
      </w:pPr>
      <w:r>
        <w:rPr>
          <w:rFonts w:ascii="Arial" w:cs="Arial" w:eastAsia="Arial" w:hAnsi="Arial"/>
          <w:b/>
          <w:bCs/>
          <w:color w:val="7B241C"/>
          <w:sz w:val="19"/>
          <w:szCs w:val="19"/>
        </w:rPr>
        <w:t xml:space="preserve">❗ MOST COMPLEX REGULATORY STRUCTURE IN DATASET: This drug involves one originator NDA (022150 / Firazyr / Takeda), one ANDA (212446 / Cipla manufacturer / Cycle Pharma marketer = Sajazir), and 7 additional approved generics. API returns only 1 of 9 SPL records (limit=1). Screenshots span two different applications.</w:t>
      </w:r>
    </w:p>
    <w:p>
      <w:pPr>
        <w:pBdr>
          <w:left w:val="single" w:color="C0392B" w:sz="20" w:space="8"/>
        </w:pBdr>
        <w:shd w:fill="FFEBEE" w:val="clear"/>
        <w:spacing w:after="100" w:before="100"/>
        <w:ind w:left="200"/>
      </w:pPr>
      <w:r>
        <w:rPr>
          <w:rFonts w:ascii="Arial" w:cs="Arial" w:eastAsia="Arial" w:hAnsi="Arial"/>
          <w:b/>
          <w:bCs/>
          <w:color w:val="C0392B"/>
          <w:sz w:val="19"/>
          <w:szCs w:val="19"/>
        </w:rPr>
        <w:t xml:space="preserve">⚠ ON-DEMAND DRUG — NOT PROPHYLAXIS. Icatibant treats acute HAE attacks. It is the only drug in this series indicated for acute treatment. All other drugs are prophylaxis agents. DO NOT classify with prophylactic HAE drugs.</w:t>
      </w:r>
    </w:p>
    <w:p>
      <w:pPr>
        <w:pBdr>
          <w:left w:val="single" w:color="117A65" w:sz="16" w:space="8"/>
        </w:pBdr>
        <w:shd w:fill="E0F2F1" w:val="clear"/>
        <w:spacing w:after="100" w:before="100"/>
        <w:ind w:left="200"/>
      </w:pPr>
      <w:r>
        <w:rPr>
          <w:rFonts w:ascii="Arial" w:cs="Arial" w:eastAsia="Arial" w:hAnsi="Arial"/>
          <w:b/>
          <w:bCs/>
          <w:color w:val="117A65"/>
          <w:sz w:val="19"/>
          <w:szCs w:val="19"/>
        </w:rPr>
        <w:t xml:space="preserve">ℹ MULTI-GENERIC MARKET: 8 generics with ANDA AP TE Code equivalence to Firazyr. First drug in series with a TE Code (AP). Pipeline must handle brand/generic substitution logic.</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0E4F7" w:val="clear"/>
            <w:tcMar>
              <w:top w:type="dxa" w:w="80"/>
              <w:left w:type="dxa" w:w="140"/>
              <w:bottom w:type="dxa" w:w="80"/>
              <w:right w:type="dxa" w:w="140"/>
            </w:tcMar>
          </w:tcPr>
          <w:p>
            <w:r>
              <w:rPr>
                <w:rFonts w:ascii="Arial" w:cs="Arial" w:eastAsia="Arial" w:hAnsi="Arial"/>
                <w:b/>
                <w:bCs/>
                <w:color w:val="1B3A6B"/>
                <w:sz w:val="19"/>
                <w:szCs w:val="19"/>
              </w:rPr>
              <w:t xml:space="preserve">API: ANDA212446 (Sajazir/Cycle Pharma)</w:t>
            </w:r>
          </w:p>
        </w:tc>
        <w:tc>
          <w:tcPr>
            <w:tcW w:type="dxa" w:w="2340"/>
            <w:tcBorders>
              <w:top w:val="single" w:color="CCCCCC" w:sz="1"/>
              <w:left w:val="single" w:color="CCCCCC" w:sz="1"/>
              <w:bottom w:val="single" w:color="CCCCCC" w:sz="1"/>
              <w:right w:val="single" w:color="CCCCCC" w:sz="1"/>
            </w:tcBorders>
            <w:shd w:fill="D0E4F7" w:val="clear"/>
            <w:tcMar>
              <w:top w:type="dxa" w:w="80"/>
              <w:left w:type="dxa" w:w="140"/>
              <w:bottom w:type="dxa" w:w="80"/>
              <w:right w:type="dxa" w:w="140"/>
            </w:tcMar>
          </w:tcPr>
          <w:p>
            <w:r>
              <w:rPr>
                <w:rFonts w:ascii="Arial" w:cs="Arial" w:eastAsia="Arial" w:hAnsi="Arial"/>
                <w:b w:val="false"/>
                <w:bCs w:val="false"/>
                <w:color w:val="222222"/>
                <w:sz w:val="19"/>
                <w:szCs w:val="19"/>
              </w:rPr>
              <w:t xml:space="preserve">RLD: NDA 022150 (Firazyr/Takeda)</w:t>
            </w:r>
          </w:p>
        </w:tc>
        <w:tc>
          <w:tcPr>
            <w:tcW w:type="dxa" w:w="2340"/>
            <w:tcBorders>
              <w:top w:val="single" w:color="CCCCCC" w:sz="1"/>
              <w:left w:val="single" w:color="CCCCCC" w:sz="1"/>
              <w:bottom w:val="single" w:color="CCCCCC" w:sz="1"/>
              <w:right w:val="single" w:color="CCCCCC" w:sz="1"/>
            </w:tcBorders>
            <w:shd w:fill="D0E4F7" w:val="clear"/>
            <w:tcMar>
              <w:top w:type="dxa" w:w="80"/>
              <w:left w:type="dxa" w:w="140"/>
              <w:bottom w:type="dxa" w:w="80"/>
              <w:right w:type="dxa" w:w="140"/>
            </w:tcMar>
          </w:tcPr>
          <w:p>
            <w:r>
              <w:rPr>
                <w:rFonts w:ascii="Arial" w:cs="Arial" w:eastAsia="Arial" w:hAnsi="Arial"/>
                <w:b w:val="false"/>
                <w:bCs w:val="false"/>
                <w:color w:val="222222"/>
                <w:sz w:val="19"/>
                <w:szCs w:val="19"/>
              </w:rPr>
              <w:t xml:space="preserve">API Version: 5 (Feb 2024)</w:t>
            </w:r>
          </w:p>
        </w:tc>
        <w:tc>
          <w:tcPr>
            <w:tcW w:type="dxa" w:w="2340"/>
            <w:tcBorders>
              <w:top w:val="single" w:color="CCCCCC" w:sz="1"/>
              <w:left w:val="single" w:color="CCCCCC" w:sz="1"/>
              <w:bottom w:val="single" w:color="CCCCCC" w:sz="1"/>
              <w:right w:val="single" w:color="CCCCCC" w:sz="1"/>
            </w:tcBorders>
            <w:shd w:fill="D0E4F7" w:val="clear"/>
            <w:tcMar>
              <w:top w:type="dxa" w:w="80"/>
              <w:left w:type="dxa" w:w="140"/>
              <w:bottom w:type="dxa" w:w="80"/>
              <w:right w:type="dxa" w:w="140"/>
            </w:tcMar>
          </w:tcPr>
          <w:p>
            <w:r>
              <w:rPr>
                <w:rFonts w:ascii="Arial" w:cs="Arial" w:eastAsia="Arial" w:hAnsi="Arial"/>
                <w:b w:val="false"/>
                <w:bCs w:val="false"/>
                <w:color w:val="222222"/>
                <w:sz w:val="19"/>
                <w:szCs w:val="19"/>
              </w:rPr>
              <w:t xml:space="preserve">Assessment Date: June 2026</w:t>
            </w:r>
          </w:p>
        </w:tc>
      </w:tr>
    </w:tbl>
    <w:p>
      <w:r>
        <w:t xml:space="preserve"/>
      </w:r>
    </w:p>
    <w:p>
      <w:pPr>
        <w:pStyle w:val="Heading1"/>
        <w:pBdr>
          <w:bottom w:val="single" w:color="2E6DA4" w:sz="8" w:space="4"/>
        </w:pBdr>
        <w:spacing w:after="120" w:before="320"/>
      </w:pPr>
      <w:r>
        <w:rPr>
          <w:rFonts w:ascii="Arial" w:cs="Arial" w:eastAsia="Arial" w:hAnsi="Arial"/>
          <w:b/>
          <w:bCs/>
          <w:color w:val="1B3A6B"/>
          <w:sz w:val="28"/>
          <w:szCs w:val="28"/>
        </w:rPr>
        <w:t xml:space="preserve">1. Drug Overview — Three Distinct Regulatory Entities</w:t>
      </w:r>
    </w:p>
    <w:p>
      <w:pPr>
        <w:pBdr>
          <w:left w:val="single" w:color="2E6DA4" w:sz="16" w:space="8"/>
        </w:pBdr>
        <w:shd w:fill="D0E4F7" w:val="clear"/>
        <w:spacing w:after="100" w:before="100"/>
        <w:ind w:left="200"/>
      </w:pPr>
      <w:r>
        <w:rPr>
          <w:rFonts w:ascii="Arial" w:cs="Arial" w:eastAsia="Arial" w:hAnsi="Arial"/>
          <w:i/>
          <w:iCs/>
          <w:color w:val="2C3E50"/>
          <w:sz w:val="19"/>
          <w:szCs w:val="19"/>
        </w:rPr>
        <w:t xml:space="preserve">Unlike all previous drugs in this series, icatibant has an originator product (Firazyr), one named generic (Sajazir), and 7 other approved ANDAs. The screenshots cover two applications. The API covers one (Sajazir). This section documents all three tiers.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65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Active Ingredient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Icatibant acetate (salt form). 30mg icatibant free base = 34.14mg icatibant acetate.</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Drug class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Synthetic decapeptide. Bradykinin B2 receptor competitive antagonist. NOT a monoclonal antibody, small molecule, or ASO.</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Indication — CRITICAL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ACUTE TREATMENT of hereditary angioedema (HAE) attacks in adults 18 years and older. NOT for prophylaxis. NOT approved for pediatric patients.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Originator / RLD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FIRAZYR (NDA 022150). Company: Takeda Pharmaceuticals USA. Original approval: 08/25/2011. TE Code = AP, RLD=Yes, RS=Yes.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API drug (generic)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SAJAZIR (ANDA 212446). Manufactured by: Cipla Ltd., India (at Gland Pharma, Hyderabad). Marketed by: Cycle Pharmaceuticals Ltd, Cambridge, UK. Approval: 07/13/2020. Proprietary name Sajazir assigned via SUPPL-1 (06/03/2021).</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Other generics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7 additional ANDAs with AP TE Code: Alembic (213773), Eugia Pharma (213521), Fresenius Kabi USA (208317), Jiangsu Hansoh Pharm (211021), Nang Kuang Pharm Co (212081), Teva Pharms USA (210118), Wilshire Pharms Inc (211501).</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Dosage Form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30mg/3mL (10mg/mL) in single-dose prefilled syringe with 25G Luer-lock needle. SC injection only, abdominal area.</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Dosing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30mg SC per attack. Up to 3 doses per 24h, at least 6h apart. On-demand only. NOT scheduled/prophylactic.</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TE Code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AP (therapeutically equivalent to RLD Firazyr). All 8 generics carry TE Code AP.</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Orphan Status (Firazyr)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PRIORITY; Orphan. Confirmed in Image 3 (NDA 022150 original approval).</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Storage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2-25°C (36-77°F). Do not freeze. Broad temp range — second drug in series with validated room-temp storage.</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Key drug interaction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ACE inhibitors: pharmacodynamic antagonism (icatibant may attenuate antihypertensive effect). No formal PK DDI studies.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Half-life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~1.4 hours. Shortest half-life in entire dataset by a large margin.</w:t>
            </w:r>
          </w:p>
        </w:tc>
      </w:tr>
    </w:tbl>
    <w:p>
      <w:r>
        <w:t xml:space="preserve"/>
      </w:r>
    </w:p>
    <w:p>
      <w:pPr>
        <w:pStyle w:val="Heading1"/>
        <w:pBdr>
          <w:bottom w:val="single" w:color="2E6DA4" w:sz="8" w:space="4"/>
        </w:pBdr>
        <w:spacing w:after="120" w:before="320"/>
      </w:pPr>
      <w:r>
        <w:rPr>
          <w:rFonts w:ascii="Arial" w:cs="Arial" w:eastAsia="Arial" w:hAnsi="Arial"/>
          <w:b/>
          <w:bCs/>
          <w:color w:val="1B3A6B"/>
          <w:sz w:val="28"/>
          <w:szCs w:val="28"/>
        </w:rPr>
        <w:t xml:space="preserve">2. Screenshot Sources — Five Images Spanning Two Applications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580"/>
        <w:gridCol w:w="2580"/>
      </w:tblGrid>
      <w:tr>
        <w:tc>
          <w:tcPr>
            <w:tcW w:type="dxa" w:w="12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Image</w:t>
            </w:r>
          </w:p>
        </w:tc>
        <w:tc>
          <w:tcPr>
            <w:tcW w:type="dxa" w:w="20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Application</w:t>
            </w:r>
          </w:p>
        </w:tc>
        <w:tc>
          <w:tcPr>
            <w:tcW w:type="dxa" w:w="358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Content</w:t>
            </w:r>
          </w:p>
        </w:tc>
        <w:tc>
          <w:tcPr>
            <w:tcW w:type="dxa" w:w="258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Key Data Visible</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Image 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NDA 022150 / Firazyr / Takeda</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Products table + Therapeutic Equivalents table (9 entries). TE Code = AP shown for all.</w:t>
            </w:r>
          </w:p>
        </w:tc>
        <w:tc>
          <w:tcPr>
            <w:tcW w:type="dxa" w:w="2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RLD=Yes, RS=Yes, TE=AP for Firazyr. All 8 generics listed with ANDA numbers.</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Image 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NDA 022150 / Firazyr / Takeda</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Label history (9 entries, ORIG-1 to SUPPL-16). Therapeutic Equivalents section collapsed.</w:t>
            </w:r>
          </w:p>
        </w:tc>
        <w:tc>
          <w:tcPr>
            <w:tcW w:type="dxa" w:w="2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Last label: SUPPL-16 (01/19/2024). Original approval: 08/25/2011.</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Image 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NDA 022150 / Firazyr / Takeda</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Full approval history expanded. Original approval + 10 supplements.</w:t>
            </w:r>
          </w:p>
        </w:tc>
        <w:tc>
          <w:tcPr>
            <w:tcW w:type="dxa" w:w="2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ORIG-1 08/25/2011, Type 1 NME, PRIORITY; Orphan. Last supplement SUPPL-16.</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Image 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ANDA 212446 / Cipla</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Products table + full Therapeutic Equivalents table showing all 9 icatibant products.</w:t>
            </w:r>
          </w:p>
        </w:tc>
        <w:tc>
          <w:tcPr>
            <w:tcW w:type="dxa" w:w="2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Sajazir ANDA=212446, RLD=No, RS=No, TE=AP. Drug name: 'ICATIBANT ACETATE' (pre-name-change).</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Image 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ANDA 212446 / Cipla</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Expanded approval history. ORIG-1 + 2 supplements.</w:t>
            </w:r>
          </w:p>
        </w:tc>
        <w:tc>
          <w:tcPr>
            <w:tcW w:type="dxa" w:w="2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ORIG-1 07/13/2020. SUPPL-1 06/03/2021 = 'Labeling-Proprietary Name Change' (Sajazir created). SUPPL-3 07/24/2023.</w:t>
            </w:r>
          </w:p>
        </w:tc>
      </w:tr>
    </w:tbl>
    <w:p>
      <w:r>
        <w:t xml:space="preserve"/>
      </w:r>
    </w:p>
    <w:p>
      <w:pPr>
        <w:pStyle w:val="Heading1"/>
        <w:pBdr>
          <w:bottom w:val="single" w:color="2E6DA4" w:sz="8" w:space="4"/>
        </w:pBdr>
        <w:spacing w:after="120" w:before="320"/>
      </w:pPr>
      <w:r>
        <w:rPr>
          <w:rFonts w:ascii="Arial" w:cs="Arial" w:eastAsia="Arial" w:hAnsi="Arial"/>
          <w:b/>
          <w:bCs/>
          <w:color w:val="1B3A6B"/>
          <w:sz w:val="28"/>
          <w:szCs w:val="28"/>
        </w:rPr>
        <w:t xml:space="preserve">3. Field-by-Field Comparison</w:t>
      </w:r>
    </w:p>
    <w:p>
      <w:pPr>
        <w:pBdr>
          <w:left w:val="single" w:color="2E6DA4" w:sz="16" w:space="8"/>
        </w:pBdr>
        <w:shd w:fill="D0E4F7" w:val="clear"/>
        <w:spacing w:after="100" w:before="100"/>
        <w:ind w:left="200"/>
      </w:pPr>
      <w:r>
        <w:rPr>
          <w:rFonts w:ascii="Arial" w:cs="Arial" w:eastAsia="Arial" w:hAnsi="Arial"/>
          <w:i/>
          <w:iCs/>
          <w:color w:val="2C3E50"/>
          <w:sz w:val="19"/>
          <w:szCs w:val="19"/>
        </w:rPr>
        <w:t xml:space="preserve">Note: This comparison covers the SAJAZIR (ANDA 212446) API data vs. the screenshots. Where the Firazyr NDA provides additional context (not in API), this is flagged as a Gap.</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800"/>
        <w:gridCol w:w="1560"/>
      </w:tblGrid>
      <w:tr>
        <w:tc>
          <w:tcPr>
            <w:tcW w:type="dxa" w:w="22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28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Screenshot (Drugs@FDA)</w:t>
            </w:r>
          </w:p>
        </w:tc>
        <w:tc>
          <w:tcPr>
            <w:tcW w:type="dxa" w:w="28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openFDA API</w:t>
            </w:r>
          </w:p>
        </w:tc>
        <w:tc>
          <w:tcPr>
            <w:tcW w:type="dxa" w:w="15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Status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Applications in scope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NDA 022150 (Firazyr) + ANDA 212446 (Cipla/Sajazir)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ANDA 212446 (Sajazir/Cycle Pharma) only</w:t>
            </w:r>
          </w:p>
        </w:tc>
        <w:tc>
          <w:tcPr>
            <w:tcW w:type="dxa" w:w="1560"/>
            <w:tcBorders>
              <w:top w:val="single" w:color="CCCCCC" w:sz="1"/>
              <w:left w:val="single" w:color="CCCCCC" w:sz="1"/>
              <w:bottom w:val="single" w:color="CCCCCC" w:sz="1"/>
              <w:right w:val="single" w:color="CCCCCC" w:sz="1"/>
            </w:tcBorders>
            <w:shd w:fill="FFEBEE" w:val="clear"/>
            <w:tcMar>
              <w:top w:type="dxa" w:w="80"/>
              <w:left w:type="dxa" w:w="140"/>
              <w:bottom w:type="dxa" w:w="80"/>
              <w:right w:type="dxa" w:w="140"/>
            </w:tcMar>
          </w:tcPr>
          <w:p>
            <w:r>
              <w:rPr>
                <w:rFonts w:ascii="Arial" w:cs="Arial" w:eastAsia="Arial" w:hAnsi="Arial"/>
                <w:b/>
                <w:bCs/>
                <w:color w:val="C0392B"/>
                <w:sz w:val="19"/>
                <w:szCs w:val="19"/>
              </w:rPr>
              <w:t xml:space="preserve">CONFLICT</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Total API records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9 products in TE table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total=9 but limit=1 returned</w:t>
            </w:r>
          </w:p>
        </w:tc>
        <w:tc>
          <w:tcPr>
            <w:tcW w:type="dxa" w:w="1560"/>
            <w:tcBorders>
              <w:top w:val="single" w:color="CCCCCC" w:sz="1"/>
              <w:left w:val="single" w:color="CCCCCC" w:sz="1"/>
              <w:bottom w:val="single" w:color="CCCCCC" w:sz="1"/>
              <w:right w:val="single" w:color="CCCCCC" w:sz="1"/>
            </w:tcBorders>
            <w:shd w:fill="FCF3CF" w:val="clear"/>
            <w:tcMar>
              <w:top w:type="dxa" w:w="80"/>
              <w:left w:type="dxa" w:w="140"/>
              <w:bottom w:type="dxa" w:w="80"/>
              <w:right w:type="dxa" w:w="140"/>
            </w:tcMar>
          </w:tcPr>
          <w:p>
            <w:r>
              <w:rPr>
                <w:rFonts w:ascii="Arial" w:cs="Arial" w:eastAsia="Arial" w:hAnsi="Arial"/>
                <w:b/>
                <w:bCs/>
                <w:color w:val="7B241C"/>
                <w:sz w:val="19"/>
                <w:szCs w:val="19"/>
              </w:rPr>
              <w:t xml:space="preserve">CRITICAL</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Brand Name (API drug)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ICATIBANT ACETATE (pre-name change) → SAJAZIR (post SUPPL-1)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SAJAZIR</w:t>
            </w:r>
          </w:p>
        </w:tc>
        <w:tc>
          <w:tcPr>
            <w:tcW w:type="dxa" w:w="15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b/>
                <w:bCs/>
                <w:color w:val="1E7E34"/>
                <w:sz w:val="19"/>
                <w:szCs w:val="19"/>
              </w:rPr>
              <w:t xml:space="preserve">Match</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Generic Name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ICATIBANT ACETATE (active ingredient)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ICATIBANT (generic_name); ICATIBANT ACETATE (substance_name)</w:t>
            </w:r>
          </w:p>
        </w:tc>
        <w:tc>
          <w:tcPr>
            <w:tcW w:type="dxa" w:w="1560"/>
            <w:tcBorders>
              <w:top w:val="single" w:color="CCCCCC" w:sz="1"/>
              <w:left w:val="single" w:color="CCCCCC" w:sz="1"/>
              <w:bottom w:val="single" w:color="CCCCCC" w:sz="1"/>
              <w:right w:val="single" w:color="CCCCCC" w:sz="1"/>
            </w:tcBorders>
            <w:shd w:fill="FFF3E0" w:val="clear"/>
            <w:tcMar>
              <w:top w:type="dxa" w:w="80"/>
              <w:left w:type="dxa" w:w="140"/>
              <w:bottom w:type="dxa" w:w="80"/>
              <w:right w:type="dxa" w:w="140"/>
            </w:tcMar>
          </w:tcPr>
          <w:p>
            <w:r>
              <w:rPr>
                <w:rFonts w:ascii="Arial" w:cs="Arial" w:eastAsia="Arial" w:hAnsi="Arial"/>
                <w:b/>
                <w:bCs/>
                <w:color w:val="D35400"/>
                <w:sz w:val="19"/>
                <w:szCs w:val="19"/>
              </w:rPr>
              <w:t xml:space="preserve">Normalization</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Strength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EQ 30MG BASE/3ML (EQ 10MG BASE/ML)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30mg/3mL (10mg/mL)</w:t>
            </w:r>
          </w:p>
        </w:tc>
        <w:tc>
          <w:tcPr>
            <w:tcW w:type="dxa" w:w="1560"/>
            <w:tcBorders>
              <w:top w:val="single" w:color="CCCCCC" w:sz="1"/>
              <w:left w:val="single" w:color="CCCCCC" w:sz="1"/>
              <w:bottom w:val="single" w:color="CCCCCC" w:sz="1"/>
              <w:right w:val="single" w:color="CCCCCC" w:sz="1"/>
            </w:tcBorders>
            <w:shd w:fill="FFF3E0" w:val="clear"/>
            <w:tcMar>
              <w:top w:type="dxa" w:w="80"/>
              <w:left w:type="dxa" w:w="140"/>
              <w:bottom w:type="dxa" w:w="80"/>
              <w:right w:type="dxa" w:w="140"/>
            </w:tcMar>
          </w:tcPr>
          <w:p>
            <w:r>
              <w:rPr>
                <w:rFonts w:ascii="Arial" w:cs="Arial" w:eastAsia="Arial" w:hAnsi="Arial"/>
                <w:b/>
                <w:bCs/>
                <w:color w:val="D35400"/>
                <w:sz w:val="19"/>
                <w:szCs w:val="19"/>
              </w:rPr>
              <w:t xml:space="preserve">Normalization</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Dosage Form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INJECTABLE;SUBCUTANEOUS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Injection in single-dose prefilled syringe</w:t>
            </w:r>
          </w:p>
        </w:tc>
        <w:tc>
          <w:tcPr>
            <w:tcW w:type="dxa" w:w="15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b/>
                <w:bCs/>
                <w:color w:val="1E7E34"/>
                <w:sz w:val="19"/>
                <w:szCs w:val="19"/>
              </w:rPr>
              <w:t xml:space="preserve">Match</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Route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INJECTABLE;SUBCUTANEOUS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SUBCUTANEOUS</w:t>
            </w:r>
          </w:p>
        </w:tc>
        <w:tc>
          <w:tcPr>
            <w:tcW w:type="dxa" w:w="15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b/>
                <w:bCs/>
                <w:color w:val="1E7E34"/>
                <w:sz w:val="19"/>
                <w:szCs w:val="19"/>
              </w:rPr>
              <w:t xml:space="preserve">Match</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Marketing Status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Prescription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Human Prescription Drug</w:t>
            </w:r>
          </w:p>
        </w:tc>
        <w:tc>
          <w:tcPr>
            <w:tcW w:type="dxa" w:w="15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b/>
                <w:bCs/>
                <w:color w:val="1E7E34"/>
                <w:sz w:val="19"/>
                <w:szCs w:val="19"/>
              </w:rPr>
              <w:t xml:space="preserve">Match</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Indication type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Acute treatment only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Acute treatment only</w:t>
            </w:r>
          </w:p>
        </w:tc>
        <w:tc>
          <w:tcPr>
            <w:tcW w:type="dxa" w:w="15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b/>
                <w:bCs/>
                <w:color w:val="1E7E34"/>
                <w:sz w:val="19"/>
                <w:szCs w:val="19"/>
              </w:rPr>
              <w:t xml:space="preserve">Match</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Indication (vs. series)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On-demand HAE treatment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On-demand HAE treatment</w:t>
            </w:r>
          </w:p>
        </w:tc>
        <w:tc>
          <w:tcPr>
            <w:tcW w:type="dxa" w:w="1560"/>
            <w:tcBorders>
              <w:top w:val="single" w:color="CCCCCC" w:sz="1"/>
              <w:left w:val="single" w:color="CCCCCC" w:sz="1"/>
              <w:bottom w:val="single" w:color="CCCCCC" w:sz="1"/>
              <w:right w:val="single" w:color="CCCCCC" w:sz="1"/>
            </w:tcBorders>
            <w:shd w:fill="E0F2F1" w:val="clear"/>
            <w:tcMar>
              <w:top w:type="dxa" w:w="80"/>
              <w:left w:type="dxa" w:w="140"/>
              <w:bottom w:type="dxa" w:w="80"/>
              <w:right w:type="dxa" w:w="140"/>
            </w:tcMar>
          </w:tcPr>
          <w:p>
            <w:r>
              <w:rPr>
                <w:rFonts w:ascii="Arial" w:cs="Arial" w:eastAsia="Arial" w:hAnsi="Arial"/>
                <w:b/>
                <w:bCs/>
                <w:color w:val="117A65"/>
                <w:sz w:val="19"/>
                <w:szCs w:val="19"/>
              </w:rPr>
              <w:t xml:space="preserve">Drug-unique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Pediatric use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Adults 18+ only (not established &lt;18)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Adults 18+ only</w:t>
            </w:r>
          </w:p>
        </w:tc>
        <w:tc>
          <w:tcPr>
            <w:tcW w:type="dxa" w:w="15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b/>
                <w:bCs/>
                <w:color w:val="1E7E34"/>
                <w:sz w:val="19"/>
                <w:szCs w:val="19"/>
              </w:rPr>
              <w:t xml:space="preserve">Match</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TE Code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AP (all icatibant products)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Not in API</w:t>
            </w:r>
          </w:p>
        </w:tc>
        <w:tc>
          <w:tcPr>
            <w:tcW w:type="dxa" w:w="1560"/>
            <w:tcBorders>
              <w:top w:val="single" w:color="CCCCCC" w:sz="1"/>
              <w:left w:val="single" w:color="CCCCCC" w:sz="1"/>
              <w:bottom w:val="single" w:color="CCCCCC" w:sz="1"/>
              <w:right w:val="single" w:color="CCCCCC" w:sz="1"/>
            </w:tcBorders>
            <w:shd w:fill="FFEBEE" w:val="clear"/>
            <w:tcMar>
              <w:top w:type="dxa" w:w="80"/>
              <w:left w:type="dxa" w:w="140"/>
              <w:bottom w:type="dxa" w:w="80"/>
              <w:right w:type="dxa" w:w="140"/>
            </w:tcMar>
          </w:tcPr>
          <w:p>
            <w:r>
              <w:rPr>
                <w:rFonts w:ascii="Arial" w:cs="Arial" w:eastAsia="Arial" w:hAnsi="Arial"/>
                <w:b/>
                <w:bCs/>
                <w:color w:val="C0392B"/>
                <w:sz w:val="19"/>
                <w:szCs w:val="19"/>
              </w:rPr>
              <w:t xml:space="preserve">CONFLICT</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Firazyr NDA 022150 record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Shown (Images 1-3)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Not returned by API (limit=1)</w:t>
            </w:r>
          </w:p>
        </w:tc>
        <w:tc>
          <w:tcPr>
            <w:tcW w:type="dxa" w:w="1560"/>
            <w:tcBorders>
              <w:top w:val="single" w:color="CCCCCC" w:sz="1"/>
              <w:left w:val="single" w:color="CCCCCC" w:sz="1"/>
              <w:bottom w:val="single" w:color="CCCCCC" w:sz="1"/>
              <w:right w:val="single" w:color="CCCCCC" w:sz="1"/>
            </w:tcBorders>
            <w:shd w:fill="FFEBEE" w:val="clear"/>
            <w:tcMar>
              <w:top w:type="dxa" w:w="80"/>
              <w:left w:type="dxa" w:w="140"/>
              <w:bottom w:type="dxa" w:w="80"/>
              <w:right w:type="dxa" w:w="140"/>
            </w:tcMar>
          </w:tcPr>
          <w:p>
            <w:r>
              <w:rPr>
                <w:rFonts w:ascii="Arial" w:cs="Arial" w:eastAsia="Arial" w:hAnsi="Arial"/>
                <w:b/>
                <w:bCs/>
                <w:color w:val="C0392B"/>
                <w:sz w:val="19"/>
                <w:szCs w:val="19"/>
              </w:rPr>
              <w:t xml:space="preserve">CONFLICT</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ANDA holder vs. API manufacturer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CIPLA (Drugs@FDA ANDA page)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Cycle Pharmaceuticals Ltd-Uk</w:t>
            </w:r>
          </w:p>
        </w:tc>
        <w:tc>
          <w:tcPr>
            <w:tcW w:type="dxa" w:w="1560"/>
            <w:tcBorders>
              <w:top w:val="single" w:color="CCCCCC" w:sz="1"/>
              <w:left w:val="single" w:color="CCCCCC" w:sz="1"/>
              <w:bottom w:val="single" w:color="CCCCCC" w:sz="1"/>
              <w:right w:val="single" w:color="CCCCCC" w:sz="1"/>
            </w:tcBorders>
            <w:shd w:fill="FFEBEE" w:val="clear"/>
            <w:tcMar>
              <w:top w:type="dxa" w:w="80"/>
              <w:left w:type="dxa" w:w="140"/>
              <w:bottom w:type="dxa" w:w="80"/>
              <w:right w:type="dxa" w:w="140"/>
            </w:tcMar>
          </w:tcPr>
          <w:p>
            <w:r>
              <w:rPr>
                <w:rFonts w:ascii="Arial" w:cs="Arial" w:eastAsia="Arial" w:hAnsi="Arial"/>
                <w:b/>
                <w:bCs/>
                <w:color w:val="C0392B"/>
                <w:sz w:val="19"/>
                <w:szCs w:val="19"/>
              </w:rPr>
              <w:t xml:space="preserve">CONFLICT</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Orphan Status (Firazyr)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PRIORITY; Orphan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Not in API</w:t>
            </w:r>
          </w:p>
        </w:tc>
        <w:tc>
          <w:tcPr>
            <w:tcW w:type="dxa" w:w="1560"/>
            <w:tcBorders>
              <w:top w:val="single" w:color="CCCCCC" w:sz="1"/>
              <w:left w:val="single" w:color="CCCCCC" w:sz="1"/>
              <w:bottom w:val="single" w:color="CCCCCC" w:sz="1"/>
              <w:right w:val="single" w:color="CCCCCC" w:sz="1"/>
            </w:tcBorders>
            <w:shd w:fill="FFF8E1" w:val="clear"/>
            <w:tcMar>
              <w:top w:type="dxa" w:w="80"/>
              <w:left w:type="dxa" w:w="140"/>
              <w:bottom w:type="dxa" w:w="80"/>
              <w:right w:type="dxa" w:w="140"/>
            </w:tcMar>
          </w:tcPr>
          <w:p>
            <w:r>
              <w:rPr>
                <w:rFonts w:ascii="Arial" w:cs="Arial" w:eastAsia="Arial" w:hAnsi="Arial"/>
                <w:b/>
                <w:bCs/>
                <w:color w:val="C8962A"/>
                <w:sz w:val="19"/>
                <w:szCs w:val="19"/>
              </w:rPr>
              <w:t xml:space="preserve">Gap (expected)</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Firazyr: RLD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Yes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Not in API</w:t>
            </w:r>
          </w:p>
        </w:tc>
        <w:tc>
          <w:tcPr>
            <w:tcW w:type="dxa" w:w="1560"/>
            <w:tcBorders>
              <w:top w:val="single" w:color="CCCCCC" w:sz="1"/>
              <w:left w:val="single" w:color="CCCCCC" w:sz="1"/>
              <w:bottom w:val="single" w:color="CCCCCC" w:sz="1"/>
              <w:right w:val="single" w:color="CCCCCC" w:sz="1"/>
            </w:tcBorders>
            <w:shd w:fill="FFF8E1" w:val="clear"/>
            <w:tcMar>
              <w:top w:type="dxa" w:w="80"/>
              <w:left w:type="dxa" w:w="140"/>
              <w:bottom w:type="dxa" w:w="80"/>
              <w:right w:type="dxa" w:w="140"/>
            </w:tcMar>
          </w:tcPr>
          <w:p>
            <w:r>
              <w:rPr>
                <w:rFonts w:ascii="Arial" w:cs="Arial" w:eastAsia="Arial" w:hAnsi="Arial"/>
                <w:b/>
                <w:bCs/>
                <w:color w:val="C8962A"/>
                <w:sz w:val="19"/>
                <w:szCs w:val="19"/>
              </w:rPr>
              <w:t xml:space="preserve">Gap (expected)</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Firazyr: RS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Yes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Not in API</w:t>
            </w:r>
          </w:p>
        </w:tc>
        <w:tc>
          <w:tcPr>
            <w:tcW w:type="dxa" w:w="1560"/>
            <w:tcBorders>
              <w:top w:val="single" w:color="CCCCCC" w:sz="1"/>
              <w:left w:val="single" w:color="CCCCCC" w:sz="1"/>
              <w:bottom w:val="single" w:color="CCCCCC" w:sz="1"/>
              <w:right w:val="single" w:color="CCCCCC" w:sz="1"/>
            </w:tcBorders>
            <w:shd w:fill="FFF8E1" w:val="clear"/>
            <w:tcMar>
              <w:top w:type="dxa" w:w="80"/>
              <w:left w:type="dxa" w:w="140"/>
              <w:bottom w:type="dxa" w:w="80"/>
              <w:right w:type="dxa" w:w="140"/>
            </w:tcMar>
          </w:tcPr>
          <w:p>
            <w:r>
              <w:rPr>
                <w:rFonts w:ascii="Arial" w:cs="Arial" w:eastAsia="Arial" w:hAnsi="Arial"/>
                <w:b/>
                <w:bCs/>
                <w:color w:val="C8962A"/>
                <w:sz w:val="19"/>
                <w:szCs w:val="19"/>
              </w:rPr>
              <w:t xml:space="preserve">Gap (expected)</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Sajazir: RLD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No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Not in API</w:t>
            </w:r>
          </w:p>
        </w:tc>
        <w:tc>
          <w:tcPr>
            <w:tcW w:type="dxa" w:w="1560"/>
            <w:tcBorders>
              <w:top w:val="single" w:color="CCCCCC" w:sz="1"/>
              <w:left w:val="single" w:color="CCCCCC" w:sz="1"/>
              <w:bottom w:val="single" w:color="CCCCCC" w:sz="1"/>
              <w:right w:val="single" w:color="CCCCCC" w:sz="1"/>
            </w:tcBorders>
            <w:shd w:fill="FFF8E1" w:val="clear"/>
            <w:tcMar>
              <w:top w:type="dxa" w:w="80"/>
              <w:left w:type="dxa" w:w="140"/>
              <w:bottom w:type="dxa" w:w="80"/>
              <w:right w:type="dxa" w:w="140"/>
            </w:tcMar>
          </w:tcPr>
          <w:p>
            <w:r>
              <w:rPr>
                <w:rFonts w:ascii="Arial" w:cs="Arial" w:eastAsia="Arial" w:hAnsi="Arial"/>
                <w:b/>
                <w:bCs/>
                <w:color w:val="C8962A"/>
                <w:sz w:val="19"/>
                <w:szCs w:val="19"/>
              </w:rPr>
              <w:t xml:space="preserve">Gap (expected)</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Sajazir: RS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No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Not in API</w:t>
            </w:r>
          </w:p>
        </w:tc>
        <w:tc>
          <w:tcPr>
            <w:tcW w:type="dxa" w:w="1560"/>
            <w:tcBorders>
              <w:top w:val="single" w:color="CCCCCC" w:sz="1"/>
              <w:left w:val="single" w:color="CCCCCC" w:sz="1"/>
              <w:bottom w:val="single" w:color="CCCCCC" w:sz="1"/>
              <w:right w:val="single" w:color="CCCCCC" w:sz="1"/>
            </w:tcBorders>
            <w:shd w:fill="FFF8E1" w:val="clear"/>
            <w:tcMar>
              <w:top w:type="dxa" w:w="80"/>
              <w:left w:type="dxa" w:w="140"/>
              <w:bottom w:type="dxa" w:w="80"/>
              <w:right w:type="dxa" w:w="140"/>
            </w:tcMar>
          </w:tcPr>
          <w:p>
            <w:r>
              <w:rPr>
                <w:rFonts w:ascii="Arial" w:cs="Arial" w:eastAsia="Arial" w:hAnsi="Arial"/>
                <w:b/>
                <w:bCs/>
                <w:color w:val="C8962A"/>
                <w:sz w:val="19"/>
                <w:szCs w:val="19"/>
              </w:rPr>
              <w:t xml:space="preserve">Gap (expected)</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Firazyr label version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SUPPL-16 (01/19/2024)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Not in API response</w:t>
            </w:r>
          </w:p>
        </w:tc>
        <w:tc>
          <w:tcPr>
            <w:tcW w:type="dxa" w:w="1560"/>
            <w:tcBorders>
              <w:top w:val="single" w:color="CCCCCC" w:sz="1"/>
              <w:left w:val="single" w:color="CCCCCC" w:sz="1"/>
              <w:bottom w:val="single" w:color="CCCCCC" w:sz="1"/>
              <w:right w:val="single" w:color="CCCCCC" w:sz="1"/>
            </w:tcBorders>
            <w:shd w:fill="FFEBEE" w:val="clear"/>
            <w:tcMar>
              <w:top w:type="dxa" w:w="80"/>
              <w:left w:type="dxa" w:w="140"/>
              <w:bottom w:type="dxa" w:w="80"/>
              <w:right w:type="dxa" w:w="140"/>
            </w:tcMar>
          </w:tcPr>
          <w:p>
            <w:r>
              <w:rPr>
                <w:rFonts w:ascii="Arial" w:cs="Arial" w:eastAsia="Arial" w:hAnsi="Arial"/>
                <w:b/>
                <w:bCs/>
                <w:color w:val="C0392B"/>
                <w:sz w:val="19"/>
                <w:szCs w:val="19"/>
              </w:rPr>
              <w:t xml:space="preserve">CONFLICT</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Sajazir label version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SUPPL-3 (07/24/2023)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Version 5, effective 02/16/2024</w:t>
            </w:r>
          </w:p>
        </w:tc>
        <w:tc>
          <w:tcPr>
            <w:tcW w:type="dxa" w:w="1560"/>
            <w:tcBorders>
              <w:top w:val="single" w:color="CCCCCC" w:sz="1"/>
              <w:left w:val="single" w:color="CCCCCC" w:sz="1"/>
              <w:bottom w:val="single" w:color="CCCCCC" w:sz="1"/>
              <w:right w:val="single" w:color="CCCCCC" w:sz="1"/>
            </w:tcBorders>
            <w:shd w:fill="FFEBEE" w:val="clear"/>
            <w:tcMar>
              <w:top w:type="dxa" w:w="80"/>
              <w:left w:type="dxa" w:w="140"/>
              <w:bottom w:type="dxa" w:w="80"/>
              <w:right w:type="dxa" w:w="140"/>
            </w:tcMar>
          </w:tcPr>
          <w:p>
            <w:r>
              <w:rPr>
                <w:rFonts w:ascii="Arial" w:cs="Arial" w:eastAsia="Arial" w:hAnsi="Arial"/>
                <w:b/>
                <w:bCs/>
                <w:color w:val="C0392B"/>
                <w:sz w:val="19"/>
                <w:szCs w:val="19"/>
              </w:rPr>
              <w:t xml:space="preserve">CONFLICT</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Proprietary name history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SUPPL-1 = name change to Sajazir (06/03/2021)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Not in API</w:t>
            </w:r>
          </w:p>
        </w:tc>
        <w:tc>
          <w:tcPr>
            <w:tcW w:type="dxa" w:w="1560"/>
            <w:tcBorders>
              <w:top w:val="single" w:color="CCCCCC" w:sz="1"/>
              <w:left w:val="single" w:color="CCCCCC" w:sz="1"/>
              <w:bottom w:val="single" w:color="CCCCCC" w:sz="1"/>
              <w:right w:val="single" w:color="CCCCCC" w:sz="1"/>
            </w:tcBorders>
            <w:shd w:fill="FFF8E1" w:val="clear"/>
            <w:tcMar>
              <w:top w:type="dxa" w:w="80"/>
              <w:left w:type="dxa" w:w="140"/>
              <w:bottom w:type="dxa" w:w="80"/>
              <w:right w:type="dxa" w:w="140"/>
            </w:tcMar>
          </w:tcPr>
          <w:p>
            <w:r>
              <w:rPr>
                <w:rFonts w:ascii="Arial" w:cs="Arial" w:eastAsia="Arial" w:hAnsi="Arial"/>
                <w:b/>
                <w:bCs/>
                <w:color w:val="C8962A"/>
                <w:sz w:val="19"/>
                <w:szCs w:val="19"/>
              </w:rPr>
              <w:t xml:space="preserve">Gap (expected)</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8 generic equivalents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All shown in TE table (Images 1 &amp; 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Not in API</w:t>
            </w:r>
          </w:p>
        </w:tc>
        <w:tc>
          <w:tcPr>
            <w:tcW w:type="dxa" w:w="1560"/>
            <w:tcBorders>
              <w:top w:val="single" w:color="CCCCCC" w:sz="1"/>
              <w:left w:val="single" w:color="CCCCCC" w:sz="1"/>
              <w:bottom w:val="single" w:color="CCCCCC" w:sz="1"/>
              <w:right w:val="single" w:color="CCCCCC" w:sz="1"/>
            </w:tcBorders>
            <w:shd w:fill="FFF8E1" w:val="clear"/>
            <w:tcMar>
              <w:top w:type="dxa" w:w="80"/>
              <w:left w:type="dxa" w:w="140"/>
              <w:bottom w:type="dxa" w:w="80"/>
              <w:right w:type="dxa" w:w="140"/>
            </w:tcMar>
          </w:tcPr>
          <w:p>
            <w:r>
              <w:rPr>
                <w:rFonts w:ascii="Arial" w:cs="Arial" w:eastAsia="Arial" w:hAnsi="Arial"/>
                <w:b/>
                <w:bCs/>
                <w:color w:val="C8962A"/>
                <w:sz w:val="19"/>
                <w:szCs w:val="19"/>
              </w:rPr>
              <w:t xml:space="preserve">Gap (expected)</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Firazyr Submission Class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Type 1 – NME (Image 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Not in API</w:t>
            </w:r>
          </w:p>
        </w:tc>
        <w:tc>
          <w:tcPr>
            <w:tcW w:type="dxa" w:w="1560"/>
            <w:tcBorders>
              <w:top w:val="single" w:color="CCCCCC" w:sz="1"/>
              <w:left w:val="single" w:color="CCCCCC" w:sz="1"/>
              <w:bottom w:val="single" w:color="CCCCCC" w:sz="1"/>
              <w:right w:val="single" w:color="CCCCCC" w:sz="1"/>
            </w:tcBorders>
            <w:shd w:fill="FFF8E1" w:val="clear"/>
            <w:tcMar>
              <w:top w:type="dxa" w:w="80"/>
              <w:left w:type="dxa" w:w="140"/>
              <w:bottom w:type="dxa" w:w="80"/>
              <w:right w:type="dxa" w:w="140"/>
            </w:tcMar>
          </w:tcPr>
          <w:p>
            <w:r>
              <w:rPr>
                <w:rFonts w:ascii="Arial" w:cs="Arial" w:eastAsia="Arial" w:hAnsi="Arial"/>
                <w:b/>
                <w:bCs/>
                <w:color w:val="C8962A"/>
                <w:sz w:val="19"/>
                <w:szCs w:val="19"/>
              </w:rPr>
              <w:t xml:space="preserve">Gap (expected)</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ACE inhibitor interaction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Not visible in screenshots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Pharmacodynamic antagonism (Section 7.1)</w:t>
            </w:r>
          </w:p>
        </w:tc>
        <w:tc>
          <w:tcPr>
            <w:tcW w:type="dxa" w:w="1560"/>
            <w:tcBorders>
              <w:top w:val="single" w:color="CCCCCC" w:sz="1"/>
              <w:left w:val="single" w:color="CCCCCC" w:sz="1"/>
              <w:bottom w:val="single" w:color="CCCCCC" w:sz="1"/>
              <w:right w:val="single" w:color="CCCCCC" w:sz="1"/>
            </w:tcBorders>
            <w:shd w:fill="FFF8E1" w:val="clear"/>
            <w:tcMar>
              <w:top w:type="dxa" w:w="80"/>
              <w:left w:type="dxa" w:w="140"/>
              <w:bottom w:type="dxa" w:w="80"/>
              <w:right w:type="dxa" w:w="140"/>
            </w:tcMar>
          </w:tcPr>
          <w:p>
            <w:r>
              <w:rPr>
                <w:rFonts w:ascii="Arial" w:cs="Arial" w:eastAsia="Arial" w:hAnsi="Arial"/>
                <w:b/>
                <w:bCs/>
                <w:color w:val="C8962A"/>
                <w:sz w:val="19"/>
                <w:szCs w:val="19"/>
              </w:rPr>
              <w:t xml:space="preserve">Gap (expected)</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Half-life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Not visible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~1.4 hours (shortest in series)</w:t>
            </w:r>
          </w:p>
        </w:tc>
        <w:tc>
          <w:tcPr>
            <w:tcW w:type="dxa" w:w="1560"/>
            <w:tcBorders>
              <w:top w:val="single" w:color="CCCCCC" w:sz="1"/>
              <w:left w:val="single" w:color="CCCCCC" w:sz="1"/>
              <w:bottom w:val="single" w:color="CCCCCC" w:sz="1"/>
              <w:right w:val="single" w:color="CCCCCC" w:sz="1"/>
            </w:tcBorders>
            <w:shd w:fill="E0F2F1" w:val="clear"/>
            <w:tcMar>
              <w:top w:type="dxa" w:w="80"/>
              <w:left w:type="dxa" w:w="140"/>
              <w:bottom w:type="dxa" w:w="80"/>
              <w:right w:type="dxa" w:w="140"/>
            </w:tcMar>
          </w:tcPr>
          <w:p>
            <w:r>
              <w:rPr>
                <w:rFonts w:ascii="Arial" w:cs="Arial" w:eastAsia="Arial" w:hAnsi="Arial"/>
                <w:b/>
                <w:bCs/>
                <w:color w:val="117A65"/>
                <w:sz w:val="19"/>
                <w:szCs w:val="19"/>
              </w:rPr>
              <w:t xml:space="preserve">Drug-unique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Bioavailability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Not visible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~97% SC</w:t>
            </w:r>
          </w:p>
        </w:tc>
        <w:tc>
          <w:tcPr>
            <w:tcW w:type="dxa" w:w="1560"/>
            <w:tcBorders>
              <w:top w:val="single" w:color="CCCCCC" w:sz="1"/>
              <w:left w:val="single" w:color="CCCCCC" w:sz="1"/>
              <w:bottom w:val="single" w:color="CCCCCC" w:sz="1"/>
              <w:right w:val="single" w:color="CCCCCC" w:sz="1"/>
            </w:tcBorders>
            <w:shd w:fill="FFF8E1" w:val="clear"/>
            <w:tcMar>
              <w:top w:type="dxa" w:w="80"/>
              <w:left w:type="dxa" w:w="140"/>
              <w:bottom w:type="dxa" w:w="80"/>
              <w:right w:type="dxa" w:w="140"/>
            </w:tcMar>
          </w:tcPr>
          <w:p>
            <w:r>
              <w:rPr>
                <w:rFonts w:ascii="Arial" w:cs="Arial" w:eastAsia="Arial" w:hAnsi="Arial"/>
                <w:b/>
                <w:bCs/>
                <w:color w:val="C8962A"/>
                <w:sz w:val="19"/>
                <w:szCs w:val="19"/>
              </w:rPr>
              <w:t xml:space="preserve">Gap (expected)</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Pharm class EPC/MoA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Not shown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Not in API (absent)</w:t>
            </w:r>
          </w:p>
        </w:tc>
        <w:tc>
          <w:tcPr>
            <w:tcW w:type="dxa" w:w="1560"/>
            <w:tcBorders>
              <w:top w:val="single" w:color="CCCCCC" w:sz="1"/>
              <w:left w:val="single" w:color="CCCCCC" w:sz="1"/>
              <w:bottom w:val="single" w:color="CCCCCC" w:sz="1"/>
              <w:right w:val="single" w:color="CCCCCC" w:sz="1"/>
            </w:tcBorders>
            <w:shd w:fill="FFF8E1" w:val="clear"/>
            <w:tcMar>
              <w:top w:type="dxa" w:w="80"/>
              <w:left w:type="dxa" w:w="140"/>
              <w:bottom w:type="dxa" w:w="80"/>
              <w:right w:type="dxa" w:w="140"/>
            </w:tcMar>
          </w:tcPr>
          <w:p>
            <w:r>
              <w:rPr>
                <w:rFonts w:ascii="Arial" w:cs="Arial" w:eastAsia="Arial" w:hAnsi="Arial"/>
                <w:b/>
                <w:bCs/>
                <w:color w:val="C8962A"/>
                <w:sz w:val="19"/>
                <w:szCs w:val="19"/>
              </w:rPr>
              <w:t xml:space="preserve">Gap (expected)</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NDC codes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Not shown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70709-013-01 and 70709-013-03</w:t>
            </w:r>
          </w:p>
        </w:tc>
        <w:tc>
          <w:tcPr>
            <w:tcW w:type="dxa" w:w="1560"/>
            <w:tcBorders>
              <w:top w:val="single" w:color="CCCCCC" w:sz="1"/>
              <w:left w:val="single" w:color="CCCCCC" w:sz="1"/>
              <w:bottom w:val="single" w:color="CCCCCC" w:sz="1"/>
              <w:right w:val="single" w:color="CCCCCC" w:sz="1"/>
            </w:tcBorders>
            <w:shd w:fill="FFF8E1" w:val="clear"/>
            <w:tcMar>
              <w:top w:type="dxa" w:w="80"/>
              <w:left w:type="dxa" w:w="140"/>
              <w:bottom w:type="dxa" w:w="80"/>
              <w:right w:type="dxa" w:w="140"/>
            </w:tcMar>
          </w:tcPr>
          <w:p>
            <w:r>
              <w:rPr>
                <w:rFonts w:ascii="Arial" w:cs="Arial" w:eastAsia="Arial" w:hAnsi="Arial"/>
                <w:b/>
                <w:bCs/>
                <w:color w:val="C8962A"/>
                <w:sz w:val="19"/>
                <w:szCs w:val="19"/>
              </w:rPr>
              <w:t xml:space="preserve">Gap (expected)</w:t>
            </w:r>
          </w:p>
        </w:tc>
      </w:tr>
    </w:tbl>
    <w:p>
      <w:r>
        <w:t xml:space="preserve"/>
      </w:r>
    </w:p>
    <w:p>
      <w:pPr>
        <w:pStyle w:val="Heading1"/>
        <w:pBdr>
          <w:bottom w:val="single" w:color="2E6DA4" w:sz="8" w:space="4"/>
        </w:pBdr>
        <w:spacing w:after="120" w:before="320"/>
      </w:pPr>
      <w:r>
        <w:rPr>
          <w:rFonts w:ascii="Arial" w:cs="Arial" w:eastAsia="Arial" w:hAnsi="Arial"/>
          <w:b/>
          <w:bCs/>
          <w:color w:val="1B3A6B"/>
          <w:sz w:val="28"/>
          <w:szCs w:val="28"/>
        </w:rPr>
        <w:t xml:space="preserve">4. Conflicts — Detail &amp; Resolution Guidance</w:t>
      </w:r>
    </w:p>
    <w:p>
      <w:pPr>
        <w:pStyle w:val="Heading2"/>
        <w:spacing w:after="80" w:before="240"/>
      </w:pPr>
      <w:r>
        <w:rPr>
          <w:rFonts w:ascii="Arial" w:cs="Arial" w:eastAsia="Arial" w:hAnsi="Arial"/>
          <w:b/>
          <w:bCs/>
          <w:color w:val="2E6DA4"/>
          <w:sz w:val="24"/>
          <w:szCs w:val="24"/>
        </w:rPr>
        <w:t xml:space="preserve">CONFLICT 1 — API Returns Only 1 of 9 Icatibant SPL Records (CRITICAL)</w:t>
      </w:r>
    </w:p>
    <w:p>
      <w:pPr>
        <w:pBdr>
          <w:left w:val="single" w:color="7B241C" w:sz="20" w:space="8"/>
        </w:pBdr>
        <w:shd w:fill="FADBD8" w:val="clear"/>
        <w:spacing w:after="100" w:before="100"/>
        <w:ind w:left="200"/>
      </w:pPr>
      <w:r>
        <w:rPr>
          <w:rFonts w:ascii="Arial" w:cs="Arial" w:eastAsia="Arial" w:hAnsi="Arial"/>
          <w:b/>
          <w:bCs/>
          <w:color w:val="7B241C"/>
          <w:sz w:val="19"/>
          <w:szCs w:val="19"/>
        </w:rPr>
        <w:t xml:space="preserve">❗ The API meta.results.total = 9 confirms 9 SPL records exist for icatibant in openFDA. The pipeline query with limit=1 returned only Sajazir. The other 8 records (Firazyr originator + 7 generics) are invisible to the pipeline.</w:t>
      </w:r>
    </w:p>
    <w:p>
      <w:pPr>
        <w:spacing w:after="60" w:before="60"/>
      </w:pPr>
      <w:r>
        <w:rPr>
          <w:rFonts w:ascii="Arial" w:cs="Arial" w:eastAsia="Arial" w:hAnsi="Arial"/>
          <w:b/>
          <w:bCs/>
          <w:sz w:val="19"/>
          <w:szCs w:val="19"/>
        </w:rPr>
        <w:t xml:space="preserve">Explanation:</w:t>
      </w:r>
    </w:p>
    <w:p>
      <w:pPr>
        <w:pStyle w:val="ListParagraph"/>
        <w:numPr>
          <w:ilvl w:val="0"/>
          <w:numId w:val="2"/>
        </w:numPr>
        <w:spacing w:after="40" w:before="40"/>
      </w:pPr>
      <w:r>
        <w:rPr>
          <w:rFonts w:ascii="Arial" w:cs="Arial" w:eastAsia="Arial" w:hAnsi="Arial"/>
          <w:b w:val="false"/>
          <w:bCs w:val="false"/>
          <w:sz w:val="19"/>
          <w:szCs w:val="19"/>
        </w:rPr>
        <w:t xml:space="preserve">The openFDA /drug/label endpoint returns up to limit=N results per query. Using limit=1 for a drug with 9 label records means 89% of the label data is being missed.</w:t>
      </w:r>
    </w:p>
    <w:p>
      <w:pPr>
        <w:pStyle w:val="ListParagraph"/>
        <w:numPr>
          <w:ilvl w:val="0"/>
          <w:numId w:val="2"/>
        </w:numPr>
        <w:spacing w:after="40" w:before="40"/>
      </w:pPr>
      <w:r>
        <w:rPr>
          <w:rFonts w:ascii="Arial" w:cs="Arial" w:eastAsia="Arial" w:hAnsi="Arial"/>
          <w:b w:val="false"/>
          <w:bCs w:val="false"/>
          <w:sz w:val="19"/>
          <w:szCs w:val="19"/>
        </w:rPr>
        <w:t xml:space="preserve">The originator Firazyr (NDA 022150) has a completely different SPL set_id with a richer label history (16 supplements vs Sajazir's 3).</w:t>
      </w:r>
    </w:p>
    <w:p>
      <w:pPr>
        <w:pStyle w:val="ListParagraph"/>
        <w:numPr>
          <w:ilvl w:val="0"/>
          <w:numId w:val="2"/>
        </w:numPr>
        <w:spacing w:after="40" w:before="40"/>
      </w:pPr>
      <w:r>
        <w:rPr>
          <w:rFonts w:ascii="Arial" w:cs="Arial" w:eastAsia="Arial" w:hAnsi="Arial"/>
          <w:b w:val="false"/>
          <w:bCs w:val="false"/>
          <w:sz w:val="19"/>
          <w:szCs w:val="19"/>
        </w:rPr>
        <w:t xml:space="preserve">Each of the 7 other ANDAs may also have their own label records with additional manufacturer-specific information.</w:t>
      </w:r>
    </w:p>
    <w:p>
      <w:pPr>
        <w:spacing w:after="60" w:before="60"/>
      </w:pPr>
      <w:r>
        <w:rPr>
          <w:rFonts w:ascii="Arial" w:cs="Arial" w:eastAsia="Arial" w:hAnsi="Arial"/>
          <w:b/>
          <w:bCs/>
          <w:sz w:val="19"/>
          <w:szCs w:val="19"/>
        </w:rPr>
        <w:t xml:space="preserve">Pipeline resolution:</w:t>
      </w:r>
    </w:p>
    <w:p>
      <w:pPr>
        <w:pStyle w:val="ListParagraph"/>
        <w:numPr>
          <w:ilvl w:val="0"/>
          <w:numId w:val="2"/>
        </w:numPr>
        <w:spacing w:after="40" w:before="40"/>
      </w:pPr>
      <w:r>
        <w:rPr>
          <w:rFonts w:ascii="Arial" w:cs="Arial" w:eastAsia="Arial" w:hAnsi="Arial"/>
          <w:b/>
          <w:bCs/>
          <w:sz w:val="19"/>
          <w:szCs w:val="19"/>
        </w:rPr>
        <w:t xml:space="preserve">When querying the API for icatibant, use a larger limit (at minimum limit=10) or paginate through all results.</w:t>
      </w:r>
    </w:p>
    <w:p>
      <w:pPr>
        <w:pStyle w:val="ListParagraph"/>
        <w:numPr>
          <w:ilvl w:val="0"/>
          <w:numId w:val="2"/>
        </w:numPr>
        <w:spacing w:after="40" w:before="40"/>
      </w:pPr>
      <w:r>
        <w:rPr>
          <w:rFonts w:ascii="Arial" w:cs="Arial" w:eastAsia="Arial" w:hAnsi="Arial"/>
          <w:b w:val="false"/>
          <w:bCs w:val="false"/>
          <w:sz w:val="19"/>
          <w:szCs w:val="19"/>
        </w:rPr>
        <w:t xml:space="preserve">Group results by drug substance (icatibant), then differentiate by application_number (NDA vs ANDA), brand_name, and manufacturer.</w:t>
      </w:r>
    </w:p>
    <w:p>
      <w:pPr>
        <w:pStyle w:val="ListParagraph"/>
        <w:numPr>
          <w:ilvl w:val="0"/>
          <w:numId w:val="2"/>
        </w:numPr>
        <w:spacing w:after="40" w:before="40"/>
      </w:pPr>
      <w:r>
        <w:rPr>
          <w:rFonts w:ascii="Arial" w:cs="Arial" w:eastAsia="Arial" w:hAnsi="Arial"/>
          <w:b w:val="false"/>
          <w:bCs w:val="false"/>
          <w:sz w:val="19"/>
          <w:szCs w:val="19"/>
        </w:rPr>
        <w:t xml:space="preserve">Store all SPL records for a given active substance, not just the first result returned.</w:t>
      </w:r>
    </w:p>
    <w:p>
      <w:pPr>
        <w:pStyle w:val="ListParagraph"/>
        <w:numPr>
          <w:ilvl w:val="0"/>
          <w:numId w:val="2"/>
        </w:numPr>
        <w:spacing w:after="40" w:before="40"/>
      </w:pPr>
      <w:r>
        <w:rPr>
          <w:rFonts w:ascii="Arial" w:cs="Arial" w:eastAsia="Arial" w:hAnsi="Arial"/>
          <w:b w:val="false"/>
          <w:bCs w:val="false"/>
          <w:sz w:val="19"/>
          <w:szCs w:val="19"/>
        </w:rPr>
        <w:t xml:space="preserve">Use the meta.results.total field as a check: if total &gt; limit, re-query with skip=limit to fetch all remaining records.</w:t>
      </w:r>
    </w:p>
    <w:p>
      <w:r>
        <w:t xml:space="preserve"/>
      </w:r>
    </w:p>
    <w:p>
      <w:pPr>
        <w:pStyle w:val="Heading2"/>
        <w:spacing w:after="80" w:before="240"/>
      </w:pPr>
      <w:r>
        <w:rPr>
          <w:rFonts w:ascii="Arial" w:cs="Arial" w:eastAsia="Arial" w:hAnsi="Arial"/>
          <w:b/>
          <w:bCs/>
          <w:color w:val="2E6DA4"/>
          <w:sz w:val="24"/>
          <w:szCs w:val="24"/>
        </w:rPr>
        <w:t xml:space="preserve">CONFLICT 2 — Screenshots Cover Two Different Applications; API Covers Only One</w:t>
      </w:r>
    </w:p>
    <w:p>
      <w:pPr>
        <w:pBdr>
          <w:left w:val="single" w:color="C0392B" w:sz="20" w:space="8"/>
        </w:pBdr>
        <w:shd w:fill="FFEBEE" w:val="clear"/>
        <w:spacing w:after="100" w:before="100"/>
        <w:ind w:left="200"/>
      </w:pPr>
      <w:r>
        <w:rPr>
          <w:rFonts w:ascii="Arial" w:cs="Arial" w:eastAsia="Arial" w:hAnsi="Arial"/>
          <w:b/>
          <w:bCs/>
          <w:color w:val="C0392B"/>
          <w:sz w:val="19"/>
          <w:szCs w:val="19"/>
        </w:rPr>
        <w:t xml:space="preserve">⚠ Screenshots Image 1-3: NDA 022150 (Firazyr / Takeda). Screenshots Image 4-5: ANDA 212446 (Cipla / Sajazir). API: ANDA 212446 (Cycle Pharmaceuticals). Three different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620"/>
        <w:gridCol w:w="2620"/>
        <w:gridCol w:w="2620"/>
      </w:tblGrid>
      <w:tr>
        <w:tc>
          <w:tcPr>
            <w:tcW w:type="dxa" w:w="15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Entity</w:t>
            </w:r>
          </w:p>
        </w:tc>
        <w:tc>
          <w:tcPr>
            <w:tcW w:type="dxa" w:w="262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Application</w:t>
            </w:r>
          </w:p>
        </w:tc>
        <w:tc>
          <w:tcPr>
            <w:tcW w:type="dxa" w:w="262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Company</w:t>
            </w:r>
          </w:p>
        </w:tc>
        <w:tc>
          <w:tcPr>
            <w:tcW w:type="dxa" w:w="262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In API?</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Originator</w:t>
            </w:r>
          </w:p>
        </w:tc>
        <w:tc>
          <w:tcPr>
            <w:tcW w:type="dxa" w:w="2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NDA 022150</w:t>
            </w:r>
          </w:p>
        </w:tc>
        <w:tc>
          <w:tcPr>
            <w:tcW w:type="dxa" w:w="2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Takeda Pharmaceuticals USA</w:t>
            </w:r>
          </w:p>
        </w:tc>
        <w:tc>
          <w:tcPr>
            <w:tcW w:type="dxa" w:w="2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NOT in this API response</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Generic (Sajazir)</w:t>
            </w:r>
          </w:p>
        </w:tc>
        <w:tc>
          <w:tcPr>
            <w:tcW w:type="dxa" w:w="2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ANDA 212446</w:t>
            </w:r>
          </w:p>
        </w:tc>
        <w:tc>
          <w:tcPr>
            <w:tcW w:type="dxa" w:w="2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Cipla/Gland Pharma (mfr); Cycle Pharmaceuticals (mktg)</w:t>
            </w:r>
          </w:p>
        </w:tc>
        <w:tc>
          <w:tcPr>
            <w:tcW w:type="dxa" w:w="2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YES — Cycle Pharma version</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7 Other generics</w:t>
            </w:r>
          </w:p>
        </w:tc>
        <w:tc>
          <w:tcPr>
            <w:tcW w:type="dxa" w:w="2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ANDAs 208317 to 213773</w:t>
            </w:r>
          </w:p>
        </w:tc>
        <w:tc>
          <w:tcPr>
            <w:tcW w:type="dxa" w:w="2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Alembic, Eugia, Fresenius, Hansoh, Nang Kuang, Teva, Wilshire</w:t>
            </w:r>
          </w:p>
        </w:tc>
        <w:tc>
          <w:tcPr>
            <w:tcW w:type="dxa" w:w="2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Not in this API response</w:t>
            </w:r>
          </w:p>
        </w:tc>
      </w:tr>
    </w:tbl>
    <w:p>
      <w:pPr>
        <w:spacing w:after="60" w:before="60"/>
      </w:pPr>
      <w:r>
        <w:rPr>
          <w:rFonts w:ascii="Arial" w:cs="Arial" w:eastAsia="Arial" w:hAnsi="Arial"/>
          <w:b/>
          <w:bCs/>
          <w:sz w:val="19"/>
          <w:szCs w:val="19"/>
        </w:rPr>
        <w:t xml:space="preserve">Pipeline resolution:</w:t>
      </w:r>
    </w:p>
    <w:p>
      <w:pPr>
        <w:pStyle w:val="ListParagraph"/>
        <w:numPr>
          <w:ilvl w:val="0"/>
          <w:numId w:val="2"/>
        </w:numPr>
        <w:spacing w:after="40" w:before="40"/>
      </w:pPr>
      <w:r>
        <w:rPr>
          <w:rFonts w:ascii="Arial" w:cs="Arial" w:eastAsia="Arial" w:hAnsi="Arial"/>
          <w:b/>
          <w:bCs/>
          <w:sz w:val="19"/>
          <w:szCs w:val="19"/>
        </w:rPr>
        <w:t xml:space="preserve">Must query BOTH the NDA (022150) and all ANDAs separately to capture the full icatibant regulatory picture.</w:t>
      </w:r>
    </w:p>
    <w:p>
      <w:pPr>
        <w:pStyle w:val="ListParagraph"/>
        <w:numPr>
          <w:ilvl w:val="0"/>
          <w:numId w:val="2"/>
        </w:numPr>
        <w:spacing w:after="40" w:before="40"/>
      </w:pPr>
      <w:r>
        <w:rPr>
          <w:rFonts w:ascii="Arial" w:cs="Arial" w:eastAsia="Arial" w:hAnsi="Arial"/>
          <w:b w:val="false"/>
          <w:bCs w:val="false"/>
          <w:sz w:val="19"/>
          <w:szCs w:val="19"/>
        </w:rPr>
        <w:t xml:space="preserve">Store originator NDA and generic ANDAs as distinct record types linked by active_substance.</w:t>
      </w:r>
    </w:p>
    <w:p>
      <w:pPr>
        <w:pStyle w:val="ListParagraph"/>
        <w:numPr>
          <w:ilvl w:val="0"/>
          <w:numId w:val="2"/>
        </w:numPr>
        <w:spacing w:after="40" w:before="40"/>
      </w:pPr>
      <w:r>
        <w:rPr>
          <w:rFonts w:ascii="Arial" w:cs="Arial" w:eastAsia="Arial" w:hAnsi="Arial"/>
          <w:b w:val="false"/>
          <w:bCs w:val="false"/>
          <w:sz w:val="19"/>
          <w:szCs w:val="19"/>
        </w:rPr>
        <w:t xml:space="preserve">The Firazyr NDA label is the reference label for clinical content (most comprehensive, most current). ANDAs may have formulary differences.</w:t>
      </w:r>
    </w:p>
    <w:p>
      <w:r>
        <w:t xml:space="preserve"/>
      </w:r>
    </w:p>
    <w:p>
      <w:pPr>
        <w:pStyle w:val="Heading2"/>
        <w:spacing w:after="80" w:before="240"/>
      </w:pPr>
      <w:r>
        <w:rPr>
          <w:rFonts w:ascii="Arial" w:cs="Arial" w:eastAsia="Arial" w:hAnsi="Arial"/>
          <w:b/>
          <w:bCs/>
          <w:color w:val="2E6DA4"/>
          <w:sz w:val="24"/>
          <w:szCs w:val="24"/>
        </w:rPr>
        <w:t xml:space="preserve">CONFLICT 3 — TE Code = AP Present in Screenshots, Absent from API</w:t>
      </w:r>
    </w:p>
    <w:p>
      <w:pPr>
        <w:pBdr>
          <w:left w:val="single" w:color="C0392B" w:sz="20" w:space="8"/>
        </w:pBdr>
        <w:shd w:fill="FFEBEE" w:val="clear"/>
        <w:spacing w:after="100" w:before="100"/>
        <w:ind w:left="200"/>
      </w:pPr>
      <w:r>
        <w:rPr>
          <w:rFonts w:ascii="Arial" w:cs="Arial" w:eastAsia="Arial" w:hAnsi="Arial"/>
          <w:b/>
          <w:bCs/>
          <w:color w:val="C0392B"/>
          <w:sz w:val="19"/>
          <w:szCs w:val="19"/>
        </w:rPr>
        <w:t xml:space="preserve">⚠ All icatibant products carry TE Code AP (therapeutically equivalent). This is the ONLY drug in the series with an active TE Code. It is critical for formulary substitution.</w:t>
      </w:r>
    </w:p>
    <w:p>
      <w:pPr>
        <w:spacing w:after="60" w:before="60"/>
      </w:pPr>
      <w:r>
        <w:rPr>
          <w:rFonts w:ascii="Arial" w:cs="Arial" w:eastAsia="Arial" w:hAnsi="Arial"/>
          <w:b/>
          <w:bCs/>
          <w:sz w:val="19"/>
          <w:szCs w:val="19"/>
        </w:rPr>
        <w:t xml:space="preserve">Explanation:</w:t>
      </w:r>
    </w:p>
    <w:p>
      <w:pPr>
        <w:pStyle w:val="ListParagraph"/>
        <w:numPr>
          <w:ilvl w:val="0"/>
          <w:numId w:val="2"/>
        </w:numPr>
        <w:spacing w:after="40" w:before="40"/>
      </w:pPr>
      <w:r>
        <w:rPr>
          <w:rFonts w:ascii="Arial" w:cs="Arial" w:eastAsia="Arial" w:hAnsi="Arial"/>
          <w:b w:val="false"/>
          <w:bCs w:val="false"/>
          <w:sz w:val="19"/>
          <w:szCs w:val="19"/>
        </w:rPr>
        <w:t xml:space="preserve">TE Code 'AP' means 'Therapeutically Equivalent based on Bioequivalence Studies.' Pharmacists can substitute any AP-rated generic for Firazyr without prescriber authorization (subject to state law).</w:t>
      </w:r>
    </w:p>
    <w:p>
      <w:pPr>
        <w:pStyle w:val="ListParagraph"/>
        <w:numPr>
          <w:ilvl w:val="0"/>
          <w:numId w:val="2"/>
        </w:numPr>
        <w:spacing w:after="40" w:before="40"/>
      </w:pPr>
      <w:r>
        <w:rPr>
          <w:rFonts w:ascii="Arial" w:cs="Arial" w:eastAsia="Arial" w:hAnsi="Arial"/>
          <w:b w:val="false"/>
          <w:bCs w:val="false"/>
          <w:sz w:val="19"/>
          <w:szCs w:val="19"/>
        </w:rPr>
        <w:t xml:space="preserve">This fundamentally changes how the pipeline handles this drug in formulary and claims processing contexts vs. all other drugs in the series.</w:t>
      </w:r>
    </w:p>
    <w:p>
      <w:pPr>
        <w:pStyle w:val="ListParagraph"/>
        <w:numPr>
          <w:ilvl w:val="0"/>
          <w:numId w:val="2"/>
        </w:numPr>
        <w:spacing w:after="40" w:before="40"/>
      </w:pPr>
      <w:r>
        <w:rPr>
          <w:rFonts w:ascii="Arial" w:cs="Arial" w:eastAsia="Arial" w:hAnsi="Arial"/>
          <w:b w:val="false"/>
          <w:bCs w:val="false"/>
          <w:sz w:val="19"/>
          <w:szCs w:val="19"/>
        </w:rPr>
        <w:t xml:space="preserve">The API /drug/label endpoint does not return TE Code. It must be sourced from the Orange Book or the Drugs@FDA Therapeutic Equivalents table.</w:t>
      </w:r>
    </w:p>
    <w:p>
      <w:pPr>
        <w:spacing w:after="60" w:before="60"/>
      </w:pPr>
      <w:r>
        <w:rPr>
          <w:rFonts w:ascii="Arial" w:cs="Arial" w:eastAsia="Arial" w:hAnsi="Arial"/>
          <w:b/>
          <w:bCs/>
          <w:sz w:val="19"/>
          <w:szCs w:val="19"/>
        </w:rPr>
        <w:t xml:space="preserve">Pipeline resolution:</w:t>
      </w:r>
    </w:p>
    <w:p>
      <w:pPr>
        <w:pStyle w:val="ListParagraph"/>
        <w:numPr>
          <w:ilvl w:val="0"/>
          <w:numId w:val="2"/>
        </w:numPr>
        <w:spacing w:after="40" w:before="40"/>
      </w:pPr>
      <w:r>
        <w:rPr>
          <w:rFonts w:ascii="Arial" w:cs="Arial" w:eastAsia="Arial" w:hAnsi="Arial"/>
          <w:b/>
          <w:bCs/>
          <w:sz w:val="19"/>
          <w:szCs w:val="19"/>
        </w:rPr>
        <w:t xml:space="preserve">Add TE Code as a mandatory field in the drug record schema. Source from the Orange Book API (FDA provides this separately) or Drugs@FDA TE table.</w:t>
      </w:r>
    </w:p>
    <w:p>
      <w:pPr>
        <w:pStyle w:val="ListParagraph"/>
        <w:numPr>
          <w:ilvl w:val="0"/>
          <w:numId w:val="2"/>
        </w:numPr>
        <w:spacing w:after="40" w:before="40"/>
      </w:pPr>
      <w:r>
        <w:rPr>
          <w:rFonts w:ascii="Arial" w:cs="Arial" w:eastAsia="Arial" w:hAnsi="Arial"/>
          <w:b w:val="false"/>
          <w:bCs w:val="false"/>
          <w:sz w:val="19"/>
          <w:szCs w:val="19"/>
        </w:rPr>
        <w:t xml:space="preserve">For icatibant: te_code = 'AP', te_reference = 'NDA 022150 (Firazyr)', te_class = 'Injectable solutions'.</w:t>
      </w:r>
    </w:p>
    <w:p>
      <w:pPr>
        <w:pStyle w:val="ListParagraph"/>
        <w:numPr>
          <w:ilvl w:val="0"/>
          <w:numId w:val="2"/>
        </w:numPr>
        <w:spacing w:after="40" w:before="40"/>
      </w:pPr>
      <w:r>
        <w:rPr>
          <w:rFonts w:ascii="Arial" w:cs="Arial" w:eastAsia="Arial" w:hAnsi="Arial"/>
          <w:b w:val="false"/>
          <w:bCs w:val="false"/>
          <w:sz w:val="19"/>
          <w:szCs w:val="19"/>
        </w:rPr>
        <w:t xml:space="preserve">Store the full list of AP-equivalent ANDAs to enable generic substitution logic.</w:t>
      </w:r>
    </w:p>
    <w:p>
      <w:r>
        <w:t xml:space="preserve"/>
      </w:r>
    </w:p>
    <w:p>
      <w:pPr>
        <w:pStyle w:val="Heading2"/>
        <w:spacing w:after="80" w:before="240"/>
      </w:pPr>
      <w:r>
        <w:rPr>
          <w:rFonts w:ascii="Arial" w:cs="Arial" w:eastAsia="Arial" w:hAnsi="Arial"/>
          <w:b/>
          <w:bCs/>
          <w:color w:val="2E6DA4"/>
          <w:sz w:val="24"/>
          <w:szCs w:val="24"/>
        </w:rPr>
        <w:t xml:space="preserve">CONFLICT 4 — ANDA Holder (CIPLA) vs. API Manufacturer (Cycle Pharmaceuticals Ltd-Uk)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
            </w:r>
          </w:p>
        </w:tc>
        <w:tc>
          <w:tcPr>
            <w:tcW w:type="dxa" w:w="378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Value</w:t>
            </w:r>
          </w:p>
        </w:tc>
        <w:tc>
          <w:tcPr>
            <w:tcW w:type="dxa" w:w="378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Source</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Drugs@FDA ANDA holder</w:t>
            </w:r>
          </w:p>
        </w:tc>
        <w:tc>
          <w:tcPr>
            <w:tcW w:type="dxa" w:w="3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CIPLA</w:t>
            </w:r>
          </w:p>
        </w:tc>
        <w:tc>
          <w:tcPr>
            <w:tcW w:type="dxa" w:w="3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ANDA 212446 Drugs@FDA page (Images 4 &amp; 5)</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API manufacturer_name</w:t>
            </w:r>
          </w:p>
        </w:tc>
        <w:tc>
          <w:tcPr>
            <w:tcW w:type="dxa" w:w="3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Cycle Pharmaceuticals Ltd-Uk</w:t>
            </w:r>
          </w:p>
        </w:tc>
        <w:tc>
          <w:tcPr>
            <w:tcW w:type="dxa" w:w="3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openfda.manufacturer_name</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Label body</w:t>
            </w:r>
          </w:p>
        </w:tc>
        <w:tc>
          <w:tcPr>
            <w:tcW w:type="dxa" w:w="3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Manufactured by: Cipla Ltd., India at Gland Pharma, Hyderabad. Manufactured for: Cycle Pharmaceuticals Ltd, Cambridge, UK.</w:t>
            </w:r>
          </w:p>
        </w:tc>
        <w:tc>
          <w:tcPr>
            <w:tcW w:type="dxa" w:w="3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Section 17 Patient Counseling</w:t>
            </w:r>
          </w:p>
        </w:tc>
      </w:tr>
    </w:tbl>
    <w:p>
      <w:pPr>
        <w:spacing w:after="60" w:before="60"/>
      </w:pPr>
      <w:r>
        <w:rPr>
          <w:rFonts w:ascii="Arial" w:cs="Arial" w:eastAsia="Arial" w:hAnsi="Arial"/>
          <w:b/>
          <w:bCs/>
          <w:sz w:val="19"/>
          <w:szCs w:val="19"/>
        </w:rPr>
        <w:t xml:space="preserve">Explanation:</w:t>
      </w:r>
    </w:p>
    <w:p>
      <w:pPr>
        <w:pStyle w:val="ListParagraph"/>
        <w:numPr>
          <w:ilvl w:val="0"/>
          <w:numId w:val="2"/>
        </w:numPr>
        <w:spacing w:after="40" w:before="40"/>
      </w:pPr>
      <w:r>
        <w:rPr>
          <w:rFonts w:ascii="Arial" w:cs="Arial" w:eastAsia="Arial" w:hAnsi="Arial"/>
          <w:b w:val="false"/>
          <w:bCs w:val="false"/>
          <w:sz w:val="19"/>
          <w:szCs w:val="19"/>
        </w:rPr>
        <w:t xml:space="preserve">Cipla holds the ANDA (regulatory filing) and is the actual manufacturer (Gland Pharma facility). Cycle Pharmaceuticals is the NDA licensee/marketer that brands it as Sajazir.</w:t>
      </w:r>
    </w:p>
    <w:p>
      <w:pPr>
        <w:pStyle w:val="ListParagraph"/>
        <w:numPr>
          <w:ilvl w:val="0"/>
          <w:numId w:val="2"/>
        </w:numPr>
        <w:spacing w:after="40" w:before="40"/>
      </w:pPr>
      <w:r>
        <w:rPr>
          <w:rFonts w:ascii="Arial" w:cs="Arial" w:eastAsia="Arial" w:hAnsi="Arial"/>
          <w:b w:val="false"/>
          <w:bCs w:val="false"/>
          <w:sz w:val="19"/>
          <w:szCs w:val="19"/>
        </w:rPr>
        <w:t xml:space="preserve">The Drugs@FDA product page shows the ANDA holder (Cipla). The API SPL shows the label sponsor (Cycle Pharmaceuticals). These are different entities with different regulatory roles.</w:t>
      </w:r>
    </w:p>
    <w:p>
      <w:pPr>
        <w:pStyle w:val="ListParagraph"/>
        <w:numPr>
          <w:ilvl w:val="0"/>
          <w:numId w:val="2"/>
        </w:numPr>
        <w:spacing w:after="40" w:before="40"/>
      </w:pPr>
      <w:r>
        <w:rPr>
          <w:rFonts w:ascii="Arial" w:cs="Arial" w:eastAsia="Arial" w:hAnsi="Arial"/>
          <w:b w:val="false"/>
          <w:bCs w:val="false"/>
          <w:sz w:val="19"/>
          <w:szCs w:val="19"/>
        </w:rPr>
        <w:t xml:space="preserve">SUPPL-1 in the history (06/03/2021) was a 'Proprietary Name Change' — this is when Cycle Pharmaceuticals rebranded the Cipla ANDA generic as 'Sajazir.'</w:t>
      </w:r>
    </w:p>
    <w:p>
      <w:pPr>
        <w:spacing w:after="60" w:before="60"/>
      </w:pPr>
      <w:r>
        <w:rPr>
          <w:rFonts w:ascii="Arial" w:cs="Arial" w:eastAsia="Arial" w:hAnsi="Arial"/>
          <w:b/>
          <w:bCs/>
          <w:sz w:val="19"/>
          <w:szCs w:val="19"/>
        </w:rPr>
        <w:t xml:space="preserve">Pipeline resolution:</w:t>
      </w:r>
    </w:p>
    <w:p>
      <w:pPr>
        <w:pStyle w:val="ListParagraph"/>
        <w:numPr>
          <w:ilvl w:val="0"/>
          <w:numId w:val="2"/>
        </w:numPr>
        <w:spacing w:after="40" w:before="40"/>
      </w:pPr>
      <w:r>
        <w:rPr>
          <w:rFonts w:ascii="Arial" w:cs="Arial" w:eastAsia="Arial" w:hAnsi="Arial"/>
          <w:b/>
          <w:bCs/>
          <w:sz w:val="19"/>
          <w:szCs w:val="19"/>
        </w:rPr>
        <w:t xml:space="preserve">Store three distinct manufacturer fields: anda_holder (Cipla), label_sponsor (Cycle Pharmaceuticals Ltd), manufacturer (Cipla Ltd./Gland Pharma), and distributor (Cycle Pharmaceuticals).</w:t>
      </w:r>
    </w:p>
    <w:p>
      <w:pPr>
        <w:pStyle w:val="ListParagraph"/>
        <w:numPr>
          <w:ilvl w:val="0"/>
          <w:numId w:val="2"/>
        </w:numPr>
        <w:spacing w:after="40" w:before="40"/>
      </w:pPr>
      <w:r>
        <w:rPr>
          <w:rFonts w:ascii="Arial" w:cs="Arial" w:eastAsia="Arial" w:hAnsi="Arial"/>
          <w:b w:val="false"/>
          <w:bCs w:val="false"/>
          <w:sz w:val="19"/>
          <w:szCs w:val="19"/>
        </w:rPr>
        <w:t xml:space="preserve">Link the ANDA number to the manufacturing entity and the brand name to the marketing entity separately.</w:t>
      </w:r>
    </w:p>
    <w:p>
      <w:r>
        <w:t xml:space="preserve"/>
      </w:r>
    </w:p>
    <w:p>
      <w:pPr>
        <w:pStyle w:val="Heading2"/>
        <w:spacing w:after="80" w:before="240"/>
      </w:pPr>
      <w:r>
        <w:rPr>
          <w:rFonts w:ascii="Arial" w:cs="Arial" w:eastAsia="Arial" w:hAnsi="Arial"/>
          <w:b/>
          <w:bCs/>
          <w:color w:val="2E6DA4"/>
          <w:sz w:val="24"/>
          <w:szCs w:val="24"/>
        </w:rPr>
        <w:t xml:space="preserve">CONFLICT 5 — Label Version Gap (Screenshots Stale for Both Applications)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Product</w:t>
            </w:r>
          </w:p>
        </w:tc>
        <w:tc>
          <w:tcPr>
            <w:tcW w:type="dxa" w:w="351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Last label in screenshots</w:t>
            </w:r>
          </w:p>
        </w:tc>
        <w:tc>
          <w:tcPr>
            <w:tcW w:type="dxa" w:w="351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API / Current</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Firazyr (NDA 022150)</w:t>
            </w:r>
          </w:p>
        </w:tc>
        <w:tc>
          <w:tcPr>
            <w:tcW w:type="dxa" w:w="351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SUPPL-16, 01/19/2024</w:t>
            </w:r>
          </w:p>
        </w:tc>
        <w:tc>
          <w:tcPr>
            <w:tcW w:type="dxa" w:w="351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Not in this API response. Current label unknown without separate API query.</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Sajazir (ANDA 212446)</w:t>
            </w:r>
          </w:p>
        </w:tc>
        <w:tc>
          <w:tcPr>
            <w:tcW w:type="dxa" w:w="351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SUPPL-3, 07/24/2023</w:t>
            </w:r>
          </w:p>
        </w:tc>
        <w:tc>
          <w:tcPr>
            <w:tcW w:type="dxa" w:w="351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Version 5, effective 02/16/2024 (7 months newer than screenshot)</w:t>
            </w:r>
          </w:p>
        </w:tc>
      </w:tr>
    </w:tbl>
    <w:p>
      <w:pPr>
        <w:spacing w:after="60" w:before="60"/>
      </w:pPr>
      <w:r>
        <w:rPr>
          <w:rFonts w:ascii="Arial" w:cs="Arial" w:eastAsia="Arial" w:hAnsi="Arial"/>
          <w:b/>
          <w:bCs/>
          <w:sz w:val="19"/>
          <w:szCs w:val="19"/>
        </w:rPr>
        <w:t xml:space="preserve">Pipeline resolution:</w:t>
      </w:r>
    </w:p>
    <w:p>
      <w:pPr>
        <w:pStyle w:val="ListParagraph"/>
        <w:numPr>
          <w:ilvl w:val="0"/>
          <w:numId w:val="2"/>
        </w:numPr>
        <w:spacing w:after="40" w:before="40"/>
      </w:pPr>
      <w:r>
        <w:rPr>
          <w:rFonts w:ascii="Arial" w:cs="Arial" w:eastAsia="Arial" w:hAnsi="Arial"/>
          <w:b w:val="false"/>
          <w:bCs w:val="false"/>
          <w:sz w:val="19"/>
          <w:szCs w:val="19"/>
        </w:rPr>
        <w:t xml:space="preserve">Always pull both NDA 022150 (Firazyr) and ANDA 212446 (Sajazir) labels and compare versions.</w:t>
      </w:r>
    </w:p>
    <w:p>
      <w:pPr>
        <w:pStyle w:val="ListParagraph"/>
        <w:numPr>
          <w:ilvl w:val="0"/>
          <w:numId w:val="2"/>
        </w:numPr>
        <w:spacing w:after="40" w:before="40"/>
      </w:pPr>
      <w:r>
        <w:rPr>
          <w:rFonts w:ascii="Arial" w:cs="Arial" w:eastAsia="Arial" w:hAnsi="Arial"/>
          <w:b/>
          <w:bCs/>
          <w:sz w:val="19"/>
          <w:szCs w:val="19"/>
        </w:rPr>
        <w:t xml:space="preserve">The Firazyr label (NDA 022150) is the primary reference for clinical content; ANDAs should be variant-checked against it.</w:t>
      </w:r>
    </w:p>
    <w:p>
      <w:r>
        <w:t xml:space="preserve"/>
      </w:r>
    </w:p>
    <w:p>
      <w:pPr>
        <w:pStyle w:val="Heading1"/>
        <w:pBdr>
          <w:bottom w:val="single" w:color="2E6DA4" w:sz="8" w:space="4"/>
        </w:pBdr>
        <w:spacing w:after="120" w:before="320"/>
      </w:pPr>
      <w:r>
        <w:rPr>
          <w:rFonts w:ascii="Arial" w:cs="Arial" w:eastAsia="Arial" w:hAnsi="Arial"/>
          <w:b/>
          <w:bCs/>
          <w:color w:val="1B3A6B"/>
          <w:sz w:val="28"/>
          <w:szCs w:val="28"/>
        </w:rPr>
        <w:t xml:space="preserve">5. Critical Classification Differences vs. All Other Series Drugs</w:t>
      </w:r>
    </w:p>
    <w:p>
      <w:pPr>
        <w:pBdr>
          <w:left w:val="single" w:color="7B241C" w:sz="20" w:space="8"/>
        </w:pBdr>
        <w:shd w:fill="FADBD8" w:val="clear"/>
        <w:spacing w:after="100" w:before="100"/>
        <w:ind w:left="200"/>
      </w:pPr>
      <w:r>
        <w:rPr>
          <w:rFonts w:ascii="Arial" w:cs="Arial" w:eastAsia="Arial" w:hAnsi="Arial"/>
          <w:b/>
          <w:bCs/>
          <w:color w:val="7B241C"/>
          <w:sz w:val="19"/>
          <w:szCs w:val="19"/>
        </w:rPr>
        <w:t xml:space="preserve">❗ Icatibant/Sajazir differs from every other drug in the HAE assessment series in three fundamental ways that affect pipeline classification, storage, and use-case logic.</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Dimension</w:t>
            </w:r>
          </w:p>
        </w:tc>
        <w:tc>
          <w:tcPr>
            <w:tcW w:type="dxa" w:w="351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Icatibant (Sajazir/Firazyr)</w:t>
            </w:r>
          </w:p>
        </w:tc>
        <w:tc>
          <w:tcPr>
            <w:tcW w:type="dxa" w:w="351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All other series drugs</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Use case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ACUTE TREATMENT of HAE attacks (on-demand)</w:t>
            </w:r>
          </w:p>
        </w:tc>
        <w:tc>
          <w:tcPr>
            <w:tcW w:type="dxa" w:w="351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PROPHYLAXIS to prevent HAE attacks (scheduled)</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Pediatric</w:t>
            </w:r>
          </w:p>
        </w:tc>
        <w:tc>
          <w:tcPr>
            <w:tcW w:type="dxa" w:w="351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Adults 18+ ONLY. Not established &lt;18.</w:t>
            </w:r>
          </w:p>
        </w:tc>
        <w:tc>
          <w:tcPr>
            <w:tcW w:type="dxa" w:w="351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Lanadelumab: 2+; Berotralstat: 2+; Garadacimab: 12+; Donidalorsen: 12+</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Drug class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Synthetic decapeptide (peptide drug)</w:t>
            </w:r>
          </w:p>
        </w:tc>
        <w:tc>
          <w:tcPr>
            <w:tcW w:type="dxa" w:w="351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mAb (Lanadelumab, Garadacimab), small molecule (Berotralstat), ASO (Donidalorsen)</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Pathway target</w:t>
            </w:r>
          </w:p>
        </w:tc>
        <w:tc>
          <w:tcPr>
            <w:tcW w:type="dxa" w:w="351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Bradykinin B2 receptor (most downstream in cascade)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FXIIa (upstream), Kallikrein (mid), PKK mRNA (pre-protein)</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Half-life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~1.4 hours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93h (Berotralstat), 15-17 days (mAbs), ~1 month (Donidalorsen)</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Market structure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Multi-generic market: 1 originator + 8 generics, all AP-rated</w:t>
            </w:r>
          </w:p>
        </w:tc>
        <w:tc>
          <w:tcPr>
            <w:tcW w:type="dxa" w:w="351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Single-product or very limited generics (all recently approved)</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TE Code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AP (bioequivalence established)</w:t>
            </w:r>
          </w:p>
        </w:tc>
        <w:tc>
          <w:tcPr>
            <w:tcW w:type="dxa" w:w="351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None (all novel, no generics with AP rating)</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Application type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NDA (originator) + 8 ANDAs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BLA (Lanadelumab, Garadacimab) or single NDA/two NDAs (Berotralstat, Donidalorsen)</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Drug interaction</w:t>
            </w:r>
          </w:p>
        </w:tc>
        <w:tc>
          <w:tcPr>
            <w:tcW w:type="dxa" w:w="351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ACE inhibitors (pharmacodynamic: attenuates antihypertensive effect)</w:t>
            </w:r>
          </w:p>
        </w:tc>
        <w:tc>
          <w:tcPr>
            <w:tcW w:type="dxa" w:w="351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CYP enzymes (Berotralstat), transporter (Donidalorsen M8), lab tests (Garadacimab, Lanadelumab)</w:t>
            </w:r>
          </w:p>
        </w:tc>
      </w:tr>
    </w:tbl>
    <w:p>
      <w:r>
        <w:t xml:space="preserve"/>
      </w:r>
    </w:p>
    <w:p>
      <w:pPr>
        <w:pStyle w:val="Heading2"/>
        <w:spacing w:after="80" w:before="240"/>
      </w:pPr>
      <w:r>
        <w:rPr>
          <w:rFonts w:ascii="Arial" w:cs="Arial" w:eastAsia="Arial" w:hAnsi="Arial"/>
          <w:b/>
          <w:bCs/>
          <w:color w:val="2E6DA4"/>
          <w:sz w:val="24"/>
          <w:szCs w:val="24"/>
        </w:rPr>
        <w:t xml:space="preserve">5.1 Cascade Position: Most Downstream Target in Series</w:t>
      </w:r>
    </w:p>
    <w:p>
      <w:pPr>
        <w:pBdr>
          <w:left w:val="single" w:color="117A65" w:sz="16" w:space="8"/>
        </w:pBdr>
        <w:shd w:fill="E0F2F1" w:val="clear"/>
        <w:spacing w:after="100" w:before="100"/>
        <w:ind w:left="200"/>
      </w:pPr>
      <w:r>
        <w:rPr>
          <w:rFonts w:ascii="Arial" w:cs="Arial" w:eastAsia="Arial" w:hAnsi="Arial"/>
          <w:b/>
          <w:bCs/>
          <w:color w:val="117A65"/>
          <w:sz w:val="19"/>
          <w:szCs w:val="19"/>
        </w:rPr>
        <w:t xml:space="preserve">ℹ Icatibant acts at the bradykinin B2 receptor — the most downstream point in the HAE contact activation cascade. This is one step beyond where all other drugs 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Cascade Level</w:t>
            </w:r>
          </w:p>
        </w:tc>
        <w:tc>
          <w:tcPr>
            <w:tcW w:type="dxa" w:w="468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Drug(s) Acting Here</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FXII → FXIIa (initiation)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Garadacimab (FXIIa inhibitor)</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Prekallikrein → Kallikrein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Lanadelumab, Berotralstat (kallikrein inhibitors), Donidalorsen (PKK mRNA)</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Bradykinin → B2 receptor (endpoint)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Icatibant / Sajazir / Firazyr (B2 receptor antagonist)</w:t>
            </w:r>
          </w:p>
        </w:tc>
      </w:tr>
    </w:tbl>
    <w:p>
      <w:pPr>
        <w:pStyle w:val="ListParagraph"/>
        <w:numPr>
          <w:ilvl w:val="0"/>
          <w:numId w:val="2"/>
        </w:numPr>
        <w:spacing w:after="40" w:before="40"/>
      </w:pPr>
      <w:r>
        <w:rPr>
          <w:rFonts w:ascii="Arial" w:cs="Arial" w:eastAsia="Arial" w:hAnsi="Arial"/>
          <w:b/>
          <w:bCs/>
          <w:sz w:val="19"/>
          <w:szCs w:val="19"/>
        </w:rPr>
        <w:t xml:space="preserve">Store mechanism_target = 'Bradykinin B2 receptor' and mechanism_class = 'Competitive antagonist'.</w:t>
      </w:r>
    </w:p>
    <w:p>
      <w:pPr>
        <w:pStyle w:val="ListParagraph"/>
        <w:numPr>
          <w:ilvl w:val="0"/>
          <w:numId w:val="2"/>
        </w:numPr>
        <w:spacing w:after="40" w:before="40"/>
      </w:pPr>
      <w:r>
        <w:rPr>
          <w:rFonts w:ascii="Arial" w:cs="Arial" w:eastAsia="Arial" w:hAnsi="Arial"/>
          <w:b w:val="false"/>
          <w:bCs w:val="false"/>
          <w:sz w:val="19"/>
          <w:szCs w:val="19"/>
        </w:rPr>
        <w:t xml:space="preserve">Pathway position = 'downstream / receptor level' — distinct from all upstream inhibitors.</w:t>
      </w:r>
    </w:p>
    <w:p>
      <w:pPr>
        <w:pStyle w:val="ListParagraph"/>
        <w:numPr>
          <w:ilvl w:val="0"/>
          <w:numId w:val="2"/>
        </w:numPr>
        <w:spacing w:after="40" w:before="40"/>
      </w:pPr>
      <w:r>
        <w:rPr>
          <w:rFonts w:ascii="Arial" w:cs="Arial" w:eastAsia="Arial" w:hAnsi="Arial"/>
          <w:b w:val="false"/>
          <w:bCs w:val="false"/>
          <w:sz w:val="19"/>
          <w:szCs w:val="19"/>
        </w:rPr>
        <w:t xml:space="preserve">Clinical implication: Icatibant works regardless of which upstream pathway is dysregulated. It treats the final common effector of all HAE subtypes.</w:t>
      </w:r>
    </w:p>
    <w:p>
      <w:r>
        <w:t xml:space="preserve"/>
      </w:r>
    </w:p>
    <w:p>
      <w:pPr>
        <w:pStyle w:val="Heading2"/>
        <w:spacing w:after="80" w:before="240"/>
      </w:pPr>
      <w:r>
        <w:rPr>
          <w:rFonts w:ascii="Arial" w:cs="Arial" w:eastAsia="Arial" w:hAnsi="Arial"/>
          <w:b/>
          <w:bCs/>
          <w:color w:val="2E6DA4"/>
          <w:sz w:val="24"/>
          <w:szCs w:val="24"/>
        </w:rPr>
        <w:t xml:space="preserve">5.2 Short Half-Life and On-Demand Dosing Architecture</w:t>
      </w:r>
    </w:p>
    <w:p>
      <w:pPr>
        <w:pStyle w:val="ListParagraph"/>
        <w:numPr>
          <w:ilvl w:val="0"/>
          <w:numId w:val="2"/>
        </w:numPr>
        <w:spacing w:after="40" w:before="40"/>
      </w:pPr>
      <w:r>
        <w:rPr>
          <w:rFonts w:ascii="Arial" w:cs="Arial" w:eastAsia="Arial" w:hAnsi="Arial"/>
          <w:b w:val="false"/>
          <w:bCs w:val="false"/>
          <w:sz w:val="19"/>
          <w:szCs w:val="19"/>
        </w:rPr>
        <w:t xml:space="preserve">Half-life ~1.4h means the drug clears in ~7 hours (5 half-lives). This is why up to 3 doses per 24h are permitted.</w:t>
      </w:r>
    </w:p>
    <w:p>
      <w:pPr>
        <w:pStyle w:val="ListParagraph"/>
        <w:numPr>
          <w:ilvl w:val="0"/>
          <w:numId w:val="2"/>
        </w:numPr>
        <w:spacing w:after="40" w:before="40"/>
      </w:pPr>
      <w:r>
        <w:rPr>
          <w:rFonts w:ascii="Arial" w:cs="Arial" w:eastAsia="Arial" w:hAnsi="Arial"/>
          <w:b/>
          <w:bCs/>
          <w:sz w:val="19"/>
          <w:szCs w:val="19"/>
        </w:rPr>
        <w:t xml:space="preserve">The pipeline must store on-demand dosing as distinct from scheduled/prophylactic dosing:</w:t>
      </w:r>
    </w:p>
    <w:p>
      <w:pPr>
        <w:pStyle w:val="ListParagraph"/>
        <w:numPr>
          <w:ilvl w:val="0"/>
          <w:numId w:val="3"/>
        </w:numPr>
        <w:spacing w:after="30" w:before="30"/>
      </w:pPr>
      <w:r>
        <w:rPr>
          <w:rFonts w:ascii="Arial" w:cs="Arial" w:eastAsia="Arial" w:hAnsi="Arial"/>
          <w:sz w:val="18"/>
          <w:szCs w:val="18"/>
        </w:rPr>
        <w:t xml:space="preserve">dose_type = on_demand</w:t>
      </w:r>
    </w:p>
    <w:p>
      <w:pPr>
        <w:pStyle w:val="ListParagraph"/>
        <w:numPr>
          <w:ilvl w:val="0"/>
          <w:numId w:val="3"/>
        </w:numPr>
        <w:spacing w:after="30" w:before="30"/>
      </w:pPr>
      <w:r>
        <w:rPr>
          <w:rFonts w:ascii="Arial" w:cs="Arial" w:eastAsia="Arial" w:hAnsi="Arial"/>
          <w:sz w:val="18"/>
          <w:szCs w:val="18"/>
        </w:rPr>
        <w:t xml:space="preserve">max_doses_per_episode = 3</w:t>
      </w:r>
    </w:p>
    <w:p>
      <w:pPr>
        <w:pStyle w:val="ListParagraph"/>
        <w:numPr>
          <w:ilvl w:val="0"/>
          <w:numId w:val="3"/>
        </w:numPr>
        <w:spacing w:after="30" w:before="30"/>
      </w:pPr>
      <w:r>
        <w:rPr>
          <w:rFonts w:ascii="Arial" w:cs="Arial" w:eastAsia="Arial" w:hAnsi="Arial"/>
          <w:sz w:val="18"/>
          <w:szCs w:val="18"/>
        </w:rPr>
        <w:t xml:space="preserve">min_inter-dose_interval = 6 hours</w:t>
      </w:r>
    </w:p>
    <w:p>
      <w:pPr>
        <w:pStyle w:val="ListParagraph"/>
        <w:numPr>
          <w:ilvl w:val="0"/>
          <w:numId w:val="3"/>
        </w:numPr>
        <w:spacing w:after="30" w:before="30"/>
      </w:pPr>
      <w:r>
        <w:rPr>
          <w:rFonts w:ascii="Arial" w:cs="Arial" w:eastAsia="Arial" w:hAnsi="Arial"/>
          <w:sz w:val="18"/>
          <w:szCs w:val="18"/>
        </w:rPr>
        <w:t xml:space="preserve">max_doses_per_24h = 3</w:t>
      </w:r>
    </w:p>
    <w:p>
      <w:pPr>
        <w:pStyle w:val="ListParagraph"/>
        <w:numPr>
          <w:ilvl w:val="0"/>
          <w:numId w:val="2"/>
        </w:numPr>
        <w:spacing w:after="40" w:before="40"/>
      </w:pPr>
      <w:r>
        <w:rPr>
          <w:rFonts w:ascii="Arial" w:cs="Arial" w:eastAsia="Arial" w:hAnsi="Arial"/>
          <w:b w:val="false"/>
          <w:bCs w:val="false"/>
          <w:sz w:val="19"/>
          <w:szCs w:val="19"/>
        </w:rPr>
        <w:t xml:space="preserve">Do not store icatibant with a 'frequency' field (Q4W, monthly, etc.). Its dosing is event-triggered, not time-triggered.</w:t>
      </w:r>
    </w:p>
    <w:p>
      <w:r>
        <w:t xml:space="preserve"/>
      </w:r>
    </w:p>
    <w:p>
      <w:pPr>
        <w:pStyle w:val="Heading2"/>
        <w:spacing w:after="80" w:before="240"/>
      </w:pPr>
      <w:r>
        <w:rPr>
          <w:rFonts w:ascii="Arial" w:cs="Arial" w:eastAsia="Arial" w:hAnsi="Arial"/>
          <w:b/>
          <w:bCs/>
          <w:color w:val="2E6DA4"/>
          <w:sz w:val="24"/>
          <w:szCs w:val="24"/>
        </w:rPr>
        <w:t xml:space="preserve">5.3 Multi-Generic Market and Orange Book Integration</w:t>
      </w:r>
    </w:p>
    <w:p>
      <w:pPr>
        <w:pStyle w:val="ListParagraph"/>
        <w:numPr>
          <w:ilvl w:val="0"/>
          <w:numId w:val="2"/>
        </w:numPr>
        <w:spacing w:after="40" w:before="40"/>
      </w:pPr>
      <w:r>
        <w:rPr>
          <w:rFonts w:ascii="Arial" w:cs="Arial" w:eastAsia="Arial" w:hAnsi="Arial"/>
          <w:b/>
          <w:bCs/>
          <w:sz w:val="19"/>
          <w:szCs w:val="19"/>
        </w:rPr>
        <w:t xml:space="preserve">This is the only drug in the series with generics. The pipeline must handle:</w:t>
      </w:r>
    </w:p>
    <w:p>
      <w:pPr>
        <w:pStyle w:val="ListParagraph"/>
        <w:numPr>
          <w:ilvl w:val="0"/>
          <w:numId w:val="3"/>
        </w:numPr>
        <w:spacing w:after="30" w:before="30"/>
      </w:pPr>
      <w:r>
        <w:rPr>
          <w:rFonts w:ascii="Arial" w:cs="Arial" w:eastAsia="Arial" w:hAnsi="Arial"/>
          <w:sz w:val="18"/>
          <w:szCs w:val="18"/>
        </w:rPr>
        <w:t xml:space="preserve">Brand (Firazyr) — prescriptions may be dispensed as any AP generic</w:t>
      </w:r>
    </w:p>
    <w:p>
      <w:pPr>
        <w:pStyle w:val="ListParagraph"/>
        <w:numPr>
          <w:ilvl w:val="0"/>
          <w:numId w:val="3"/>
        </w:numPr>
        <w:spacing w:after="30" w:before="30"/>
      </w:pPr>
      <w:r>
        <w:rPr>
          <w:rFonts w:ascii="Arial" w:cs="Arial" w:eastAsia="Arial" w:hAnsi="Arial"/>
          <w:sz w:val="18"/>
          <w:szCs w:val="18"/>
        </w:rPr>
        <w:t xml:space="preserve">Named generic (Sajazir/Cycle Pharma) — specific brand name with ANDA</w:t>
      </w:r>
    </w:p>
    <w:p>
      <w:pPr>
        <w:pStyle w:val="ListParagraph"/>
        <w:numPr>
          <w:ilvl w:val="0"/>
          <w:numId w:val="3"/>
        </w:numPr>
        <w:spacing w:after="30" w:before="30"/>
      </w:pPr>
      <w:r>
        <w:rPr>
          <w:rFonts w:ascii="Arial" w:cs="Arial" w:eastAsia="Arial" w:hAnsi="Arial"/>
          <w:sz w:val="18"/>
          <w:szCs w:val="18"/>
        </w:rPr>
        <w:t xml:space="preserve">8 unnamed generics (Alembic, Cipla-direct, Eugia, etc.) — all AP-rated</w:t>
      </w:r>
    </w:p>
    <w:p>
      <w:pPr>
        <w:pStyle w:val="ListParagraph"/>
        <w:numPr>
          <w:ilvl w:val="0"/>
          <w:numId w:val="2"/>
        </w:numPr>
        <w:spacing w:after="40" w:before="40"/>
      </w:pPr>
      <w:r>
        <w:rPr>
          <w:rFonts w:ascii="Arial" w:cs="Arial" w:eastAsia="Arial" w:hAnsi="Arial"/>
          <w:b w:val="false"/>
          <w:bCs w:val="false"/>
          <w:sz w:val="19"/>
          <w:szCs w:val="19"/>
        </w:rPr>
        <w:t xml:space="preserve">Implement a formulary_substitution_permitted = true flag for all AP-rated icatibant generics.</w:t>
      </w:r>
    </w:p>
    <w:p>
      <w:pPr>
        <w:pStyle w:val="ListParagraph"/>
        <w:numPr>
          <w:ilvl w:val="0"/>
          <w:numId w:val="2"/>
        </w:numPr>
        <w:spacing w:after="40" w:before="40"/>
      </w:pPr>
      <w:r>
        <w:rPr>
          <w:rFonts w:ascii="Arial" w:cs="Arial" w:eastAsia="Arial" w:hAnsi="Arial"/>
          <w:b w:val="false"/>
          <w:bCs w:val="false"/>
          <w:sz w:val="19"/>
          <w:szCs w:val="19"/>
        </w:rPr>
        <w:t xml:space="preserve">Source the TE table from the FDA Orange Book: https://www.accessdata.fda.gov/scripts/cder/ob/</w:t>
      </w:r>
    </w:p>
    <w:p>
      <w:r>
        <w:t xml:space="preserve"/>
      </w:r>
    </w:p>
    <w:p>
      <w:pPr>
        <w:pStyle w:val="Heading1"/>
        <w:pBdr>
          <w:bottom w:val="single" w:color="2E6DA4" w:sz="8" w:space="4"/>
        </w:pBdr>
        <w:spacing w:after="120" w:before="320"/>
      </w:pPr>
      <w:r>
        <w:rPr>
          <w:rFonts w:ascii="Arial" w:cs="Arial" w:eastAsia="Arial" w:hAnsi="Arial"/>
          <w:b/>
          <w:bCs/>
          <w:color w:val="1B3A6B"/>
          <w:sz w:val="28"/>
          <w:szCs w:val="28"/>
        </w:rPr>
        <w:t xml:space="preserve">6. API Gaps — Fields in Screenshots Not in openFDA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Missing Field</w:t>
            </w:r>
          </w:p>
        </w:tc>
        <w:tc>
          <w:tcPr>
            <w:tcW w:type="dxa" w:w="20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Screenshot Value</w:t>
            </w:r>
          </w:p>
        </w:tc>
        <w:tc>
          <w:tcPr>
            <w:tcW w:type="dxa" w:w="51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Pipeline Implication</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TE Code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AP</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CRITICAL for formulary. Must source from Orange Book / Drugs@FDA TE table. First drug in series with active TE Code.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Firazyr NDA (022150) label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14 supplements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Primary clinical reference label. Not returned by this API query. Requires separate NDA query.</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7 other generic ANDAs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Shown in TE table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All have AP equivalence to Firazyr. ANDA numbers visible in screenshots.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Orphan Status (Firazyr)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PRIORITY; Orphan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Firazyr has Orphan designation. Sajazir ANDA does not separately carry Orphan status.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Submission Classification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Type 1 – NME (Firazyr)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Not in API. Firazyr was first-in-class; Sajazir is an ANDA (not classified as NME).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Firazyr: RLD / 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Yes / Yes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Firazyr is Reference Listed Drug and Reference Standard. Not in API.</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Proprietary name history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SUPPL-1 = name change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Sajazir was originally filed as 'Icatibant Acetate' under Cipla ANDA. Name change to Sajazir occurred post-approval.</w:t>
            </w:r>
          </w:p>
        </w:tc>
      </w:tr>
    </w:tbl>
    <w:p>
      <w:r>
        <w:t xml:space="preserve"/>
      </w:r>
    </w:p>
    <w:p>
      <w:pPr>
        <w:pStyle w:val="Heading1"/>
        <w:pBdr>
          <w:bottom w:val="single" w:color="2E6DA4" w:sz="8" w:space="4"/>
        </w:pBdr>
        <w:spacing w:after="120" w:before="320"/>
      </w:pPr>
      <w:r>
        <w:rPr>
          <w:rFonts w:ascii="Arial" w:cs="Arial" w:eastAsia="Arial" w:hAnsi="Arial"/>
          <w:b/>
          <w:bCs/>
          <w:color w:val="1B3A6B"/>
          <w:sz w:val="28"/>
          <w:szCs w:val="28"/>
        </w:rPr>
        <w:t xml:space="preserve">7. Pipeline Recommendations</w:t>
      </w:r>
    </w:p>
    <w:p>
      <w:pPr>
        <w:pStyle w:val="Heading2"/>
        <w:spacing w:after="80" w:before="240"/>
      </w:pPr>
      <w:r>
        <w:rPr>
          <w:rFonts w:ascii="Arial" w:cs="Arial" w:eastAsia="Arial" w:hAnsi="Arial"/>
          <w:b/>
          <w:bCs/>
          <w:color w:val="2E6DA4"/>
          <w:sz w:val="24"/>
          <w:szCs w:val="24"/>
        </w:rPr>
        <w:t xml:space="preserve">7.1 Multi-Limit API Query Pattern</w:t>
      </w:r>
    </w:p>
    <w:p>
      <w:pPr>
        <w:pStyle w:val="ListParagraph"/>
        <w:numPr>
          <w:ilvl w:val="0"/>
          <w:numId w:val="2"/>
        </w:numPr>
        <w:spacing w:after="40" w:before="40"/>
      </w:pPr>
      <w:r>
        <w:rPr>
          <w:rFonts w:ascii="Arial" w:cs="Arial" w:eastAsia="Arial" w:hAnsi="Arial"/>
          <w:b/>
          <w:bCs/>
          <w:sz w:val="19"/>
          <w:szCs w:val="19"/>
        </w:rPr>
        <w:t xml:space="preserve">Implement total-aware pagination: always check meta.results.total vs. meta.results.limit.</w:t>
      </w:r>
    </w:p>
    <w:p>
      <w:pPr>
        <w:pStyle w:val="ListParagraph"/>
        <w:numPr>
          <w:ilvl w:val="0"/>
          <w:numId w:val="2"/>
        </w:numPr>
        <w:spacing w:after="40" w:before="40"/>
      </w:pPr>
      <w:r>
        <w:rPr>
          <w:rFonts w:ascii="Arial" w:cs="Arial" w:eastAsia="Arial" w:hAnsi="Arial"/>
          <w:b w:val="false"/>
          <w:bCs w:val="false"/>
          <w:sz w:val="19"/>
          <w:szCs w:val="19"/>
        </w:rPr>
        <w:t xml:space="preserve">If total &gt; limit, re-query with skip increments until all records are retrieved.</w:t>
      </w:r>
    </w:p>
    <w:p>
      <w:pPr>
        <w:pStyle w:val="ListParagraph"/>
        <w:numPr>
          <w:ilvl w:val="0"/>
          <w:numId w:val="2"/>
        </w:numPr>
        <w:spacing w:after="40" w:before="40"/>
      </w:pPr>
      <w:r>
        <w:rPr>
          <w:rFonts w:ascii="Arial" w:cs="Arial" w:eastAsia="Arial" w:hAnsi="Arial"/>
          <w:b w:val="false"/>
          <w:bCs w:val="false"/>
          <w:sz w:val="19"/>
          <w:szCs w:val="19"/>
        </w:rPr>
        <w:t xml:space="preserve">For icatibant specifically: query limit=10 to capture all 9 SPL records in one call.</w:t>
      </w:r>
    </w:p>
    <w:p>
      <w:pPr>
        <w:pStyle w:val="ListParagraph"/>
        <w:numPr>
          <w:ilvl w:val="0"/>
          <w:numId w:val="2"/>
        </w:numPr>
        <w:spacing w:after="40" w:before="40"/>
      </w:pPr>
      <w:r>
        <w:rPr>
          <w:rFonts w:ascii="Arial" w:cs="Arial" w:eastAsia="Arial" w:hAnsi="Arial"/>
          <w:b w:val="false"/>
          <w:bCs w:val="false"/>
          <w:sz w:val="19"/>
          <w:szCs w:val="19"/>
        </w:rPr>
        <w:t xml:space="preserve">Group results by substance (UNII: 325O8467XK) and differentiate by application_number.</w:t>
      </w:r>
    </w:p>
    <w:p>
      <w:pPr>
        <w:pStyle w:val="Heading2"/>
        <w:spacing w:after="80" w:before="240"/>
      </w:pPr>
      <w:r>
        <w:rPr>
          <w:rFonts w:ascii="Arial" w:cs="Arial" w:eastAsia="Arial" w:hAnsi="Arial"/>
          <w:b/>
          <w:bCs/>
          <w:color w:val="2E6DA4"/>
          <w:sz w:val="24"/>
          <w:szCs w:val="24"/>
        </w:rPr>
        <w:t xml:space="preserve">7.2 NDA + ANDA Dual-Record Architecture</w:t>
      </w:r>
    </w:p>
    <w:p>
      <w:pPr>
        <w:pStyle w:val="ListParagraph"/>
        <w:numPr>
          <w:ilvl w:val="0"/>
          <w:numId w:val="2"/>
        </w:numPr>
        <w:spacing w:after="40" w:before="40"/>
      </w:pPr>
      <w:r>
        <w:rPr>
          <w:rFonts w:ascii="Arial" w:cs="Arial" w:eastAsia="Arial" w:hAnsi="Arial"/>
          <w:b/>
          <w:bCs/>
          <w:sz w:val="19"/>
          <w:szCs w:val="19"/>
        </w:rPr>
        <w:t xml:space="preserve">When an active substance has both an NDA (originator) and ANDAs (generics), store them as sibling records under a parent substance_record.</w:t>
      </w:r>
    </w:p>
    <w:p>
      <w:pPr>
        <w:pStyle w:val="ListParagraph"/>
        <w:numPr>
          <w:ilvl w:val="0"/>
          <w:numId w:val="2"/>
        </w:numPr>
        <w:spacing w:after="40" w:before="40"/>
      </w:pPr>
      <w:r>
        <w:rPr>
          <w:rFonts w:ascii="Arial" w:cs="Arial" w:eastAsia="Arial" w:hAnsi="Arial"/>
          <w:b w:val="false"/>
          <w:bCs w:val="false"/>
          <w:sz w:val="19"/>
          <w:szCs w:val="19"/>
        </w:rPr>
        <w:t xml:space="preserve">Parent: icatibant (UNII: 325O8467XK). Children: NDA 022150 (Firazyr/Takeda) + 8 ANDAs.</w:t>
      </w:r>
    </w:p>
    <w:p>
      <w:pPr>
        <w:pStyle w:val="ListParagraph"/>
        <w:numPr>
          <w:ilvl w:val="0"/>
          <w:numId w:val="2"/>
        </w:numPr>
        <w:spacing w:after="40" w:before="40"/>
      </w:pPr>
      <w:r>
        <w:rPr>
          <w:rFonts w:ascii="Arial" w:cs="Arial" w:eastAsia="Arial" w:hAnsi="Arial"/>
          <w:b w:val="false"/>
          <w:bCs w:val="false"/>
          <w:sz w:val="19"/>
          <w:szCs w:val="19"/>
        </w:rPr>
        <w:t xml:space="preserve">Clinical label content should be sourced from the NDA (most authoritative/complete). ANDA labels are for regulatory/formulary metadata.</w:t>
      </w:r>
    </w:p>
    <w:p>
      <w:pPr>
        <w:pStyle w:val="Heading2"/>
        <w:spacing w:after="80" w:before="240"/>
      </w:pPr>
      <w:r>
        <w:rPr>
          <w:rFonts w:ascii="Arial" w:cs="Arial" w:eastAsia="Arial" w:hAnsi="Arial"/>
          <w:b/>
          <w:bCs/>
          <w:color w:val="2E6DA4"/>
          <w:sz w:val="24"/>
          <w:szCs w:val="24"/>
        </w:rPr>
        <w:t xml:space="preserve">7.3 Orange Book / TE Code Integration</w:t>
      </w:r>
    </w:p>
    <w:p>
      <w:pPr>
        <w:pStyle w:val="ListParagraph"/>
        <w:numPr>
          <w:ilvl w:val="0"/>
          <w:numId w:val="2"/>
        </w:numPr>
        <w:spacing w:after="40" w:before="40"/>
      </w:pPr>
      <w:r>
        <w:rPr>
          <w:rFonts w:ascii="Arial" w:cs="Arial" w:eastAsia="Arial" w:hAnsi="Arial"/>
          <w:b/>
          <w:bCs/>
          <w:sz w:val="19"/>
          <w:szCs w:val="19"/>
        </w:rPr>
        <w:t xml:space="preserve">Integrate the FDA Orange Book API (https://api.fda.gov/drug/drugsfda.json) as a supplementary data source alongside /drug/label.</w:t>
      </w:r>
    </w:p>
    <w:p>
      <w:pPr>
        <w:pStyle w:val="ListParagraph"/>
        <w:numPr>
          <w:ilvl w:val="0"/>
          <w:numId w:val="2"/>
        </w:numPr>
        <w:spacing w:after="40" w:before="40"/>
      </w:pPr>
      <w:r>
        <w:rPr>
          <w:rFonts w:ascii="Arial" w:cs="Arial" w:eastAsia="Arial" w:hAnsi="Arial"/>
          <w:b w:val="false"/>
          <w:bCs w:val="false"/>
          <w:sz w:val="19"/>
          <w:szCs w:val="19"/>
        </w:rPr>
        <w:t xml:space="preserve">For each drug, check the Orange Book for: TE code, RLD designation, RS designation, all equivalent ANDAs.</w:t>
      </w:r>
    </w:p>
    <w:p>
      <w:pPr>
        <w:pStyle w:val="ListParagraph"/>
        <w:numPr>
          <w:ilvl w:val="0"/>
          <w:numId w:val="2"/>
        </w:numPr>
        <w:spacing w:after="40" w:before="40"/>
      </w:pPr>
      <w:r>
        <w:rPr>
          <w:rFonts w:ascii="Arial" w:cs="Arial" w:eastAsia="Arial" w:hAnsi="Arial"/>
          <w:b w:val="false"/>
          <w:bCs w:val="false"/>
          <w:sz w:val="19"/>
          <w:szCs w:val="19"/>
        </w:rPr>
        <w:t xml:space="preserve">For icatibant: Orange Book entry should return TE=AP, RLD=Firazyr/NDA022150, 8 generic ANDAs all AP-rated.</w:t>
      </w:r>
    </w:p>
    <w:p>
      <w:pPr>
        <w:pStyle w:val="Heading2"/>
        <w:spacing w:after="80" w:before="240"/>
      </w:pPr>
      <w:r>
        <w:rPr>
          <w:rFonts w:ascii="Arial" w:cs="Arial" w:eastAsia="Arial" w:hAnsi="Arial"/>
          <w:b/>
          <w:bCs/>
          <w:color w:val="2E6DA4"/>
          <w:sz w:val="24"/>
          <w:szCs w:val="24"/>
        </w:rPr>
        <w:t xml:space="preserve">7.4 On-Demand vs. Prophylaxis Classification</w:t>
      </w:r>
    </w:p>
    <w:p>
      <w:pPr>
        <w:pStyle w:val="ListParagraph"/>
        <w:numPr>
          <w:ilvl w:val="0"/>
          <w:numId w:val="2"/>
        </w:numPr>
        <w:spacing w:after="40" w:before="40"/>
      </w:pPr>
      <w:r>
        <w:rPr>
          <w:rFonts w:ascii="Arial" w:cs="Arial" w:eastAsia="Arial" w:hAnsi="Arial"/>
          <w:b/>
          <w:bCs/>
          <w:sz w:val="19"/>
          <w:szCs w:val="19"/>
        </w:rPr>
        <w:t xml:space="preserve">Add an indication_type field with values: ['prophylaxis', 'acute_treatment', 'both'].</w:t>
      </w:r>
    </w:p>
    <w:p>
      <w:pPr>
        <w:pStyle w:val="ListParagraph"/>
        <w:numPr>
          <w:ilvl w:val="0"/>
          <w:numId w:val="2"/>
        </w:numPr>
        <w:spacing w:after="40" w:before="40"/>
      </w:pPr>
      <w:r>
        <w:rPr>
          <w:rFonts w:ascii="Arial" w:cs="Arial" w:eastAsia="Arial" w:hAnsi="Arial"/>
          <w:b w:val="false"/>
          <w:bCs w:val="false"/>
          <w:sz w:val="19"/>
          <w:szCs w:val="19"/>
        </w:rPr>
        <w:t xml:space="preserve">Icatibant = acute_treatment. All other series drugs = prophylaxis.</w:t>
      </w:r>
    </w:p>
    <w:p>
      <w:pPr>
        <w:pStyle w:val="ListParagraph"/>
        <w:numPr>
          <w:ilvl w:val="0"/>
          <w:numId w:val="2"/>
        </w:numPr>
        <w:spacing w:after="40" w:before="40"/>
      </w:pPr>
      <w:r>
        <w:rPr>
          <w:rFonts w:ascii="Arial" w:cs="Arial" w:eastAsia="Arial" w:hAnsi="Arial"/>
          <w:b w:val="false"/>
          <w:bCs w:val="false"/>
          <w:sz w:val="19"/>
          <w:szCs w:val="19"/>
        </w:rPr>
        <w:t xml:space="preserve">This affects how the drug appears in clinical decision support: icatibant should appear in 'rescue medication' contexts, not 'standing prophylaxis' workflows.</w:t>
      </w:r>
    </w:p>
    <w:p>
      <w:pPr>
        <w:pStyle w:val="Heading2"/>
        <w:spacing w:after="80" w:before="240"/>
      </w:pPr>
      <w:r>
        <w:rPr>
          <w:rFonts w:ascii="Arial" w:cs="Arial" w:eastAsia="Arial" w:hAnsi="Arial"/>
          <w:b/>
          <w:bCs/>
          <w:color w:val="2E6DA4"/>
          <w:sz w:val="24"/>
          <w:szCs w:val="24"/>
        </w:rPr>
        <w:t xml:space="preserve">7.5 ANDA Holder vs. Marketing Entity Disambiguation</w:t>
      </w:r>
    </w:p>
    <w:p>
      <w:pPr>
        <w:pStyle w:val="ListParagraph"/>
        <w:numPr>
          <w:ilvl w:val="0"/>
          <w:numId w:val="2"/>
        </w:numPr>
        <w:spacing w:after="40" w:before="40"/>
      </w:pPr>
      <w:r>
        <w:rPr>
          <w:rFonts w:ascii="Arial" w:cs="Arial" w:eastAsia="Arial" w:hAnsi="Arial"/>
          <w:b w:val="false"/>
          <w:bCs w:val="false"/>
          <w:sz w:val="19"/>
          <w:szCs w:val="19"/>
        </w:rPr>
        <w:t xml:space="preserve">For Sajazir: anda_holder = Cipla (NDA 212446 regulatory holder); label_sponsor = Cycle Pharmaceuticals Ltd (markets Sajazir); manufacturer = Cipla Ltd./Gland Pharma (physical production).</w:t>
      </w:r>
    </w:p>
    <w:p>
      <w:pPr>
        <w:pStyle w:val="ListParagraph"/>
        <w:numPr>
          <w:ilvl w:val="0"/>
          <w:numId w:val="2"/>
        </w:numPr>
        <w:spacing w:after="40" w:before="40"/>
      </w:pPr>
      <w:r>
        <w:rPr>
          <w:rFonts w:ascii="Arial" w:cs="Arial" w:eastAsia="Arial" w:hAnsi="Arial"/>
          <w:b/>
          <w:bCs/>
          <w:sz w:val="19"/>
          <w:szCs w:val="19"/>
        </w:rPr>
        <w:t xml:space="preserve">Store all three roles. Use label_sponsor for commercial matching; manufacturer for supply chain tracking; anda_holder for regulatory queries.</w:t>
      </w:r>
    </w:p>
    <w:p>
      <w:pPr>
        <w:pStyle w:val="Heading2"/>
        <w:spacing w:after="80" w:before="240"/>
      </w:pPr>
      <w:r>
        <w:rPr>
          <w:rFonts w:ascii="Arial" w:cs="Arial" w:eastAsia="Arial" w:hAnsi="Arial"/>
          <w:b/>
          <w:bCs/>
          <w:color w:val="2E6DA4"/>
          <w:sz w:val="24"/>
          <w:szCs w:val="24"/>
        </w:rPr>
        <w:t xml:space="preserve">7.6 Proprietary Name Change Tracking</w:t>
      </w:r>
    </w:p>
    <w:p>
      <w:pPr>
        <w:pStyle w:val="ListParagraph"/>
        <w:numPr>
          <w:ilvl w:val="0"/>
          <w:numId w:val="2"/>
        </w:numPr>
        <w:spacing w:after="40" w:before="40"/>
      </w:pPr>
      <w:r>
        <w:rPr>
          <w:rFonts w:ascii="Arial" w:cs="Arial" w:eastAsia="Arial" w:hAnsi="Arial"/>
          <w:b w:val="false"/>
          <w:bCs w:val="false"/>
          <w:sz w:val="19"/>
          <w:szCs w:val="19"/>
        </w:rPr>
        <w:t xml:space="preserve">Sajazir was 'Icatibant Acetate' under Cipla's ANDA until SUPPL-1 (06/03/2021) approved the name change.</w:t>
      </w:r>
    </w:p>
    <w:p>
      <w:pPr>
        <w:pStyle w:val="ListParagraph"/>
        <w:numPr>
          <w:ilvl w:val="0"/>
          <w:numId w:val="2"/>
        </w:numPr>
        <w:spacing w:after="40" w:before="40"/>
      </w:pPr>
      <w:r>
        <w:rPr>
          <w:rFonts w:ascii="Arial" w:cs="Arial" w:eastAsia="Arial" w:hAnsi="Arial"/>
          <w:b/>
          <w:bCs/>
          <w:sz w:val="19"/>
          <w:szCs w:val="19"/>
        </w:rPr>
        <w:t xml:space="preserve">Store previous_names = ['ICATIBANT ACETATE'] with the date of name change. Important for historical records reconciliation.</w:t>
      </w:r>
    </w:p>
    <w:p>
      <w:pPr>
        <w:pStyle w:val="ListParagraph"/>
        <w:numPr>
          <w:ilvl w:val="0"/>
          <w:numId w:val="2"/>
        </w:numPr>
        <w:spacing w:after="40" w:before="40"/>
      </w:pPr>
      <w:r>
        <w:rPr>
          <w:rFonts w:ascii="Arial" w:cs="Arial" w:eastAsia="Arial" w:hAnsi="Arial"/>
          <w:b w:val="false"/>
          <w:bCs w:val="false"/>
          <w:sz w:val="19"/>
          <w:szCs w:val="19"/>
        </w:rPr>
        <w:t xml:space="preserve">Historical adverse event reports or claims filed under 'Icatibant Acetate' ANDA 212446 belong to the same product as Sajazir.</w:t>
      </w:r>
    </w:p>
    <w:p>
      <w:r>
        <w:t xml:space="preserve"/>
      </w:r>
    </w:p>
    <w:p>
      <w:pPr>
        <w:pStyle w:val="Heading1"/>
        <w:pBdr>
          <w:bottom w:val="single" w:color="2E6DA4" w:sz="8" w:space="4"/>
        </w:pBdr>
        <w:spacing w:after="120" w:before="320"/>
      </w:pPr>
      <w:r>
        <w:rPr>
          <w:rFonts w:ascii="Arial" w:cs="Arial" w:eastAsia="Arial" w:hAnsi="Arial"/>
          <w:b/>
          <w:bCs/>
          <w:color w:val="1B3A6B"/>
          <w:sz w:val="28"/>
          <w:szCs w:val="28"/>
        </w:rPr>
        <w:t xml:space="preserve">8. Key Clinical Data Captured from API (Sajazir Label)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69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Key Content</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Mechanism of Action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Competitive antagonist selective for bradykinin B2 receptor. Binds B2 with affinity similar to bradykinin. Blocks bradykinin-induced vasodilation and increased permeability. Acts downstream at receptor — does not reduce bradykinin production.</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Indication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ACUTE TREATMENT of HAE attacks in adults 18+ years. NOT prophylaxis. NOT for pediatric patients.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Dosing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30mg SC into abdomen per attack. Additional doses at ≥6h intervals if response inadequate or symptoms recur. Maximum 3 doses per 24h. Patient may self-administer.</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Bioavailability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~97% after SC administration.</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Tmax</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~0.75 hours (45 minutes) — fastest onset in the series.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Half-life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~1.4 hours (range 1-1.8h). Effective against bradykinin challenge for at least 6 hours from pharmacodynamic data.</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Clearance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245 ± 58 mL/min. Non-renal. No dose adjustment for hepatic or renal impairment.</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Metabolism</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Proteolytic enzymes to inactive metabolites, excreted in urine. NOT CYP-metabolised. No CYP inhibition or induction.</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Warnings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Section 5.1: Laryngeal attacks — advise patients to seek immediate medical attention in addition to treatment.</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Contraindications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None.</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Drug Interaction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ACE inhibitors: icatibant may attenuate antihypertensive effect (pharmacodynamic antagonism). Excluded from clinical trials. No formal PK DDI studies. No CYP interactions.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Top AEs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Injection site reactions (97%): pain, erythema, bruising, numbness, swelling. Pyrexia (4%). Transaminase increase (4%). Dizziness (3%).</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Elderly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~2x higher AUC in elderly vs young. No dose adjustment warranted.</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Pediatric</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NOT established. Daily SC in juvenile rats caused testicular atrophy and fertility effects via B2 receptor antagonism on gonadotropins.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Efficacy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Median time to 50% symptom reduction: 2.0h (icatibant) vs 19.8h (placebo) in Trial 1, p&lt;0.001. Effective across cutaneous, abdominal, and laryngeal attacks.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Cardiovascular caution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B2 receptor has cardioprotective role in bradykinin. Use during acute coronary ischemia, unstable angina, or post-stroke only if benefit exceeds theoretical risk.</w:t>
            </w:r>
          </w:p>
        </w:tc>
      </w:tr>
    </w:tbl>
    <w:p>
      <w:r>
        <w:t xml:space="preserve"/>
      </w:r>
    </w:p>
    <w:p>
      <w:pPr>
        <w:pStyle w:val="Heading1"/>
        <w:pBdr>
          <w:bottom w:val="single" w:color="2E6DA4" w:sz="8" w:space="4"/>
        </w:pBdr>
        <w:spacing w:after="120" w:before="320"/>
      </w:pPr>
      <w:r>
        <w:rPr>
          <w:rFonts w:ascii="Arial" w:cs="Arial" w:eastAsia="Arial" w:hAnsi="Arial"/>
          <w:b/>
          <w:bCs/>
          <w:color w:val="1B3A6B"/>
          <w:sz w:val="28"/>
          <w:szCs w:val="28"/>
        </w:rPr>
        <w:t xml:space="preserve">9. Complete Series Comparison (All 5 Assessed Drugs)</w:t>
      </w:r>
    </w:p>
    <w:p>
      <w:pPr>
        <w:pBdr>
          <w:left w:val="single" w:color="2E6DA4" w:sz="16" w:space="8"/>
        </w:pBdr>
        <w:shd w:fill="D0E4F7" w:val="clear"/>
        <w:spacing w:after="100" w:before="100"/>
        <w:ind w:left="200"/>
      </w:pPr>
      <w:r>
        <w:rPr>
          <w:rFonts w:ascii="Arial" w:cs="Arial" w:eastAsia="Arial" w:hAnsi="Arial"/>
          <w:i/>
          <w:iCs/>
          <w:color w:val="2C3E50"/>
          <w:sz w:val="19"/>
          <w:szCs w:val="19"/>
        </w:rPr>
        <w:t xml:space="preserve">Full updated comparison table including icatibant alongside all previously assessed drugs.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12"/>
        <w:gridCol w:w="1512"/>
        <w:gridCol w:w="1512"/>
        <w:gridCol w:w="1512"/>
        <w:gridCol w:w="1512"/>
      </w:tblGrid>
      <w:tr>
        <w:tc>
          <w:tcPr>
            <w:tcW w:type="dxa" w:w="18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Dimension</w:t>
            </w:r>
          </w:p>
        </w:tc>
        <w:tc>
          <w:tcPr>
            <w:tcW w:type="dxa" w:w="1512"/>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Lanadelumab</w:t>
            </w:r>
          </w:p>
        </w:tc>
        <w:tc>
          <w:tcPr>
            <w:tcW w:type="dxa" w:w="1512"/>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Berotralstat</w:t>
            </w:r>
          </w:p>
        </w:tc>
        <w:tc>
          <w:tcPr>
            <w:tcW w:type="dxa" w:w="1512"/>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Garadacimab</w:t>
            </w:r>
          </w:p>
        </w:tc>
        <w:tc>
          <w:tcPr>
            <w:tcW w:type="dxa" w:w="1512"/>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Donidalorsen</w:t>
            </w:r>
          </w:p>
        </w:tc>
        <w:tc>
          <w:tcPr>
            <w:tcW w:type="dxa" w:w="1512"/>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Icatibant</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Application</w:t>
            </w:r>
          </w:p>
        </w:tc>
        <w:tc>
          <w:tcPr>
            <w:tcW w:type="dxa" w:w="151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BLA 761090</w:t>
            </w:r>
          </w:p>
        </w:tc>
        <w:tc>
          <w:tcPr>
            <w:tcW w:type="dxa" w:w="151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NDA 214094 +219776</w:t>
            </w:r>
          </w:p>
        </w:tc>
        <w:tc>
          <w:tcPr>
            <w:tcW w:type="dxa" w:w="151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BLA 761367</w:t>
            </w:r>
          </w:p>
        </w:tc>
        <w:tc>
          <w:tcPr>
            <w:tcW w:type="dxa" w:w="151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NDA 219407</w:t>
            </w:r>
          </w:p>
        </w:tc>
        <w:tc>
          <w:tcPr>
            <w:tcW w:type="dxa" w:w="151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NDA 022150 + 8 ANDAs</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Drug class</w:t>
            </w:r>
          </w:p>
        </w:tc>
        <w:tc>
          <w:tcPr>
            <w:tcW w:type="dxa" w:w="151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mAb (IgG1)</w:t>
            </w:r>
          </w:p>
        </w:tc>
        <w:tc>
          <w:tcPr>
            <w:tcW w:type="dxa" w:w="151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Small molecule</w:t>
            </w:r>
          </w:p>
        </w:tc>
        <w:tc>
          <w:tcPr>
            <w:tcW w:type="dxa" w:w="151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mAb (IgG4)</w:t>
            </w:r>
          </w:p>
        </w:tc>
        <w:tc>
          <w:tcPr>
            <w:tcW w:type="dxa" w:w="151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ASO-GalNAc</w:t>
            </w:r>
          </w:p>
        </w:tc>
        <w:tc>
          <w:tcPr>
            <w:tcW w:type="dxa" w:w="151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Synthetic decapeptide</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Use case</w:t>
            </w:r>
          </w:p>
        </w:tc>
        <w:tc>
          <w:tcPr>
            <w:tcW w:type="dxa" w:w="151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Prophylaxis</w:t>
            </w:r>
          </w:p>
        </w:tc>
        <w:tc>
          <w:tcPr>
            <w:tcW w:type="dxa" w:w="151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Prophylaxis</w:t>
            </w:r>
          </w:p>
        </w:tc>
        <w:tc>
          <w:tcPr>
            <w:tcW w:type="dxa" w:w="151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Prophylaxis</w:t>
            </w:r>
          </w:p>
        </w:tc>
        <w:tc>
          <w:tcPr>
            <w:tcW w:type="dxa" w:w="151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Prophylaxis</w:t>
            </w:r>
          </w:p>
        </w:tc>
        <w:tc>
          <w:tcPr>
            <w:tcW w:type="dxa" w:w="151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ACUTE only</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Target</w:t>
            </w:r>
          </w:p>
        </w:tc>
        <w:tc>
          <w:tcPr>
            <w:tcW w:type="dxa" w:w="151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Kallikrein</w:t>
            </w:r>
          </w:p>
        </w:tc>
        <w:tc>
          <w:tcPr>
            <w:tcW w:type="dxa" w:w="151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Kallikrein</w:t>
            </w:r>
          </w:p>
        </w:tc>
        <w:tc>
          <w:tcPr>
            <w:tcW w:type="dxa" w:w="151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FXIIa</w:t>
            </w:r>
          </w:p>
        </w:tc>
        <w:tc>
          <w:tcPr>
            <w:tcW w:type="dxa" w:w="151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PKK mRNA</w:t>
            </w:r>
          </w:p>
        </w:tc>
        <w:tc>
          <w:tcPr>
            <w:tcW w:type="dxa" w:w="151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B2 receptor</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Route</w:t>
            </w:r>
          </w:p>
        </w:tc>
        <w:tc>
          <w:tcPr>
            <w:tcW w:type="dxa" w:w="151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SC bi/monthly</w:t>
            </w:r>
          </w:p>
        </w:tc>
        <w:tc>
          <w:tcPr>
            <w:tcW w:type="dxa" w:w="151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Oral daily</w:t>
            </w:r>
          </w:p>
        </w:tc>
        <w:tc>
          <w:tcPr>
            <w:tcW w:type="dxa" w:w="151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SC monthly</w:t>
            </w:r>
          </w:p>
        </w:tc>
        <w:tc>
          <w:tcPr>
            <w:tcW w:type="dxa" w:w="151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SC Q4/8W</w:t>
            </w:r>
          </w:p>
        </w:tc>
        <w:tc>
          <w:tcPr>
            <w:tcW w:type="dxa" w:w="151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SC on-demand</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Pediatric age</w:t>
            </w:r>
          </w:p>
        </w:tc>
        <w:tc>
          <w:tcPr>
            <w:tcW w:type="dxa" w:w="151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2+ yrs</w:t>
            </w:r>
          </w:p>
        </w:tc>
        <w:tc>
          <w:tcPr>
            <w:tcW w:type="dxa" w:w="151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2+ yrs</w:t>
            </w:r>
          </w:p>
        </w:tc>
        <w:tc>
          <w:tcPr>
            <w:tcW w:type="dxa" w:w="151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12+ yrs</w:t>
            </w:r>
          </w:p>
        </w:tc>
        <w:tc>
          <w:tcPr>
            <w:tcW w:type="dxa" w:w="151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12+ yrs</w:t>
            </w:r>
          </w:p>
        </w:tc>
        <w:tc>
          <w:tcPr>
            <w:tcW w:type="dxa" w:w="151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Adults 18+ only</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Half-life</w:t>
            </w:r>
          </w:p>
        </w:tc>
        <w:tc>
          <w:tcPr>
            <w:tcW w:type="dxa" w:w="151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~14-15 days</w:t>
            </w:r>
          </w:p>
        </w:tc>
        <w:tc>
          <w:tcPr>
            <w:tcW w:type="dxa" w:w="151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~93 hours</w:t>
            </w:r>
          </w:p>
        </w:tc>
        <w:tc>
          <w:tcPr>
            <w:tcW w:type="dxa" w:w="151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~17 days</w:t>
            </w:r>
          </w:p>
        </w:tc>
        <w:tc>
          <w:tcPr>
            <w:tcW w:type="dxa" w:w="151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~1 month</w:t>
            </w:r>
          </w:p>
        </w:tc>
        <w:tc>
          <w:tcPr>
            <w:tcW w:type="dxa" w:w="151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~1.4 HOURS</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TE Code</w:t>
            </w:r>
          </w:p>
        </w:tc>
        <w:tc>
          <w:tcPr>
            <w:tcW w:type="dxa" w:w="151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N/A (BLA)</w:t>
            </w:r>
          </w:p>
        </w:tc>
        <w:tc>
          <w:tcPr>
            <w:tcW w:type="dxa" w:w="151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None</w:t>
            </w:r>
          </w:p>
        </w:tc>
        <w:tc>
          <w:tcPr>
            <w:tcW w:type="dxa" w:w="151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N/A (BLA)</w:t>
            </w:r>
          </w:p>
        </w:tc>
        <w:tc>
          <w:tcPr>
            <w:tcW w:type="dxa" w:w="151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None</w:t>
            </w:r>
          </w:p>
        </w:tc>
        <w:tc>
          <w:tcPr>
            <w:tcW w:type="dxa" w:w="151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AP (all generics)</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Multi-generic?</w:t>
            </w:r>
          </w:p>
        </w:tc>
        <w:tc>
          <w:tcPr>
            <w:tcW w:type="dxa" w:w="151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No</w:t>
            </w:r>
          </w:p>
        </w:tc>
        <w:tc>
          <w:tcPr>
            <w:tcW w:type="dxa" w:w="151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No</w:t>
            </w:r>
          </w:p>
        </w:tc>
        <w:tc>
          <w:tcPr>
            <w:tcW w:type="dxa" w:w="151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No</w:t>
            </w:r>
          </w:p>
        </w:tc>
        <w:tc>
          <w:tcPr>
            <w:tcW w:type="dxa" w:w="151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No</w:t>
            </w:r>
          </w:p>
        </w:tc>
        <w:tc>
          <w:tcPr>
            <w:tcW w:type="dxa" w:w="151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YES (8 generics)</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Contraindication</w:t>
            </w:r>
          </w:p>
        </w:tc>
        <w:tc>
          <w:tcPr>
            <w:tcW w:type="dxa" w:w="151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None</w:t>
            </w:r>
          </w:p>
        </w:tc>
        <w:tc>
          <w:tcPr>
            <w:tcW w:type="dxa" w:w="151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None</w:t>
            </w:r>
          </w:p>
        </w:tc>
        <w:tc>
          <w:tcPr>
            <w:tcW w:type="dxa" w:w="151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None</w:t>
            </w:r>
          </w:p>
        </w:tc>
        <w:tc>
          <w:tcPr>
            <w:tcW w:type="dxa" w:w="151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Prior anaphylaxis</w:t>
            </w:r>
          </w:p>
        </w:tc>
        <w:tc>
          <w:tcPr>
            <w:tcW w:type="dxa" w:w="151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None</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API records</w:t>
            </w:r>
          </w:p>
        </w:tc>
        <w:tc>
          <w:tcPr>
            <w:tcW w:type="dxa" w:w="151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1 (BLA)</w:t>
            </w:r>
          </w:p>
        </w:tc>
        <w:tc>
          <w:tcPr>
            <w:tcW w:type="dxa" w:w="151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2 NDAs</w:t>
            </w:r>
          </w:p>
        </w:tc>
        <w:tc>
          <w:tcPr>
            <w:tcW w:type="dxa" w:w="151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1 (BLA)</w:t>
            </w:r>
          </w:p>
        </w:tc>
        <w:tc>
          <w:tcPr>
            <w:tcW w:type="dxa" w:w="151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1 (NDA)</w:t>
            </w:r>
          </w:p>
        </w:tc>
        <w:tc>
          <w:tcPr>
            <w:tcW w:type="dxa" w:w="151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9 total; 1 returned</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Orphan (originator)</w:t>
            </w:r>
          </w:p>
        </w:tc>
        <w:tc>
          <w:tcPr>
            <w:tcW w:type="dxa" w:w="151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N/A; Orphan</w:t>
            </w:r>
          </w:p>
        </w:tc>
        <w:tc>
          <w:tcPr>
            <w:tcW w:type="dxa" w:w="151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Std; Orphan</w:t>
            </w:r>
          </w:p>
        </w:tc>
        <w:tc>
          <w:tcPr>
            <w:tcW w:type="dxa" w:w="151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N/A; Orphan</w:t>
            </w:r>
          </w:p>
        </w:tc>
        <w:tc>
          <w:tcPr>
            <w:tcW w:type="dxa" w:w="151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Std; Orphan</w:t>
            </w:r>
          </w:p>
        </w:tc>
        <w:tc>
          <w:tcPr>
            <w:tcW w:type="dxa" w:w="151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PRIORITY; Orphan</w:t>
            </w:r>
          </w:p>
        </w:tc>
      </w:tr>
    </w:tbl>
    <w:p>
      <w:r>
        <w:t xml:space="preserve"/>
      </w:r>
    </w:p>
    <w:p>
      <w:pPr>
        <w:pStyle w:val="Heading1"/>
        <w:pBdr>
          <w:bottom w:val="single" w:color="2E6DA4" w:sz="8" w:space="4"/>
        </w:pBdr>
        <w:spacing w:after="120" w:before="320"/>
      </w:pPr>
      <w:r>
        <w:rPr>
          <w:rFonts w:ascii="Arial" w:cs="Arial" w:eastAsia="Arial" w:hAnsi="Arial"/>
          <w:b/>
          <w:bCs/>
          <w:color w:val="1B3A6B"/>
          <w:sz w:val="28"/>
          <w:szCs w:val="28"/>
        </w:rPr>
        <w:t xml:space="preserve">10. Assessment Summary</w:t>
      </w:r>
    </w:p>
    <w:p>
      <w:pPr>
        <w:pBdr>
          <w:left w:val="single" w:color="7B241C" w:sz="20" w:space="8"/>
        </w:pBdr>
        <w:shd w:fill="FADBD8" w:val="clear"/>
        <w:spacing w:after="100" w:before="100"/>
        <w:ind w:left="200"/>
      </w:pPr>
      <w:r>
        <w:rPr>
          <w:rFonts w:ascii="Arial" w:cs="Arial" w:eastAsia="Arial" w:hAnsi="Arial"/>
          <w:b/>
          <w:bCs/>
          <w:color w:val="7B241C"/>
          <w:sz w:val="19"/>
          <w:szCs w:val="19"/>
        </w:rPr>
        <w:t xml:space="preserve">❗ Most complex regulatory structure in dataset to date: 1 originator NDA + 8 ANDAs, TE Code AP, multi-entity manufacturing chain (Cipla/Gland Pharma manufactures; Cycle Pharma markets Sajazir), and API returning only 1 of 9 records. ON-DEMAND acute treatment drug — categorically different from all other series drugs.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E7E34" w:sz="1"/>
              <w:left w:val="single" w:color="1E7E34" w:sz="1"/>
              <w:bottom w:val="single" w:color="1E7E34" w:sz="1"/>
              <w:right w:val="single" w:color="1E7E34" w:sz="1"/>
            </w:tcBorders>
            <w:shd w:fill="1E7E34" w:val="clear"/>
            <w:tcMar>
              <w:top w:type="dxa" w:w="100"/>
              <w:left w:type="dxa" w:w="140"/>
              <w:bottom w:type="dxa" w:w="100"/>
              <w:right w:type="dxa" w:w="140"/>
            </w:tcMar>
          </w:tcPr>
          <w:p>
            <w:r>
              <w:rPr>
                <w:rFonts w:ascii="Arial" w:cs="Arial" w:eastAsia="Arial" w:hAnsi="Arial"/>
                <w:b/>
                <w:bCs/>
                <w:color w:val="FFFFFF"/>
                <w:sz w:val="20"/>
                <w:szCs w:val="20"/>
              </w:rPr>
              <w:t xml:space="preserve">Consistent Fields</w:t>
            </w:r>
          </w:p>
        </w:tc>
        <w:tc>
          <w:tcPr>
            <w:tcW w:type="dxa" w:w="3120"/>
            <w:tcBorders>
              <w:top w:val="single" w:color="C8962A" w:sz="1"/>
              <w:left w:val="single" w:color="C8962A" w:sz="1"/>
              <w:bottom w:val="single" w:color="C8962A" w:sz="1"/>
              <w:right w:val="single" w:color="C8962A" w:sz="1"/>
            </w:tcBorders>
            <w:shd w:fill="C8962A" w:val="clear"/>
            <w:tcMar>
              <w:top w:type="dxa" w:w="100"/>
              <w:left w:type="dxa" w:w="140"/>
              <w:bottom w:type="dxa" w:w="100"/>
              <w:right w:type="dxa" w:w="140"/>
            </w:tcMar>
          </w:tcPr>
          <w:p>
            <w:r>
              <w:rPr>
                <w:rFonts w:ascii="Arial" w:cs="Arial" w:eastAsia="Arial" w:hAnsi="Arial"/>
                <w:b/>
                <w:bCs/>
                <w:color w:val="FFFFFF"/>
                <w:sz w:val="20"/>
                <w:szCs w:val="20"/>
              </w:rPr>
              <w:t xml:space="preserve">Gaps (Expected)</w:t>
            </w:r>
          </w:p>
        </w:tc>
        <w:tc>
          <w:tcPr>
            <w:tcW w:type="dxa" w:w="3120"/>
            <w:tcBorders>
              <w:top w:val="single" w:color="C0392B" w:sz="1"/>
              <w:left w:val="single" w:color="C0392B" w:sz="1"/>
              <w:bottom w:val="single" w:color="C0392B" w:sz="1"/>
              <w:right w:val="single" w:color="C0392B" w:sz="1"/>
            </w:tcBorders>
            <w:shd w:fill="C0392B" w:val="clear"/>
            <w:tcMar>
              <w:top w:type="dxa" w:w="100"/>
              <w:left w:type="dxa" w:w="140"/>
              <w:bottom w:type="dxa" w:w="100"/>
              <w:right w:type="dxa" w:w="140"/>
            </w:tcMar>
          </w:tcPr>
          <w:p>
            <w:r>
              <w:rPr>
                <w:rFonts w:ascii="Arial" w:cs="Arial" w:eastAsia="Arial" w:hAnsi="Arial"/>
                <w:b/>
                <w:bCs/>
                <w:color w:val="FFFFFF"/>
                <w:sz w:val="20"/>
                <w:szCs w:val="20"/>
              </w:rPr>
              <w:t xml:space="preserve">Conflicts (Action Required)</w:t>
            </w:r>
          </w:p>
        </w:tc>
      </w:tr>
      <w:tr>
        <w:tc>
          <w:tcPr>
            <w:tcW w:type="dxa" w:w="312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pPr>
              <w:pStyle w:val="ListParagraph"/>
              <w:numPr>
                <w:ilvl w:val="0"/>
                <w:numId w:val="2"/>
              </w:numPr>
              <w:spacing w:after="40" w:before="40"/>
            </w:pPr>
            <w:r>
              <w:rPr>
                <w:rFonts w:ascii="Arial" w:cs="Arial" w:eastAsia="Arial" w:hAnsi="Arial"/>
                <w:b w:val="false"/>
                <w:bCs w:val="false"/>
                <w:sz w:val="19"/>
                <w:szCs w:val="19"/>
              </w:rPr>
              <w:t xml:space="preserve">Brand Name (SAJAZIR)</w:t>
            </w:r>
          </w:p>
          <w:p>
            <w:pPr>
              <w:pStyle w:val="ListParagraph"/>
              <w:numPr>
                <w:ilvl w:val="0"/>
                <w:numId w:val="2"/>
              </w:numPr>
              <w:spacing w:after="40" w:before="40"/>
            </w:pPr>
            <w:r>
              <w:rPr>
                <w:rFonts w:ascii="Arial" w:cs="Arial" w:eastAsia="Arial" w:hAnsi="Arial"/>
                <w:b w:val="false"/>
                <w:bCs w:val="false"/>
                <w:sz w:val="19"/>
                <w:szCs w:val="19"/>
              </w:rPr>
              <w:t xml:space="preserve">Active ingredient (Icatibant acetate)</w:t>
            </w:r>
          </w:p>
          <w:p>
            <w:pPr>
              <w:pStyle w:val="ListParagraph"/>
              <w:numPr>
                <w:ilvl w:val="0"/>
                <w:numId w:val="2"/>
              </w:numPr>
              <w:spacing w:after="40" w:before="40"/>
            </w:pPr>
            <w:r>
              <w:rPr>
                <w:rFonts w:ascii="Arial" w:cs="Arial" w:eastAsia="Arial" w:hAnsi="Arial"/>
                <w:b w:val="false"/>
                <w:bCs w:val="false"/>
                <w:sz w:val="19"/>
                <w:szCs w:val="19"/>
              </w:rPr>
              <w:t xml:space="preserve">Route (SC)</w:t>
            </w:r>
          </w:p>
          <w:p>
            <w:pPr>
              <w:pStyle w:val="ListParagraph"/>
              <w:numPr>
                <w:ilvl w:val="0"/>
                <w:numId w:val="2"/>
              </w:numPr>
              <w:spacing w:after="40" w:before="40"/>
            </w:pPr>
            <w:r>
              <w:rPr>
                <w:rFonts w:ascii="Arial" w:cs="Arial" w:eastAsia="Arial" w:hAnsi="Arial"/>
                <w:b w:val="false"/>
                <w:bCs w:val="false"/>
                <w:sz w:val="19"/>
                <w:szCs w:val="19"/>
              </w:rPr>
              <w:t xml:space="preserve">Indication (acute treatment)</w:t>
            </w:r>
          </w:p>
          <w:p>
            <w:pPr>
              <w:pStyle w:val="ListParagraph"/>
              <w:numPr>
                <w:ilvl w:val="0"/>
                <w:numId w:val="2"/>
              </w:numPr>
              <w:spacing w:after="40" w:before="40"/>
            </w:pPr>
            <w:r>
              <w:rPr>
                <w:rFonts w:ascii="Arial" w:cs="Arial" w:eastAsia="Arial" w:hAnsi="Arial"/>
                <w:b w:val="false"/>
                <w:bCs w:val="false"/>
                <w:sz w:val="19"/>
                <w:szCs w:val="19"/>
              </w:rPr>
              <w:t xml:space="preserve">Dosing (30mg, on-demand)</w:t>
            </w:r>
          </w:p>
          <w:p>
            <w:pPr>
              <w:pStyle w:val="ListParagraph"/>
              <w:numPr>
                <w:ilvl w:val="0"/>
                <w:numId w:val="2"/>
              </w:numPr>
              <w:spacing w:after="40" w:before="40"/>
            </w:pPr>
            <w:r>
              <w:rPr>
                <w:rFonts w:ascii="Arial" w:cs="Arial" w:eastAsia="Arial" w:hAnsi="Arial"/>
                <w:b w:val="false"/>
                <w:bCs w:val="false"/>
                <w:sz w:val="19"/>
                <w:szCs w:val="19"/>
              </w:rPr>
              <w:t xml:space="preserve">Pediatric exclusion (18+)</w:t>
            </w:r>
          </w:p>
        </w:tc>
        <w:tc>
          <w:tcPr>
            <w:tcW w:type="dxa" w:w="3120"/>
            <w:tcBorders>
              <w:top w:val="single" w:color="CCCCCC" w:sz="1"/>
              <w:left w:val="single" w:color="CCCCCC" w:sz="1"/>
              <w:bottom w:val="single" w:color="CCCCCC" w:sz="1"/>
              <w:right w:val="single" w:color="CCCCCC" w:sz="1"/>
            </w:tcBorders>
            <w:shd w:fill="FFF8E1" w:val="clear"/>
            <w:tcMar>
              <w:top w:type="dxa" w:w="80"/>
              <w:left w:type="dxa" w:w="140"/>
              <w:bottom w:type="dxa" w:w="80"/>
              <w:right w:type="dxa" w:w="140"/>
            </w:tcMar>
          </w:tcPr>
          <w:p>
            <w:pPr>
              <w:pStyle w:val="ListParagraph"/>
              <w:numPr>
                <w:ilvl w:val="0"/>
                <w:numId w:val="2"/>
              </w:numPr>
              <w:spacing w:after="40" w:before="40"/>
            </w:pPr>
            <w:r>
              <w:rPr>
                <w:rFonts w:ascii="Arial" w:cs="Arial" w:eastAsia="Arial" w:hAnsi="Arial"/>
                <w:b w:val="false"/>
                <w:bCs w:val="false"/>
                <w:sz w:val="19"/>
                <w:szCs w:val="19"/>
              </w:rPr>
              <w:t xml:space="preserve">TE Code AP (not in API)</w:t>
            </w:r>
          </w:p>
          <w:p>
            <w:pPr>
              <w:pStyle w:val="ListParagraph"/>
              <w:numPr>
                <w:ilvl w:val="0"/>
                <w:numId w:val="2"/>
              </w:numPr>
              <w:spacing w:after="40" w:before="40"/>
            </w:pPr>
            <w:r>
              <w:rPr>
                <w:rFonts w:ascii="Arial" w:cs="Arial" w:eastAsia="Arial" w:hAnsi="Arial"/>
                <w:b w:val="false"/>
                <w:bCs w:val="false"/>
                <w:sz w:val="19"/>
                <w:szCs w:val="19"/>
              </w:rPr>
              <w:t xml:space="preserve">RLD/RS Firazyr (not in API)</w:t>
            </w:r>
          </w:p>
          <w:p>
            <w:pPr>
              <w:pStyle w:val="ListParagraph"/>
              <w:numPr>
                <w:ilvl w:val="0"/>
                <w:numId w:val="2"/>
              </w:numPr>
              <w:spacing w:after="40" w:before="40"/>
            </w:pPr>
            <w:r>
              <w:rPr>
                <w:rFonts w:ascii="Arial" w:cs="Arial" w:eastAsia="Arial" w:hAnsi="Arial"/>
                <w:b w:val="false"/>
                <w:bCs w:val="false"/>
                <w:sz w:val="19"/>
                <w:szCs w:val="19"/>
              </w:rPr>
              <w:t xml:space="preserve">Orphan status (not in API)</w:t>
            </w:r>
          </w:p>
          <w:p>
            <w:pPr>
              <w:pStyle w:val="ListParagraph"/>
              <w:numPr>
                <w:ilvl w:val="0"/>
                <w:numId w:val="2"/>
              </w:numPr>
              <w:spacing w:after="40" w:before="40"/>
            </w:pPr>
            <w:r>
              <w:rPr>
                <w:rFonts w:ascii="Arial" w:cs="Arial" w:eastAsia="Arial" w:hAnsi="Arial"/>
                <w:b w:val="false"/>
                <w:bCs w:val="false"/>
                <w:sz w:val="19"/>
                <w:szCs w:val="19"/>
              </w:rPr>
              <w:t xml:space="preserve">7 other generics (not in API)</w:t>
            </w:r>
          </w:p>
          <w:p>
            <w:pPr>
              <w:pStyle w:val="ListParagraph"/>
              <w:numPr>
                <w:ilvl w:val="0"/>
                <w:numId w:val="2"/>
              </w:numPr>
              <w:spacing w:after="40" w:before="40"/>
            </w:pPr>
            <w:r>
              <w:rPr>
                <w:rFonts w:ascii="Arial" w:cs="Arial" w:eastAsia="Arial" w:hAnsi="Arial"/>
                <w:b w:val="false"/>
                <w:bCs w:val="false"/>
                <w:sz w:val="19"/>
                <w:szCs w:val="19"/>
              </w:rPr>
              <w:t xml:space="preserve">Proprietary name history</w:t>
            </w:r>
          </w:p>
          <w:p>
            <w:pPr>
              <w:pStyle w:val="ListParagraph"/>
              <w:numPr>
                <w:ilvl w:val="0"/>
                <w:numId w:val="2"/>
              </w:numPr>
              <w:spacing w:after="40" w:before="40"/>
            </w:pPr>
            <w:r>
              <w:rPr>
                <w:rFonts w:ascii="Arial" w:cs="Arial" w:eastAsia="Arial" w:hAnsi="Arial"/>
                <w:b w:val="false"/>
                <w:bCs w:val="false"/>
                <w:sz w:val="19"/>
                <w:szCs w:val="19"/>
              </w:rPr>
              <w:t xml:space="preserve">ACE inhibitor interaction (not in screenshots)</w:t>
            </w:r>
          </w:p>
        </w:tc>
        <w:tc>
          <w:tcPr>
            <w:tcW w:type="dxa" w:w="3120"/>
            <w:tcBorders>
              <w:top w:val="single" w:color="CCCCCC" w:sz="1"/>
              <w:left w:val="single" w:color="CCCCCC" w:sz="1"/>
              <w:bottom w:val="single" w:color="CCCCCC" w:sz="1"/>
              <w:right w:val="single" w:color="CCCCCC" w:sz="1"/>
            </w:tcBorders>
            <w:shd w:fill="FFEBEE" w:val="clear"/>
            <w:tcMar>
              <w:top w:type="dxa" w:w="80"/>
              <w:left w:type="dxa" w:w="140"/>
              <w:bottom w:type="dxa" w:w="80"/>
              <w:right w:type="dxa" w:w="140"/>
            </w:tcMar>
          </w:tcPr>
          <w:p>
            <w:pPr>
              <w:pStyle w:val="ListParagraph"/>
              <w:numPr>
                <w:ilvl w:val="0"/>
                <w:numId w:val="2"/>
              </w:numPr>
              <w:spacing w:after="40" w:before="40"/>
            </w:pPr>
            <w:r>
              <w:rPr>
                <w:rFonts w:ascii="Arial" w:cs="Arial" w:eastAsia="Arial" w:hAnsi="Arial"/>
                <w:b w:val="false"/>
                <w:bCs w:val="false"/>
                <w:sz w:val="19"/>
                <w:szCs w:val="19"/>
              </w:rPr>
              <w:t xml:space="preserve">API returns 1/9 records (limit issue)</w:t>
            </w:r>
          </w:p>
          <w:p>
            <w:pPr>
              <w:pStyle w:val="ListParagraph"/>
              <w:numPr>
                <w:ilvl w:val="0"/>
                <w:numId w:val="2"/>
              </w:numPr>
              <w:spacing w:after="40" w:before="40"/>
            </w:pPr>
            <w:r>
              <w:rPr>
                <w:rFonts w:ascii="Arial" w:cs="Arial" w:eastAsia="Arial" w:hAnsi="Arial"/>
                <w:b w:val="false"/>
                <w:bCs w:val="false"/>
                <w:sz w:val="19"/>
                <w:szCs w:val="19"/>
              </w:rPr>
              <w:t xml:space="preserve">Screenshots span two different apps</w:t>
            </w:r>
          </w:p>
          <w:p>
            <w:pPr>
              <w:pStyle w:val="ListParagraph"/>
              <w:numPr>
                <w:ilvl w:val="0"/>
                <w:numId w:val="2"/>
              </w:numPr>
              <w:spacing w:after="40" w:before="40"/>
            </w:pPr>
            <w:r>
              <w:rPr>
                <w:rFonts w:ascii="Arial" w:cs="Arial" w:eastAsia="Arial" w:hAnsi="Arial"/>
                <w:b w:val="false"/>
                <w:bCs w:val="false"/>
                <w:sz w:val="19"/>
                <w:szCs w:val="19"/>
              </w:rPr>
              <w:t xml:space="preserve">TE Code absent from API</w:t>
            </w:r>
          </w:p>
          <w:p>
            <w:pPr>
              <w:pStyle w:val="ListParagraph"/>
              <w:numPr>
                <w:ilvl w:val="0"/>
                <w:numId w:val="2"/>
              </w:numPr>
              <w:spacing w:after="40" w:before="40"/>
            </w:pPr>
            <w:r>
              <w:rPr>
                <w:rFonts w:ascii="Arial" w:cs="Arial" w:eastAsia="Arial" w:hAnsi="Arial"/>
                <w:b w:val="false"/>
                <w:bCs w:val="false"/>
                <w:sz w:val="19"/>
                <w:szCs w:val="19"/>
              </w:rPr>
              <w:t xml:space="preserve">ANDA holder (CIPLA) ≠ API manufacturer (Cycle Pharma)</w:t>
            </w:r>
          </w:p>
          <w:p>
            <w:pPr>
              <w:pStyle w:val="ListParagraph"/>
              <w:numPr>
                <w:ilvl w:val="0"/>
                <w:numId w:val="2"/>
              </w:numPr>
              <w:spacing w:after="40" w:before="40"/>
            </w:pPr>
            <w:r>
              <w:rPr>
                <w:rFonts w:ascii="Arial" w:cs="Arial" w:eastAsia="Arial" w:hAnsi="Arial"/>
                <w:b w:val="false"/>
                <w:bCs w:val="false"/>
                <w:sz w:val="19"/>
                <w:szCs w:val="19"/>
              </w:rPr>
              <w:t xml:space="preserve">Label version gaps for both products</w:t>
            </w:r>
          </w:p>
        </w:tc>
      </w:tr>
    </w:tbl>
    <w:p>
      <w:r>
        <w:t xml:space="preserve"/>
      </w:r>
    </w:p>
    <w:p>
      <w:r>
        <w:t xml:space="preserve"/>
      </w:r>
    </w:p>
    <w:p>
      <w:pPr>
        <w:jc w:val="center"/>
      </w:pPr>
      <w:r>
        <w:rPr>
          <w:rFonts w:ascii="Arial" w:cs="Arial" w:eastAsia="Arial" w:hAnsi="Arial"/>
          <w:i/>
          <w:iCs/>
          <w:color w:val="888888"/>
          <w:sz w:val="18"/>
          <w:szCs w:val="18"/>
        </w:rPr>
        <w:t xml:space="preserve">End of Assessment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888888"/>
        <w:sz w:val="16"/>
        <w:szCs w:val="16"/>
      </w:rPr>
      <w:t xml:space="preserve">Phamax  |  Ariya Platform  |  Drug Data Pipeline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4" w:space="4"/>
      </w:pBdr>
      <w:jc w:val="right"/>
    </w:pPr>
    <w:r>
      <w:rPr>
        <w:rFonts w:ascii="Arial" w:cs="Arial" w:eastAsia="Arial" w:hAnsi="Arial"/>
        <w:color w:val="888888"/>
        <w:sz w:val="18"/>
        <w:szCs w:val="18"/>
      </w:rPr>
      <w:t xml:space="preserve">OpenFDA Assessment  |  </w:t>
    </w:r>
    <w:r>
      <w:rPr>
        <w:rFonts w:ascii="Arial" w:cs="Arial" w:eastAsia="Arial" w:hAnsi="Arial"/>
        <w:b/>
        <w:bCs/>
        <w:color w:val="1B3A6B"/>
        <w:sz w:val="18"/>
        <w:szCs w:val="18"/>
      </w:rPr>
      <w:t xml:space="preserve">SAJAZIR / FIRAZYR (Icatibant)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90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B3A6B"/>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E6DA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2026-06-17T07:45:15.687Z</dcterms:created>
  <dcterms:modified xsi:type="dcterms:W3CDTF">2026-06-17T07:45:15.702Z</dcterms:modified>
</cp:coreProperties>
</file>

<file path=docProps/custom.xml><?xml version="1.0" encoding="utf-8"?>
<Properties xmlns="http://schemas.openxmlformats.org/officeDocument/2006/custom-properties" xmlns:vt="http://schemas.openxmlformats.org/officeDocument/2006/docPropsVTypes"/>
</file>