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89ED2B" wp14:paraId="2C078E63" wp14:textId="262CB2D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B08277F">
        <w:drawing>
          <wp:inline xmlns:wp14="http://schemas.microsoft.com/office/word/2010/wordprocessingDrawing" wp14:editId="04FD9710" wp14:anchorId="4211BDFD">
            <wp:extent cx="5943600" cy="1628775"/>
            <wp:effectExtent l="0" t="0" r="0" b="0"/>
            <wp:docPr id="790372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7b8c8ebe0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89ED2B" w:rsidR="0B0827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Cette capture d'écran montre la progression du processus de recrutement pour le candidat Nada,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D6A2F"/>
    <w:rsid w:val="0489ED2B"/>
    <w:rsid w:val="0B08277F"/>
    <w:rsid w:val="571D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6A2F"/>
  <w15:chartTrackingRefBased/>
  <w15:docId w15:val="{2C94E739-07DD-4531-958E-73038A2278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07b8c8ebe042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2024-10-14T11:25:56.8610182Z</dcterms:created>
  <dcterms:modified xsi:type="dcterms:W3CDTF">2024-10-24T12:11:03.3024131Z</dcterms:modified>
  <dc:creator>NAJWA ABOUCHAMA</dc:creator>
  <lastModifiedBy>NAJWA ABOUCHAMA</lastModifiedBy>
</coreProperties>
</file>