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FA74C">
      <w:pPr>
        <w:jc w:val="center"/>
        <w:rPr>
          <w:rFonts w:eastAsia="黑体"/>
          <w:bCs/>
          <w:sz w:val="36"/>
          <w:szCs w:val="36"/>
        </w:rPr>
      </w:pPr>
      <w:r>
        <w:rPr>
          <w:rFonts w:eastAsia="黑体"/>
          <w:bCs/>
          <w:sz w:val="36"/>
          <w:szCs w:val="36"/>
        </w:rPr>
        <w:t>毕业设计开题报告</w:t>
      </w:r>
    </w:p>
    <w:p w14:paraId="7993A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400" w:lineRule="exact"/>
        <w:jc w:val="center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草地作物病虫害智能监测系统设计与实现</w:t>
      </w:r>
    </w:p>
    <w:p w14:paraId="6BDA21C6">
      <w:pPr>
        <w:spacing w:before="480" w:after="120" w:line="400" w:lineRule="exact"/>
        <w:rPr>
          <w:rFonts w:eastAsia="黑体"/>
          <w:color w:val="auto"/>
          <w:sz w:val="28"/>
          <w:szCs w:val="28"/>
        </w:rPr>
      </w:pPr>
      <w:r>
        <w:rPr>
          <w:rFonts w:hint="eastAsia" w:eastAsia="黑体"/>
          <w:color w:val="auto"/>
          <w:sz w:val="28"/>
          <w:szCs w:val="28"/>
        </w:rPr>
        <w:t>一、课题的目的、意义及国内外现状</w:t>
      </w:r>
    </w:p>
    <w:p w14:paraId="581FB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00" w:lineRule="exact"/>
        <w:jc w:val="left"/>
        <w:textAlignment w:val="auto"/>
        <w:rPr>
          <w:rFonts w:eastAsia="黑体"/>
          <w:sz w:val="26"/>
          <w:szCs w:val="26"/>
        </w:rPr>
      </w:pPr>
      <w:r>
        <w:rPr>
          <w:rFonts w:hint="eastAsia" w:eastAsia="黑体"/>
          <w:sz w:val="26"/>
          <w:szCs w:val="26"/>
        </w:rPr>
        <w:t>（一）</w:t>
      </w:r>
      <w:r>
        <w:rPr>
          <w:rFonts w:hint="eastAsia" w:ascii="黑体" w:hAnsi="黑体" w:eastAsia="黑体" w:cs="黑体"/>
          <w:sz w:val="26"/>
          <w:szCs w:val="26"/>
          <w:lang w:val="en-US" w:eastAsia="zh-CN"/>
        </w:rPr>
        <w:t>课题研究的目的</w:t>
      </w:r>
    </w:p>
    <w:p w14:paraId="2CBBE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草地作物是畜牧业发展的重要物质基础,其健康生长直接关系到草地生态系统稳定和畜牧业经济效益。然而,病虫害是影响草地作物产量和品质的主要因素之一,传统的人工巡查监测方式存在效率低、成本高、时效性差等问题。本课题旨在设计并实现一套基于Web技术的草地作物病虫害智能监测系统,通过前后端分离架构实现病虫害数据管理、图像识别集成、监测数据可视化和预警管理等功能,为草地管理人员提供便捷高效的信息化管理平台,提升病虫害监测与防治的科学化水平。</w:t>
      </w:r>
    </w:p>
    <w:p w14:paraId="6A204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00" w:lineRule="exact"/>
        <w:jc w:val="left"/>
        <w:textAlignment w:val="auto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sz w:val="26"/>
          <w:szCs w:val="26"/>
        </w:rPr>
        <w:t>（</w:t>
      </w:r>
      <w:r>
        <w:rPr>
          <w:rFonts w:hint="eastAsia" w:ascii="黑体" w:hAnsi="黑体" w:eastAsia="黑体" w:cs="黑体"/>
          <w:sz w:val="26"/>
          <w:szCs w:val="26"/>
          <w:lang w:val="en-US" w:eastAsia="zh-CN"/>
        </w:rPr>
        <w:t>二</w:t>
      </w:r>
      <w:r>
        <w:rPr>
          <w:rFonts w:hint="eastAsia" w:ascii="黑体" w:hAnsi="黑体" w:eastAsia="黑体" w:cs="黑体"/>
          <w:sz w:val="26"/>
          <w:szCs w:val="26"/>
        </w:rPr>
        <w:t>）</w:t>
      </w:r>
      <w:r>
        <w:rPr>
          <w:rFonts w:hint="eastAsia" w:ascii="黑体" w:hAnsi="黑体" w:eastAsia="黑体" w:cs="黑体"/>
          <w:sz w:val="26"/>
          <w:lang w:val="en-US" w:eastAsia="zh-CN"/>
        </w:rPr>
        <w:t>课题研究的意义</w:t>
      </w:r>
    </w:p>
    <w:p w14:paraId="36792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本课题的研究具有重要的理论意义和实践价值。理论层面,通过现代软件工程方法设计与实现智能监测系统,实践了前后端分离、RESTful API设计、微服务架构等先进的软件开发理念,为智慧农业信息系统的开发提供了技术参考。实践层面,系统能够整合病虫害识别算法,实现监测数据的统一管理、实时展示和智能分析,帮助管理人员及时掌握草地作物健康状况,提高决策效率。系统采用响应式设计,支持多终端访问,提升了用户体验,具有良好的推广应用价值。</w:t>
      </w:r>
    </w:p>
    <w:p w14:paraId="32A4B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00" w:lineRule="exact"/>
        <w:jc w:val="left"/>
        <w:textAlignment w:val="auto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sz w:val="26"/>
          <w:szCs w:val="26"/>
        </w:rPr>
        <w:t>（</w:t>
      </w:r>
      <w:r>
        <w:rPr>
          <w:rFonts w:hint="eastAsia" w:ascii="黑体" w:hAnsi="黑体" w:eastAsia="黑体" w:cs="黑体"/>
          <w:sz w:val="26"/>
          <w:szCs w:val="26"/>
          <w:lang w:val="en-US" w:eastAsia="zh-CN"/>
        </w:rPr>
        <w:t>三</w:t>
      </w:r>
      <w:r>
        <w:rPr>
          <w:rFonts w:hint="eastAsia" w:ascii="黑体" w:hAnsi="黑体" w:eastAsia="黑体" w:cs="黑体"/>
          <w:sz w:val="26"/>
          <w:szCs w:val="26"/>
        </w:rPr>
        <w:t>）</w:t>
      </w:r>
      <w:r>
        <w:rPr>
          <w:rFonts w:hint="eastAsia" w:ascii="黑体" w:hAnsi="黑体" w:eastAsia="黑体" w:cs="黑体"/>
          <w:sz w:val="26"/>
          <w:szCs w:val="26"/>
          <w:lang w:val="en-US" w:eastAsia="zh-CN"/>
        </w:rPr>
        <w:t>国内外研究现状</w:t>
      </w:r>
    </w:p>
    <w:p w14:paraId="7199B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00" w:lineRule="exact"/>
        <w:jc w:val="left"/>
        <w:textAlignment w:val="auto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1.国内研究现状</w:t>
      </w:r>
    </w:p>
    <w:p w14:paraId="627D7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近年来,我国在农业信息化管理系统开发方面取得了显著进展。国内学者和企业开发了多种农业管理平台,如农田监测系统、温室大棚控制系统、农产品溯源系统等。在技术架构方面,Flask等轻量级Web框架得到广泛应用,Vue.js、React等前端框架成为主流选择。在病虫害监测领域,已有研究者开发了基于Web的病虫害管理系统,集成了专家系统和图像识别功能。然而,现有系统多针对大田作物,专门面向草地作物的监测系统较少,且在数据可视化、移动端适配、实时预警等方面仍有提升空间。</w:t>
      </w:r>
    </w:p>
    <w:p w14:paraId="7DB197BF">
      <w:pPr>
        <w:bidi w:val="0"/>
        <w:jc w:val="left"/>
      </w:pPr>
    </w:p>
    <w:p w14:paraId="6486A99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00" w:lineRule="exact"/>
        <w:jc w:val="left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国外研究现状</w:t>
      </w:r>
    </w:p>
    <w:p w14:paraId="6131F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国外在农业信息系统开发方面技术成熟,形成了完整的产品生态。美国、荷兰等国家的农业科技公司开发了商业化的农场管理系统,采用云计算、大数据分析等技术,提供从种植规划到病虫害防治的全流程管理。在技术架构上,国外系统普遍采用容器化部署、DevOps流程、前端模块化开发等先进实践。在用户体验方面,注重界面友好性和交互设计,提供丰富的数据可视化组件。但国外系统多为商业产品,价格昂贵,且针对本地化需求定制困难,不适合直接引入国内使用。国内需要开发符合本土需求、成本可控的自主化系统。</w:t>
      </w:r>
    </w:p>
    <w:p w14:paraId="37F09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00" w:lineRule="exact"/>
        <w:textAlignment w:val="auto"/>
        <w:rPr>
          <w:rFonts w:hint="eastAsia"/>
          <w:lang w:val="en-US" w:eastAsia="zh-CN"/>
        </w:rPr>
      </w:pPr>
      <w:r>
        <w:rPr>
          <w:rFonts w:eastAsia="黑体"/>
          <w:sz w:val="26"/>
          <w:szCs w:val="26"/>
        </w:rPr>
        <w:t>二、课题任务与设计内容</w:t>
      </w:r>
    </w:p>
    <w:p w14:paraId="61409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本课题的主要任务是基于软件工程方法,设计并实现一套完整的草地作物病虫害智能监测Web应用系统,具体设计内容包括以下几个方面。</w:t>
      </w:r>
    </w:p>
    <w:p w14:paraId="61F5E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首先,进行系统需求分析与总体设计。通过调研草地管理人员的实际需求,分析系统功能需求和非功能需求,确定系统用例,设计系统总体架构,绘制系统架构图、用例图和流程图,完成数据库概念设计和逻辑设计。</w:t>
      </w:r>
    </w:p>
    <w:p w14:paraId="4B0FA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其次,开发系统后端服务。采用Python语言和Flask框架搭建后端服务,使用SQLAlchemy进行数据持久化,实现用户认证与权限管理模块、监测设备管理模块、病虫害数据管理模块、图像上传与识别接口模块、数据统计分析模块、预警规则配置与推送模块等核心业务功能。设计RESTful风格的API接口,采用JWT实现身份认证（Flask-JWT-Extended）,使用Redis实现缓存优化,确保系统的安全性和性能。</w:t>
      </w:r>
    </w:p>
    <w:p w14:paraId="0CB79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第三,开发系统前端界面。采用Vue.js 3框架和Element Plus组件库开发Web前端,使用Vuex进行状态管理,Vue Router实现路由控制。实现用户登录注册界面、系统主控制台、监测点地图展示、病虫害数据列表与详情、数据统计图表、预警信息管理、系统配置等功能页面。采用响应式布局设计,适配PC端和移动端访问,提供良好的用户交互体验。</w:t>
      </w:r>
    </w:p>
    <w:p w14:paraId="78852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四,集成第三方服务与算法。对接深度学习病虫害识别模型API,实现图像上传后的自动识别功能。集成地图服务API(如高德地图或百度地图),实现监测点地理位置展示和病虫害分布可视化。集成消息推送服务,实现预警信息的实时推送。</w:t>
      </w:r>
    </w:p>
    <w:p w14:paraId="03E52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第五,进行系统测试与部署。编写单元测试用例,进行功能测试、性能测试和安全测试,修复发现的问题。使用Docker容器化打包应用,部署到云服务器,配置Nginx进行反向代理和负载均衡,完成系统上线部署。</w:t>
      </w:r>
    </w:p>
    <w:p w14:paraId="7F5D4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第六,编写系统文档。撰写需求规格说明书、概要设计说明书、详细设计说明书、数据库设计文档、接口文档、用户使用手册和系统部署文档,确保系统的可维护性和可扩展性。</w:t>
      </w:r>
    </w:p>
    <w:p w14:paraId="14FA3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00" w:lineRule="exact"/>
        <w:textAlignment w:val="auto"/>
        <w:rPr>
          <w:rFonts w:eastAsia="黑体"/>
          <w:sz w:val="28"/>
          <w:szCs w:val="28"/>
        </w:rPr>
      </w:pPr>
      <w:r>
        <w:rPr>
          <w:rFonts w:eastAsia="黑体"/>
          <w:sz w:val="28"/>
          <w:szCs w:val="28"/>
        </w:rPr>
        <w:t>三、设计方案及预期达到的目标</w:t>
      </w:r>
    </w:p>
    <w:p w14:paraId="4F18B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本系统采用前后端分离的B/S架构设计方案,系统整体分为前端展示层、后端服务层和数据存储层三个层次。前端采用Vue.js 3 + Element Plus技术栈,后端采用Flask + SQLAlchemy技术栈,数据库使用MySQL存储业务数据,Redis实现缓存加速,MongoDB存储图像和日志数据。</w:t>
      </w:r>
    </w:p>
    <w:p w14:paraId="4214E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58BF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/>
          <w:sz w:val="21"/>
        </w:rPr>
        <w:t>后端服务采用分层架构设计,包括视图层(View)、业务逻辑层(Service)和数据访问层(Model)。视图层负责接收HTTP请求和返回响应,服务层实现业务逻辑处理,数据访问层封装数据库操作,实体层定义数据模型。采用面向接口编程,降低模块间耦合度。使用Flask钩子实现日志记录和异常统一处理,使用Flask-JWT-Extended和JWT实现安全认证和权限控制。</w:t>
      </w:r>
    </w:p>
    <w:p w14:paraId="763D7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前端采用组件化开发模式,将页面拆分为可复用的Vue组件。使用Axios进行HTTP请求封装,统一处理请求拦截和响应拦截。使用Vuex进行全局状态管理,如用户信息、权限信息等。使用ECharts图表库实现数据可视化展示,如病虫害发生趋势图、各类病害占比饼图、监测点分布地图等。采用懒加载和代码分割优化首屏加载速度。</w:t>
      </w:r>
    </w:p>
    <w:p w14:paraId="4F62D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库设计遵循第三范式,主要包括用户表、角色表、权限表、监测设备表、病虫害记录表、图像表、预警规则表、预警记录表等。建立合理的表关系和索引,优化查询性能。设计数据字典规范字段定义,确保数据一致性。</w:t>
      </w:r>
    </w:p>
    <w:p w14:paraId="2F848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功能模块主要包括:用户管理模块,实现用户注册、登录、权限分配和个人信息管理;设备管理模块,实现监测设备的添加、编辑、删除和状态监控;病虫害管理模块,实现病虫害数据的录入、查询、统计和导出;图像识别模块,实现图像上传和调用识别API获取识别结果;数据可视化模块,实现监测数据的图表展示和地图展示;预警管理模块,实现预警规则配置、预警触发和消息推送;系统管理模块,实现系统参数配置、日志查询和数据备份。</w:t>
      </w:r>
    </w:p>
    <w:p w14:paraId="7613C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预期达到的目标包括:完成系统的需求分析、概要设计和详细设计文档;实现不少于8个功能模块,接口数量不少于30个;系统支持多角色权限管理,至少包括管理员、普通用户两种角色;前端界面美观友好,具有良好的交互体验,支持PC端和移动端访问;后端API响应时间平均小于500毫秒,并发支持能力达到100用户/秒;系统通过功能测试和性能测试,Bug率低于5%;完成系统的容器化部署,实现一键启动和快速扩展;代码规范整洁,注释完整,符合软件工程规范要求。</w:t>
      </w:r>
    </w:p>
    <w:p w14:paraId="0DC0D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00" w:lineRule="exact"/>
        <w:textAlignment w:val="auto"/>
        <w:rPr>
          <w:rFonts w:eastAsia="黑体"/>
          <w:sz w:val="28"/>
          <w:szCs w:val="28"/>
        </w:rPr>
      </w:pPr>
      <w:r>
        <w:rPr>
          <w:rFonts w:eastAsia="黑体"/>
          <w:sz w:val="28"/>
          <w:szCs w:val="28"/>
        </w:rPr>
        <w:t>四、进度计划</w:t>
      </w:r>
    </w:p>
    <w:p w14:paraId="44D70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第1-2周:进行需求调研与分析,与指导教师讨论确定系统功能需求,绘制用例图和功能模块图,完成需求规格说明书撰写,查阅相关技术文献,撰写开题报告。</w:t>
      </w:r>
    </w:p>
    <w:p w14:paraId="5EE26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第3-4周:进行系统总体设计,确定技术架构和技术选型,设计系统架构图、流程图和时序图,完成数据库概念设计和逻辑设计,搭建开发环境,完成概要设计说明书。</w:t>
      </w:r>
    </w:p>
    <w:p w14:paraId="098FF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第5-7周:开发后端核心功能模块,包括用户认证与权限管理、设备管理、病虫害数据管理等模块,完成数据库表创建和基础数据初始化,编写单元测试用例,使用Postman进行接口测试。</w:t>
      </w:r>
    </w:p>
    <w:p w14:paraId="6553D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第8-9周:继续开发后端功能模块,包括图像上传与识别接口、数据统计分析、预警规则配置与推送等模块,优化数据库查询性能,完成Redis缓存集成,编写详细设计说明书和接口文档。</w:t>
      </w:r>
    </w:p>
    <w:p w14:paraId="0C672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第10-12周:开发前端页面和组件,实现用户登录注册、系统主页、设备管理、病虫害数据展示等页面,完成前后端联调,实现数据的增删改查功能,进行界面美化和交互优化。</w:t>
      </w:r>
    </w:p>
    <w:p w14:paraId="787FE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第13-14周:完成前端数据可视化模块开发,集成ECharts图表和地图组件,实现病虫害数据统计图表展示,完成预警信息展示和推送功能,进行移动端适配和响应式布局调整。</w:t>
      </w:r>
    </w:p>
    <w:p w14:paraId="0EF21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第15周:进行系统集成测试,包括功能测试、性能测试、兼容性测试和安全测试,修复发现的Bug,进行代码优化和重构,完成系统容器化打包和云服务器部署。</w:t>
      </w:r>
    </w:p>
    <w:p w14:paraId="0BC0E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第16周:整理系统文档和代码,完成用户使用手册和系统部署文档编写,录制系统演示视频,撰写毕业设计论文,准备答辩PPT和答辩材料。</w:t>
      </w:r>
    </w:p>
    <w:p w14:paraId="430C4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00" w:lineRule="exact"/>
        <w:textAlignment w:val="auto"/>
        <w:rPr>
          <w:rFonts w:eastAsia="黑体"/>
          <w:sz w:val="28"/>
          <w:szCs w:val="28"/>
        </w:rPr>
      </w:pPr>
      <w:r>
        <w:rPr>
          <w:rFonts w:eastAsia="黑体"/>
          <w:sz w:val="28"/>
          <w:szCs w:val="28"/>
        </w:rPr>
        <w:t>参考文献：</w:t>
      </w:r>
    </w:p>
    <w:p w14:paraId="126E1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line="320" w:lineRule="exact"/>
        <w:jc w:val="left"/>
        <w:textAlignment w:val="auto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[1] Han K, Wang Y, Tian Q, et al. GhostNet: More features from cheap operations[C]//Proceedings of the IEEE/CVF Conference on Computer Vision and Pattern Recognition. 2020: 1580-1589.</w:t>
      </w:r>
    </w:p>
    <w:p w14:paraId="2411C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line="320" w:lineRule="exact"/>
        <w:jc w:val="left"/>
        <w:textAlignment w:val="auto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[2] Koonce B. ResNet 50[M]//Convolutional Neural Networks with Swift for TensorFlow: Image Recognition and Dataset Categorization. Berkeley, CA: Apress, 2021: 63-72.</w:t>
      </w:r>
    </w:p>
    <w:p w14:paraId="4EC63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line="320" w:lineRule="exact"/>
        <w:jc w:val="left"/>
        <w:textAlignment w:val="auto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[3] Hatamizadeh A, Kautz J. MambaVision: A hybrid mamba-transformer vision backbone[J]. arXiv preprint arXiv:2407.08083, 2024.</w:t>
      </w:r>
    </w:p>
    <w:p w14:paraId="60AC4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line="320" w:lineRule="exact"/>
        <w:jc w:val="left"/>
        <w:textAlignment w:val="auto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[4] Vaswani A, Shazeer N, Parmar N, et al. Attention is all you need[J]. Advances in Neural Information Processing Systems, 2017, 30.</w:t>
      </w:r>
    </w:p>
    <w:p w14:paraId="5FDF9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line="320" w:lineRule="exact"/>
        <w:jc w:val="left"/>
        <w:textAlignment w:val="auto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[5] Hinton G, Vinyals O, Dean J. Distilling the knowledge in a neural network[J]. arXiv preprint arXiv:1503.02531, 2015.</w:t>
      </w:r>
    </w:p>
    <w:p w14:paraId="09C0D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line="320" w:lineRule="exact"/>
        <w:jc w:val="left"/>
        <w:textAlignment w:val="auto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[6] Wu X, Zhan C, Lai Y K, et al. IP102: A large-scale benchmark dataset for insect pest recognition[C]//Proceedings of the IEEE/CVF Conference on Computer Vision and Pattern Recognition. 2019: 8787-8796.</w:t>
      </w:r>
    </w:p>
    <w:p w14:paraId="77997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line="320" w:lineRule="exact"/>
        <w:jc w:val="left"/>
        <w:textAlignment w:val="auto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[7] Guo D, Yang D, Zhang H, et al. DeepSeek-R1: Incentivizing reasoning capability in LLMs via reinforcement learning[J]. arXiv preprint arXiv:2501.12948, 2025.</w:t>
      </w:r>
    </w:p>
    <w:p w14:paraId="77E4A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line="320" w:lineRule="exact"/>
        <w:jc w:val="left"/>
        <w:textAlignment w:val="auto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[8] 张伟, 李强. 基于物联网的智慧养殖管理系统设计与实现[J]. 农业工程学报, 2023, 39(5): 210-218.</w:t>
      </w:r>
    </w:p>
    <w:p w14:paraId="6B023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line="320" w:lineRule="exact"/>
        <w:jc w:val="left"/>
        <w:textAlignment w:val="auto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[9] 王磊, 等. 检索增强生成（RAG）在农业知识库中的应用研究[C]//全国人工智能大会. 2024.</w:t>
      </w:r>
    </w:p>
    <w:p w14:paraId="67538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line="320" w:lineRule="exact"/>
        <w:jc w:val="left"/>
        <w:textAlignment w:val="auto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[1</w:t>
      </w:r>
      <w:r>
        <w:rPr>
          <w:rFonts w:hint="eastAsia" w:eastAsia="黑体" w:cs="Times New Roman"/>
          <w:sz w:val="21"/>
          <w:szCs w:val="21"/>
          <w:lang w:val="en-US" w:eastAsia="zh-CN"/>
        </w:rPr>
        <w:t>0</w:t>
      </w:r>
      <w:r>
        <w:rPr>
          <w:rFonts w:hint="default" w:ascii="Times New Roman" w:hAnsi="Times New Roman" w:eastAsia="黑体" w:cs="Times New Roman"/>
          <w:sz w:val="21"/>
          <w:szCs w:val="21"/>
        </w:rPr>
        <w:t>] Flask官方文档. Flask Web Development[EB/OL]. (2023-01-01)[2026-03-27]. https://flask.palletsprojects.com/</w:t>
      </w:r>
    </w:p>
    <w:p w14:paraId="0F67B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line="320" w:lineRule="exact"/>
        <w:jc w:val="left"/>
        <w:textAlignment w:val="auto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[1</w:t>
      </w:r>
      <w:r>
        <w:rPr>
          <w:rFonts w:hint="eastAsia" w:eastAsia="黑体" w:cs="Times New Roman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sz w:val="21"/>
          <w:szCs w:val="21"/>
        </w:rPr>
        <w:t>] Vue.js官方文档. Vue 3 Composition API Guide[EB/OL]. (2023-01-01)[2026-03-27]. https://vuejs.org/guide/</w:t>
      </w:r>
    </w:p>
    <w:p w14:paraId="6ECF4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line="320" w:lineRule="exact"/>
        <w:jc w:val="left"/>
        <w:textAlignment w:val="auto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[1</w:t>
      </w:r>
      <w:r>
        <w:rPr>
          <w:rFonts w:hint="eastAsia" w:eastAsia="黑体" w:cs="Times New Roman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sz w:val="21"/>
          <w:szCs w:val="21"/>
        </w:rPr>
        <w:t>] SQLAlchemy Documentation. SQLAlchemy 2.0 ORM[EB/OL]. (2023-01-01)[2026-03-27]. https://docs.sqlalchemy.org/</w:t>
      </w:r>
    </w:p>
    <w:p w14:paraId="1CF3A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line="320" w:lineRule="exact"/>
        <w:jc w:val="left"/>
        <w:textAlignment w:val="auto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[1</w:t>
      </w:r>
      <w:r>
        <w:rPr>
          <w:rFonts w:hint="eastAsia" w:eastAsia="黑体" w:cs="Times New Roman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sz w:val="21"/>
          <w:szCs w:val="21"/>
        </w:rPr>
        <w:t>] Element Plus. Vue 3 UI 组件库[EB/OL]. (2023-01-01)[2026-03-27]. https://github.com/element-plus/element-plus</w:t>
      </w:r>
    </w:p>
    <w:p w14:paraId="06214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line="320" w:lineRule="exact"/>
        <w:jc w:val="left"/>
        <w:textAlignment w:val="auto"/>
        <w:rPr>
          <w:rFonts w:hint="default" w:ascii="Times New Roman" w:hAnsi="Times New Roman" w:eastAsia="黑体" w:cs="Times New Roman"/>
          <w:sz w:val="21"/>
          <w:szCs w:val="21"/>
        </w:rPr>
      </w:pPr>
    </w:p>
    <w:p w14:paraId="5BCFA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line="320" w:lineRule="exact"/>
        <w:jc w:val="left"/>
        <w:textAlignment w:val="auto"/>
        <w:rPr>
          <w:rFonts w:hint="default" w:ascii="Times New Roman" w:hAnsi="Times New Roman" w:eastAsia="黑体" w:cs="Times New Roman"/>
          <w:sz w:val="21"/>
          <w:szCs w:val="21"/>
        </w:rPr>
      </w:pPr>
      <w:bookmarkStart w:id="0" w:name="_GoBack"/>
      <w:bookmarkEnd w:id="0"/>
    </w:p>
    <w:p w14:paraId="74E6D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line="320" w:lineRule="exact"/>
        <w:jc w:val="left"/>
        <w:textAlignment w:val="auto"/>
        <w:rPr>
          <w:rFonts w:hint="default" w:ascii="Times New Roman" w:hAnsi="Times New Roman" w:eastAsia="黑体" w:cs="Times New Roman"/>
          <w:sz w:val="21"/>
          <w:szCs w:val="21"/>
        </w:rPr>
      </w:pPr>
    </w:p>
    <w:p w14:paraId="237E8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400" w:lineRule="exact"/>
        <w:jc w:val="left"/>
        <w:textAlignment w:val="auto"/>
        <w:rPr>
          <w:rFonts w:eastAsia="黑体"/>
          <w:sz w:val="28"/>
          <w:szCs w:val="28"/>
        </w:rPr>
      </w:pPr>
      <w:r>
        <w:rPr>
          <w:rFonts w:eastAsia="黑体"/>
          <w:sz w:val="28"/>
          <w:szCs w:val="28"/>
        </w:rPr>
        <w:t>五、指导教师意见</w:t>
      </w:r>
    </w:p>
    <w:p w14:paraId="2D6BE0C5">
      <w:pPr>
        <w:spacing w:line="400" w:lineRule="exact"/>
        <w:ind w:firstLine="480" w:firstLineChars="200"/>
        <w:rPr>
          <w:sz w:val="24"/>
        </w:rPr>
      </w:pPr>
    </w:p>
    <w:p w14:paraId="72C3EEF0">
      <w:pPr>
        <w:spacing w:line="400" w:lineRule="exact"/>
        <w:ind w:firstLine="480" w:firstLineChars="200"/>
        <w:rPr>
          <w:sz w:val="24"/>
        </w:rPr>
      </w:pPr>
    </w:p>
    <w:p w14:paraId="5B32D70A">
      <w:pPr>
        <w:spacing w:line="400" w:lineRule="exact"/>
        <w:ind w:firstLine="480" w:firstLineChars="200"/>
        <w:rPr>
          <w:sz w:val="24"/>
        </w:rPr>
      </w:pPr>
    </w:p>
    <w:p w14:paraId="6500B7EE">
      <w:pPr>
        <w:spacing w:line="400" w:lineRule="exact"/>
        <w:ind w:firstLine="480" w:firstLineChars="200"/>
        <w:rPr>
          <w:sz w:val="24"/>
        </w:rPr>
      </w:pPr>
    </w:p>
    <w:p w14:paraId="11ACEA1C">
      <w:pPr>
        <w:spacing w:line="400" w:lineRule="exact"/>
        <w:ind w:firstLine="480" w:firstLineChars="200"/>
        <w:rPr>
          <w:sz w:val="24"/>
        </w:rPr>
      </w:pPr>
    </w:p>
    <w:p w14:paraId="5AD5761C">
      <w:pPr>
        <w:spacing w:line="400" w:lineRule="exact"/>
        <w:ind w:firstLine="480" w:firstLineChars="200"/>
        <w:rPr>
          <w:sz w:val="24"/>
        </w:rPr>
      </w:pPr>
    </w:p>
    <w:p w14:paraId="532595C4">
      <w:pPr>
        <w:spacing w:line="400" w:lineRule="exact"/>
        <w:ind w:firstLine="3840" w:firstLineChars="1600"/>
        <w:rPr>
          <w:sz w:val="24"/>
        </w:rPr>
      </w:pPr>
    </w:p>
    <w:p w14:paraId="3091444F">
      <w:pPr>
        <w:spacing w:line="400" w:lineRule="exact"/>
        <w:ind w:firstLine="3840" w:firstLineChars="1600"/>
        <w:rPr>
          <w:sz w:val="24"/>
        </w:rPr>
      </w:pPr>
    </w:p>
    <w:p w14:paraId="10B8FDA6">
      <w:pPr>
        <w:spacing w:line="400" w:lineRule="exact"/>
        <w:ind w:firstLine="3840" w:firstLineChars="1600"/>
        <w:rPr>
          <w:sz w:val="24"/>
        </w:rPr>
      </w:pPr>
    </w:p>
    <w:p w14:paraId="4B7B5C79">
      <w:pPr>
        <w:spacing w:line="400" w:lineRule="exact"/>
        <w:ind w:firstLine="3840" w:firstLineChars="1600"/>
        <w:rPr>
          <w:sz w:val="24"/>
        </w:rPr>
      </w:pPr>
    </w:p>
    <w:p w14:paraId="3B2B78DB">
      <w:pPr>
        <w:spacing w:line="400" w:lineRule="exact"/>
        <w:rPr>
          <w:sz w:val="24"/>
        </w:rPr>
      </w:pPr>
    </w:p>
    <w:p w14:paraId="74C45221">
      <w:pPr>
        <w:spacing w:line="400" w:lineRule="exact"/>
        <w:ind w:firstLine="3840" w:firstLineChars="1600"/>
        <w:rPr>
          <w:sz w:val="24"/>
        </w:rPr>
      </w:pPr>
      <w:r>
        <w:rPr>
          <w:sz w:val="24"/>
        </w:rPr>
        <w:t>指导教师</w:t>
      </w:r>
      <w:r>
        <w:rPr>
          <w:rFonts w:hint="eastAsia"/>
          <w:sz w:val="24"/>
        </w:rPr>
        <w:t>签字</w:t>
      </w:r>
      <w:r>
        <w:rPr>
          <w:sz w:val="24"/>
        </w:rPr>
        <w:t>：</w:t>
      </w:r>
    </w:p>
    <w:p w14:paraId="4704B6EF">
      <w:pPr>
        <w:spacing w:line="400" w:lineRule="exact"/>
        <w:ind w:firstLine="480" w:firstLineChars="200"/>
        <w:rPr>
          <w:sz w:val="24"/>
        </w:rPr>
      </w:pPr>
    </w:p>
    <w:p w14:paraId="164FBEE6">
      <w:pPr>
        <w:spacing w:line="400" w:lineRule="exact"/>
        <w:ind w:firstLine="480" w:firstLineChars="200"/>
        <w:rPr>
          <w:lang w:val="en-US" w:eastAsia="zh-CN"/>
        </w:rPr>
      </w:pPr>
      <w:r>
        <w:rPr>
          <w:sz w:val="24"/>
        </w:rPr>
        <w:t xml:space="preserve">                                                      年     月     日</w:t>
      </w:r>
    </w:p>
    <w:sectPr>
      <w:headerReference r:id="rId3" w:type="default"/>
      <w:footerReference r:id="rId4" w:type="default"/>
      <w:pgSz w:w="11906" w:h="16838"/>
      <w:pgMar w:top="1418" w:right="1134" w:bottom="1134" w:left="1134" w:header="851" w:footer="992" w:gutter="284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68816389"/>
      <w:docPartObj>
        <w:docPartGallery w:val="autotext"/>
      </w:docPartObj>
    </w:sdtPr>
    <w:sdtContent>
      <w:p w14:paraId="184D1FC6">
        <w:pPr>
          <w:pStyle w:val="2"/>
          <w:jc w:val="center"/>
        </w:pPr>
        <w:r>
          <w:t>B</w: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F1355">
    <w:pPr>
      <w:pStyle w:val="3"/>
      <w:rPr>
        <w:rFonts w:ascii="宋体" w:hAnsi="宋体"/>
      </w:rPr>
    </w:pPr>
    <w:r>
      <w:rPr>
        <w:rFonts w:hint="eastAsia" w:ascii="宋体" w:hAnsi="宋体"/>
        <w:sz w:val="21"/>
        <w:szCs w:val="21"/>
      </w:rPr>
      <w:t>河北水利电力学院本科毕业设计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2D717E"/>
    <w:multiLevelType w:val="singleLevel"/>
    <w:tmpl w:val="8E2D717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1B2B"/>
    <w:rsid w:val="001858D9"/>
    <w:rsid w:val="001D1D46"/>
    <w:rsid w:val="00277F6B"/>
    <w:rsid w:val="002E1B2B"/>
    <w:rsid w:val="00365382"/>
    <w:rsid w:val="00392995"/>
    <w:rsid w:val="0046158C"/>
    <w:rsid w:val="00617CE6"/>
    <w:rsid w:val="006A11A8"/>
    <w:rsid w:val="006C5E89"/>
    <w:rsid w:val="00862B5B"/>
    <w:rsid w:val="00910DA5"/>
    <w:rsid w:val="00A516E9"/>
    <w:rsid w:val="00B64634"/>
    <w:rsid w:val="00B805CB"/>
    <w:rsid w:val="00CC2366"/>
    <w:rsid w:val="00D9636C"/>
    <w:rsid w:val="00E2329F"/>
    <w:rsid w:val="00EA7C8C"/>
    <w:rsid w:val="00F74A19"/>
    <w:rsid w:val="024E055D"/>
    <w:rsid w:val="02631DA6"/>
    <w:rsid w:val="2A1B3E58"/>
    <w:rsid w:val="42F10969"/>
    <w:rsid w:val="4E1D66E5"/>
    <w:rsid w:val="50ED2F84"/>
    <w:rsid w:val="581E45EC"/>
    <w:rsid w:val="61057A61"/>
    <w:rsid w:val="72596DA7"/>
    <w:rsid w:val="79CA470C"/>
    <w:rsid w:val="7B88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semiHidden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2"/>
    <w:uiPriority w:val="99"/>
    <w:rPr>
      <w:sz w:val="18"/>
      <w:szCs w:val="18"/>
    </w:rPr>
  </w:style>
  <w:style w:type="paragraph" w:styleId="9">
    <w:name w:val="Quote"/>
    <w:basedOn w:val="1"/>
    <w:next w:val="1"/>
    <w:link w:val="10"/>
    <w:qFormat/>
    <w:uiPriority w:val="29"/>
    <w:pPr>
      <w:widowControl/>
      <w:spacing w:before="60" w:line="320" w:lineRule="exact"/>
    </w:pPr>
    <w:rPr>
      <w:rFonts w:eastAsiaTheme="minorEastAsia"/>
      <w:iCs/>
      <w:color w:val="000000" w:themeColor="text1"/>
      <w:kern w:val="0"/>
      <w:szCs w:val="22"/>
      <w14:textFill>
        <w14:solidFill>
          <w14:schemeClr w14:val="tx1"/>
        </w14:solidFill>
      </w14:textFill>
    </w:rPr>
  </w:style>
  <w:style w:type="character" w:customStyle="1" w:styleId="10">
    <w:name w:val="引用 Char"/>
    <w:basedOn w:val="5"/>
    <w:link w:val="9"/>
    <w:qFormat/>
    <w:uiPriority w:val="29"/>
    <w:rPr>
      <w:rFonts w:ascii="Times New Roman" w:hAnsi="Times New Roman" w:cs="Times New Roman"/>
      <w:iCs/>
      <w:color w:val="000000" w:themeColor="text1"/>
      <w:kern w:val="0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129</Words>
  <Characters>739</Characters>
  <Lines>6</Lines>
  <Paragraphs>1</Paragraphs>
  <TotalTime>20</TotalTime>
  <ScaleCrop>false</ScaleCrop>
  <LinksUpToDate>false</LinksUpToDate>
  <CharactersWithSpaces>867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2024-01-26T14:04:00Z</dcterms:created>
  <dc:creator>王以明</dc:creator>
  <cp:lastModifiedBy>Ayaxita</cp:lastModifiedBy>
  <dcterms:modified xsi:type="dcterms:W3CDTF">2026-03-27T04:37:28Z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DD453AC8C3C24A728266215BA56F725A_12</vt:lpwstr>
  </property>
</Properties>
</file>