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LAB 99: Sample Structure Reference</w:t>
      </w:r>
    </w:p>
    <w:p>
      <w:pPr>
        <w:pBdr>
          <w:bottom w:val="single" w:color="2E75B6" w:sz="6" w:space="8"/>
        </w:pBd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 short demo doc showing the target hierarchy</w:t>
      </w:r>
    </w:p>
    <w:p>
      <w:pPr>
        <w:pStyle w:val="Heading2"/>
      </w:pPr>
      <w:r>
        <w:t xml:space="preserve">Table of Contents</w:t>
      </w:r>
    </w:p>
    <w:p>
      <w:pPr>
        <w:tabs>
          <w:tab w:val="right" w:pos="9350" w:leader="dot"/>
        </w:tabs>
        <w:spacing w:after="80"/>
      </w:pPr>
      <w:r>
        <w:rPr>
          <w:rFonts w:ascii="Calibri" w:cs="Calibri" w:eastAsia="Calibri" w:hAnsi="Calibri"/>
          <w:color w:val="3B3B3B"/>
          <w:sz w:val="22"/>
          <w:szCs w:val="22"/>
        </w:rPr>
        <w:t xml:space="preserve">Part A: Overview</w:t>
      </w:r>
      <w:r>
        <w:rPr>
          <w:rFonts w:ascii="Calibri" w:cs="Calibri" w:eastAsia="Calibri" w:hAnsi="Calibri"/>
          <w:color w:val="3B3B3B"/>
          <w:sz w:val="22"/>
          <w:szCs w:val="22"/>
        </w:rPr>
        <w:t xml:space="preserve">	2</w:t>
      </w:r>
    </w:p>
    <w:p>
      <w:pPr>
        <w:tabs>
          <w:tab w:val="right" w:pos="9350" w:leader="dot"/>
        </w:tabs>
        <w:spacing w:after="80"/>
        <w:ind w:left="26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1. A Heading 2 (a numbered section)</w:t>
      </w:r>
      <w:r>
        <w:rPr>
          <w:rFonts w:ascii="Calibri" w:cs="Calibri" w:eastAsia="Calibri" w:hAnsi="Calibri"/>
          <w:color w:val="3B3B3B"/>
          <w:sz w:val="21"/>
          <w:szCs w:val="21"/>
        </w:rPr>
        <w:t xml:space="preserve">	2</w:t>
      </w:r>
    </w:p>
    <w:p>
      <w:pPr>
        <w:tabs>
          <w:tab w:val="right" w:pos="9350" w:leader="dot"/>
        </w:tabs>
        <w:spacing w:after="80"/>
        <w:ind w:left="26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2. Bullets and sub-bullets</w:t>
      </w:r>
      <w:r>
        <w:rPr>
          <w:rFonts w:ascii="Calibri" w:cs="Calibri" w:eastAsia="Calibri" w:hAnsi="Calibri"/>
          <w:color w:val="3B3B3B"/>
          <w:sz w:val="21"/>
          <w:szCs w:val="21"/>
        </w:rPr>
        <w:t xml:space="preserve">	2</w:t>
      </w:r>
    </w:p>
    <w:p>
      <w:pPr>
        <w:tabs>
          <w:tab w:val="right" w:pos="9350" w:leader="dot"/>
        </w:tabs>
        <w:spacing w:after="80"/>
        <w:ind w:left="26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3. Numbered steps</w:t>
      </w:r>
      <w:r>
        <w:rPr>
          <w:rFonts w:ascii="Calibri" w:cs="Calibri" w:eastAsia="Calibri" w:hAnsi="Calibri"/>
          <w:color w:val="3B3B3B"/>
          <w:sz w:val="21"/>
          <w:szCs w:val="21"/>
        </w:rPr>
        <w:t xml:space="preserve">	2</w:t>
      </w:r>
    </w:p>
    <w:p>
      <w:pPr>
        <w:tabs>
          <w:tab w:val="right" w:pos="9350" w:leader="dot"/>
        </w:tabs>
        <w:spacing w:after="80"/>
        <w:ind w:left="26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4. A code / terminal block</w:t>
      </w:r>
      <w:r>
        <w:rPr>
          <w:rFonts w:ascii="Calibri" w:cs="Calibri" w:eastAsia="Calibri" w:hAnsi="Calibri"/>
          <w:color w:val="3B3B3B"/>
          <w:sz w:val="21"/>
          <w:szCs w:val="21"/>
        </w:rPr>
        <w:t xml:space="preserve">	2</w:t>
      </w:r>
    </w:p>
    <w:p>
      <w:pPr>
        <w:tabs>
          <w:tab w:val="right" w:pos="9350" w:leader="dot"/>
        </w:tabs>
        <w:spacing w:after="80"/>
        <w:ind w:left="26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5. Note, warning, and danger boxes</w:t>
      </w:r>
      <w:r>
        <w:rPr>
          <w:rFonts w:ascii="Calibri" w:cs="Calibri" w:eastAsia="Calibri" w:hAnsi="Calibri"/>
          <w:color w:val="3B3B3B"/>
          <w:sz w:val="21"/>
          <w:szCs w:val="21"/>
        </w:rPr>
        <w:t xml:space="preserve">	3</w:t>
      </w:r>
    </w:p>
    <w:p>
      <w:pPr>
        <w:tabs>
          <w:tab w:val="right" w:pos="9350" w:leader="dot"/>
        </w:tabs>
        <w:spacing w:after="80"/>
        <w:ind w:left="26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6. A data table</w:t>
      </w:r>
      <w:r>
        <w:rPr>
          <w:rFonts w:ascii="Calibri" w:cs="Calibri" w:eastAsia="Calibri" w:hAnsi="Calibri"/>
          <w:color w:val="3B3B3B"/>
          <w:sz w:val="21"/>
          <w:szCs w:val="21"/>
        </w:rPr>
        <w:t xml:space="preserve">	3</w:t>
      </w:r>
    </w:p>
    <w:p>
      <w:pPr>
        <w:tabs>
          <w:tab w:val="right" w:pos="9350" w:leader="dot"/>
        </w:tabs>
        <w:spacing w:after="80"/>
      </w:pPr>
      <w:r>
        <w:rPr>
          <w:rFonts w:ascii="Calibri" w:cs="Calibri" w:eastAsia="Calibri" w:hAnsi="Calibri"/>
          <w:color w:val="3B3B3B"/>
          <w:sz w:val="22"/>
          <w:szCs w:val="22"/>
        </w:rPr>
        <w:t xml:space="preserve">Part B: Confirming This Is Right</w:t>
      </w:r>
      <w:r>
        <w:rPr>
          <w:rFonts w:ascii="Calibri" w:cs="Calibri" w:eastAsia="Calibri" w:hAnsi="Calibri"/>
          <w:color w:val="3B3B3B"/>
          <w:sz w:val="22"/>
          <w:szCs w:val="22"/>
        </w:rPr>
        <w:t xml:space="preserve">	3</w:t>
      </w:r>
    </w:p>
    <w:p>
      <w:r>
        <w:br w:type="page"/>
      </w:r>
    </w:p>
    <w:p>
      <w:pPr>
        <w:pStyle w:val="Heading1"/>
      </w:pPr>
      <w:r>
        <w:t xml:space="preserve">Part A: Overview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color w:val="3B3B3B"/>
          <w:sz w:val="22"/>
          <w:szCs w:val="22"/>
        </w:rPr>
        <w:t xml:space="preserve">This is a normal body paragraph. It's the default reading level of the document — justified, one consistent font and size, comfortable line spacing. Everything below this paragraph demonstrates one structural element each: a numbered heading, a lettered sub-heading, bullets with a nested sub-bullet, a numbered step list, a code block, a data table, and three kinds of callout box.</w:t>
      </w:r>
    </w:p>
    <w:p>
      <w:pPr>
        <w:pStyle w:val="Heading2"/>
      </w:pPr>
      <w:r>
        <w:t xml:space="preserve">1. A Heading 2 (a numbered section)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color w:val="3B3B3B"/>
          <w:sz w:val="22"/>
          <w:szCs w:val="22"/>
        </w:rPr>
        <w:t xml:space="preserve">Heading 2 is for the numbered sections labs are usually broken into — the level someone scanning the table of contents cares about most.</w:t>
      </w:r>
    </w:p>
    <w:p>
      <w:pPr>
        <w:pStyle w:val="Heading3"/>
      </w:pPr>
      <w:r>
        <w:t xml:space="preserve">a) A Heading 3 (a lettered sub-step)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color w:val="3B3B3B"/>
          <w:sz w:val="22"/>
          <w:szCs w:val="22"/>
        </w:rPr>
        <w:t xml:space="preserve">Heading 3 is for a sub-step inside a numbered section — smaller, italic, same body color so it reads as ‘part of 1.’ rather than a new topic.</w:t>
      </w:r>
    </w:p>
    <w:p>
      <w:pPr>
        <w:pStyle w:val="Heading2"/>
      </w:pPr>
      <w:r>
        <w:t xml:space="preserve">2. Bullets and sub-bullets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3B3B3B"/>
          <w:sz w:val="22"/>
          <w:szCs w:val="22"/>
        </w:rPr>
        <w:t xml:space="preserve">A top-level bullet point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3B3B3B"/>
          <w:sz w:val="22"/>
          <w:szCs w:val="22"/>
        </w:rPr>
        <w:t xml:space="preserve">Another top-level bullet</w:t>
      </w:r>
    </w:p>
    <w:p>
      <w:pPr>
        <w:pStyle w:val="ListParagraph"/>
        <w:numPr>
          <w:ilvl w:val="1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3B3B3B"/>
          <w:sz w:val="22"/>
          <w:szCs w:val="22"/>
        </w:rPr>
        <w:t xml:space="preserve">A nested sub-bullet, one level in</w:t>
      </w:r>
    </w:p>
    <w:p>
      <w:pPr>
        <w:pStyle w:val="ListParagraph"/>
        <w:numPr>
          <w:ilvl w:val="1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3B3B3B"/>
          <w:sz w:val="22"/>
          <w:szCs w:val="22"/>
        </w:rPr>
        <w:t xml:space="preserve">A second nested sub-bullet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3B3B3B"/>
          <w:sz w:val="22"/>
          <w:szCs w:val="22"/>
        </w:rPr>
        <w:t xml:space="preserve">Back to a top-level bullet</w:t>
      </w:r>
    </w:p>
    <w:p>
      <w:pPr>
        <w:pStyle w:val="Heading2"/>
      </w:pPr>
      <w:r>
        <w:t xml:space="preserve">3. Numbered steps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Calibri" w:cs="Calibri" w:eastAsia="Calibri" w:hAnsi="Calibri"/>
          <w:color w:val="3B3B3B"/>
          <w:sz w:val="22"/>
          <w:szCs w:val="22"/>
        </w:rPr>
        <w:t xml:space="preserve">First, do this.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Calibri" w:cs="Calibri" w:eastAsia="Calibri" w:hAnsi="Calibri"/>
          <w:color w:val="3B3B3B"/>
          <w:sz w:val="22"/>
          <w:szCs w:val="22"/>
        </w:rPr>
        <w:t xml:space="preserve">Then, do this.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Calibri" w:cs="Calibri" w:eastAsia="Calibri" w:hAnsi="Calibri"/>
          <w:color w:val="3B3B3B"/>
          <w:sz w:val="22"/>
          <w:szCs w:val="22"/>
        </w:rPr>
        <w:t xml:space="preserve">Finally, verify the result.</w:t>
      </w:r>
    </w:p>
    <w:p>
      <w:pPr>
        <w:pStyle w:val="Heading2"/>
      </w:pPr>
      <w:r>
        <w:t xml:space="preserve">4. A code / terminal block</w:t>
      </w:r>
    </w:p>
    <w:tbl>
      <w:tblPr>
        <w:tblW w:type="pct" w:w="100%"/>
        <w:tblBorders>
          <w:top w:val="single" w:color="3A3A3A" w:sz="2"/>
          <w:left w:val="single" w:color="3A3A3A" w:sz="2"/>
          <w:bottom w:val="single" w:color="3A3A3A" w:sz="2"/>
          <w:right w:val="single" w:color="3A3A3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[root@vm1 ~]# systemctl status chronyd.service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● chronyd.service - NTP client/server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Active: active (running)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 Note, warning, and danger boxes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color w:val="3B3B3B"/>
          <w:sz w:val="22"/>
          <w:szCs w:val="22"/>
        </w:rPr>
        <w:t xml:space="preserve">Three severity levels, each visually distinct at a glance:</w:t>
      </w:r>
    </w:p>
    <w:tbl>
      <w:tblPr>
        <w:tblW w:type="pct" w:w="100%"/>
        <w:tblBorders>
          <w:top w:val="single" w:color="2E75B6" w:sz="4"/>
          <w:left w:val="single" w:color="2E75B6" w:sz="36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F1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NOTE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B3B3B"/>
                <w:sz w:val="21"/>
                <w:szCs w:val="21"/>
              </w:rPr>
              <w:t xml:space="preserve">Background context or a helpful tip — safe to skip, useful to know.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C97A0C" w:sz="4"/>
          <w:left w:val="single" w:color="C97A0C" w:sz="36"/>
          <w:bottom w:val="single" w:color="C97A0C" w:sz="4"/>
          <w:right w:val="single" w:color="C97A0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4E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5000"/>
                <w:sz w:val="20"/>
                <w:szCs w:val="20"/>
              </w:rPr>
              <w:t xml:space="preserve">WARNING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B3B3B"/>
                <w:sz w:val="21"/>
                <w:szCs w:val="21"/>
              </w:rPr>
              <w:t xml:space="preserve">Something that can cause a mistake or rework if you skip it — read before proceeding.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3261E" w:sz="4"/>
          <w:left w:val="single" w:color="B3261E" w:sz="36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CEAE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C1D14"/>
                <w:sz w:val="20"/>
                <w:szCs w:val="20"/>
              </w:rPr>
              <w:t xml:space="preserve">DANGER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B3B3B"/>
                <w:sz w:val="21"/>
                <w:szCs w:val="21"/>
              </w:rPr>
              <w:t xml:space="preserve">Something that can break the system, lose data, or lock you out — stop and double-check.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 A data table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3212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Used for</w:t>
            </w:r>
          </w:p>
        </w:tc>
        <w:tc>
          <w:tcPr>
            <w:tcW w:type="dxa" w:w="3212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Visual cue</w:t>
            </w:r>
          </w:p>
        </w:tc>
      </w:tr>
      <w:tr>
        <w:tc>
          <w:tcPr>
            <w:tcW w:type="dxa" w:w="3212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B3B3B"/>
                <w:sz w:val="21"/>
                <w:szCs w:val="21"/>
              </w:rPr>
              <w:t xml:space="preserve">Heading 1</w:t>
            </w:r>
          </w:p>
        </w:tc>
        <w:tc>
          <w:tcPr>
            <w:tcW w:type="dxa" w:w="3212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B3B3B"/>
                <w:sz w:val="21"/>
                <w:szCs w:val="21"/>
              </w:rPr>
              <w:t xml:space="preserve">Major part (Part A, Part B...)</w:t>
            </w:r>
          </w:p>
        </w:tc>
        <w:tc>
          <w:tcPr>
            <w:tcW w:type="dxa" w:w="3212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B3B3B"/>
                <w:sz w:val="21"/>
                <w:szCs w:val="21"/>
              </w:rPr>
              <w:t xml:space="preserve">Large, navy, bold</w:t>
            </w:r>
          </w:p>
        </w:tc>
      </w:tr>
      <w:tr>
        <w:tc>
          <w:tcPr>
            <w:tcW w:type="dxa" w:w="321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B3B3B"/>
                <w:sz w:val="21"/>
                <w:szCs w:val="21"/>
              </w:rPr>
              <w:t xml:space="preserve">Heading 2</w:t>
            </w:r>
          </w:p>
        </w:tc>
        <w:tc>
          <w:tcPr>
            <w:tcW w:type="dxa" w:w="321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B3B3B"/>
                <w:sz w:val="21"/>
                <w:szCs w:val="21"/>
              </w:rPr>
              <w:t xml:space="preserve">Numbered section</w:t>
            </w:r>
          </w:p>
        </w:tc>
        <w:tc>
          <w:tcPr>
            <w:tcW w:type="dxa" w:w="321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B3B3B"/>
                <w:sz w:val="21"/>
                <w:szCs w:val="21"/>
              </w:rPr>
              <w:t xml:space="preserve">Medium, blue, bold</w:t>
            </w:r>
          </w:p>
        </w:tc>
      </w:tr>
      <w:tr>
        <w:tc>
          <w:tcPr>
            <w:tcW w:type="dxa" w:w="3212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B3B3B"/>
                <w:sz w:val="21"/>
                <w:szCs w:val="21"/>
              </w:rPr>
              <w:t xml:space="preserve">Heading 3</w:t>
            </w:r>
          </w:p>
        </w:tc>
        <w:tc>
          <w:tcPr>
            <w:tcW w:type="dxa" w:w="3212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B3B3B"/>
                <w:sz w:val="21"/>
                <w:szCs w:val="21"/>
              </w:rPr>
              <w:t xml:space="preserve">Lettered sub-step</w:t>
            </w:r>
          </w:p>
        </w:tc>
        <w:tc>
          <w:tcPr>
            <w:tcW w:type="dxa" w:w="3212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B3B3B"/>
                <w:sz w:val="21"/>
                <w:szCs w:val="21"/>
              </w:rPr>
              <w:t xml:space="preserve">Small, italic</w:t>
            </w:r>
          </w:p>
        </w:tc>
      </w:tr>
      <w:tr>
        <w:tc>
          <w:tcPr>
            <w:tcW w:type="dxa" w:w="321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B3B3B"/>
                <w:sz w:val="21"/>
                <w:szCs w:val="21"/>
              </w:rPr>
              <w:t xml:space="preserve">Note</w:t>
            </w:r>
          </w:p>
        </w:tc>
        <w:tc>
          <w:tcPr>
            <w:tcW w:type="dxa" w:w="321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B3B3B"/>
                <w:sz w:val="21"/>
                <w:szCs w:val="21"/>
              </w:rPr>
              <w:t xml:space="preserve">Helpful context</w:t>
            </w:r>
          </w:p>
        </w:tc>
        <w:tc>
          <w:tcPr>
            <w:tcW w:type="dxa" w:w="321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B3B3B"/>
                <w:sz w:val="21"/>
                <w:szCs w:val="21"/>
              </w:rPr>
              <w:t xml:space="preserve">Blue box</w:t>
            </w:r>
          </w:p>
        </w:tc>
      </w:tr>
      <w:tr>
        <w:tc>
          <w:tcPr>
            <w:tcW w:type="dxa" w:w="3212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B3B3B"/>
                <w:sz w:val="21"/>
                <w:szCs w:val="21"/>
              </w:rPr>
              <w:t xml:space="preserve">Warning</w:t>
            </w:r>
          </w:p>
        </w:tc>
        <w:tc>
          <w:tcPr>
            <w:tcW w:type="dxa" w:w="3212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B3B3B"/>
                <w:sz w:val="21"/>
                <w:szCs w:val="21"/>
              </w:rPr>
              <w:t xml:space="preserve">Avoid a mistake</w:t>
            </w:r>
          </w:p>
        </w:tc>
        <w:tc>
          <w:tcPr>
            <w:tcW w:type="dxa" w:w="3212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B3B3B"/>
                <w:sz w:val="21"/>
                <w:szCs w:val="21"/>
              </w:rPr>
              <w:t xml:space="preserve">Amber box</w:t>
            </w:r>
          </w:p>
        </w:tc>
      </w:tr>
      <w:tr>
        <w:tc>
          <w:tcPr>
            <w:tcW w:type="dxa" w:w="321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B3B3B"/>
                <w:sz w:val="21"/>
                <w:szCs w:val="21"/>
              </w:rPr>
              <w:t xml:space="preserve">Danger</w:t>
            </w:r>
          </w:p>
        </w:tc>
        <w:tc>
          <w:tcPr>
            <w:tcW w:type="dxa" w:w="321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B3B3B"/>
                <w:sz w:val="21"/>
                <w:szCs w:val="21"/>
              </w:rPr>
              <w:t xml:space="preserve">Avoid real damage</w:t>
            </w:r>
          </w:p>
        </w:tc>
        <w:tc>
          <w:tcPr>
            <w:tcW w:type="dxa" w:w="321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B3B3B"/>
                <w:sz w:val="21"/>
                <w:szCs w:val="21"/>
              </w:rPr>
              <w:t xml:space="preserve">Red box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Part B: Confirming This Is Right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color w:val="3B3B3B"/>
          <w:sz w:val="22"/>
          <w:szCs w:val="22"/>
        </w:rPr>
        <w:t xml:space="preserve">If this hierarchy, these callout boxes, and this table style match what you had in mind, the next step is wiring note/warning/danger detection and a table of contents into docformat.py itself — as an explicit convention (e.g. lines starting with ‘Note:’, ‘Warning:’, ‘Danger:’) rather than another guess.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LAB 99: SAMPLE STRUCTURE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60"/>
      </w:pPr>
    </w:lvl>
    <w:lvl w:ilvl="1" w15:tentative="1">
      <w:start w:val="1"/>
      <w:numFmt w:val="bullet"/>
      <w:lvlText w:val="◦"/>
      <w:lvlJc w:val="left"/>
      <w:pPr>
        <w:ind w:left="12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B3B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 w:val="false"/>
      <w:bCs w:val="false"/>
      <w:i/>
      <w:iCs/>
      <w:color w:val="3B3B3B"/>
      <w:sz w:val="24"/>
      <w:szCs w:val="24"/>
    </w:rPr>
  </w:style>
  <w:style w:type="paragraph" w:styleId="Title">
    <w:name w:val="Title"/>
    <w:basedOn w:val="Normal"/>
    <w:next w:val="Normal"/>
    <w:qFormat/>
    <w:pPr>
      <w:spacing w:after="120"/>
      <w:jc w:val="center"/>
    </w:pPr>
    <w:rPr>
      <w:rFonts w:ascii="Calibri" w:cs="Calibri" w:eastAsia="Calibri" w:hAnsi="Calibri"/>
      <w:b/>
      <w:bCs/>
      <w:color w:val="1F4E79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2026-08-25T05:03:49.159Z</dcterms:created>
  <dcterms:modified xsi:type="dcterms:W3CDTF">2026-08-25T05:03:49.159Z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