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EB6C36"/>
          <w:spacing w:val="40"/>
          <w:sz w:val="20"/>
          <w:szCs w:val="20"/>
        </w:rPr>
        <w:t xml:space="preserve">PLA · DURUM DEĞERLENDİRMESİ</w:t>
      </w:r>
    </w:p>
    <w:p>
      <w:pPr>
        <w:spacing w:after="80"/>
      </w:pPr>
      <w:r>
        <w:rPr>
          <w:b/>
          <w:bCs/>
          <w:color w:val="2D3142"/>
          <w:sz w:val="44"/>
          <w:szCs w:val="44"/>
        </w:rPr>
        <w:t xml:space="preserve">Gidişat, Risk Analizi ve Yol Haritası</w:t>
      </w:r>
    </w:p>
    <w:p>
      <w:pPr>
        <w:pBdr>
          <w:bottom w:val="single" w:color="EB6C36" w:sz="8" w:space="8"/>
        </w:pBdr>
        <w:spacing w:after="120"/>
      </w:pPr>
      <w:r>
        <w:rPr>
          <w:color w:val="4F5D75"/>
          <w:sz w:val="19"/>
          <w:szCs w:val="19"/>
        </w:rPr>
        <w:t xml:space="preserve">27 Eylül 2026 · Dayanak: PRD v0.3 ve SRS v1.0 inceleme taslağı · Hazırlayan: Ayberk Cerit (Claude ile)</w:t>
      </w:r>
    </w:p>
    <w:p>
      <w:pPr>
        <w:spacing w:after="240"/>
      </w:pPr>
      <w:r>
        <w:rPr>
          <w:i/>
          <w:iCs/>
          <w:color w:val="7A8399"/>
          <w:sz w:val="18"/>
          <w:szCs w:val="18"/>
        </w:rPr>
        <w:t xml:space="preserve">Bu belge SRS'i değiştirmez; yalnız değerlendirme ve önerileri içerir. Öneriler kabul edilirse ilgili değişiklikler PRD v0.4 ve SRS v1.1'e işlenir.</w:t>
      </w:r>
    </w:p>
    <w:p>
      <w:pPr>
        <w:pStyle w:val="Heading1"/>
      </w:pPr>
      <w:r>
        <w:t xml:space="preserve">1. Yönetici Özeti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Temel sağlam.</w:t>
      </w:r>
      <w:r>
        <w:t xml:space="preserve"> Kapsam, mimari ilkeler ve belgeler tutarlı. Üç gözden geçirme turunda beş kritik veri güvenliği açığı, daha kod yazılmadan kapatıldı.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Denge bozuluyor.</w:t>
      </w:r>
      <w:r>
        <w:t xml:space="preserve"> 66 sayfa SRS, 267 gereksinim, 40 bekleyen karar var ama henüz hiç kod yazılmadı. Daha fazla belge artık belirsizliği azaltmıyor.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En riskli varsayım test edilmedi.</w:t>
      </w:r>
      <w:r>
        <w:t xml:space="preserve"> Ürünün değeri, küçük yerel modelin Türkçe notlardan doğru çıkarım yapmasına bağlı. Bu varsayım ilk kilometre taşlarında değil, M1–M2'de sınanıyor.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Öncelikler ayırt edici değil.</w:t>
      </w:r>
      <w:r>
        <w:t xml:space="preserve"> Gereksinimlerin %79'u "Yüksek". Zaman daraldığında neyin bırakılacağı belli değil.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Önerilen sıra:</w:t>
      </w:r>
      <w:r>
        <w:t xml:space="preserve"> 1–2 günlük karar turu → 1 haftalık model fizibilite denemesi → 2 haftalık yürüyen iskelet → 3 haftalık dikey dilim (not → görev) ve demo.</w:t>
      </w:r>
    </w:p>
    <w:p>
      <w:pPr>
        <w:pStyle w:val="Heading1"/>
      </w:pPr>
      <w:r>
        <w:t xml:space="preserve">2. Gidişat Çıkarımları</w:t>
      </w:r>
    </w:p>
    <w:p>
      <w:pPr>
        <w:keepNext/>
        <w:spacing w:after="60" w:before="120"/>
      </w:pPr>
      <w:r>
        <w:rPr>
          <w:b/>
          <w:bCs/>
          <w:color w:val="4F5D75"/>
          <w:sz w:val="17"/>
          <w:szCs w:val="17"/>
        </w:rPr>
        <w:t xml:space="preserve">Tablo 1 — Durum göstergeleri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14"/>
        <w:gridCol w:w="3810"/>
        <w:gridCol w:w="3448"/>
      </w:tblGrid>
      <w:tr>
        <w:trPr>
          <w:tblHeader/>
        </w:trPr>
        <w:tc>
          <w:tcPr>
            <w:tcW w:type="dxa" w:w="1814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E8E9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Gösterge</w:t>
            </w:r>
          </w:p>
        </w:tc>
        <w:tc>
          <w:tcPr>
            <w:tcW w:type="dxa" w:w="3810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E8E9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Durum</w:t>
            </w:r>
          </w:p>
        </w:tc>
        <w:tc>
          <w:tcPr>
            <w:tcW w:type="dxa" w:w="344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E8E9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Yorum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Belgeler</w:t>
            </w:r>
          </w:p>
        </w:tc>
        <w:tc>
          <w:tcPr>
            <w:tcW w:type="dxa" w:w="3810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PRD v0.3, SRS v1.0 taslak (66 s.), 9 diyagram</w:t>
            </w:r>
          </w:p>
        </w:tc>
        <w:tc>
          <w:tcPr>
            <w:tcW w:type="dxa" w:w="344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Yeterli; kodlamaya başlamak için eksik yok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Kod</w:t>
            </w:r>
          </w:p>
        </w:tc>
        <w:tc>
          <w:tcPr>
            <w:tcW w:type="dxa" w:w="3810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 satır</w:t>
            </w:r>
          </w:p>
        </w:tc>
        <w:tc>
          <w:tcPr>
            <w:tcW w:type="dxa" w:w="344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Tüm commit'ler belge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Açık kararlar</w:t>
            </w:r>
          </w:p>
        </w:tc>
        <w:tc>
          <w:tcPr>
            <w:tcW w:type="dxa" w:w="3810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40 inisiyatif kararı + 9 TBD</w:t>
            </w:r>
          </w:p>
        </w:tc>
        <w:tc>
          <w:tcPr>
            <w:tcW w:type="dxa" w:w="344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Hiçbiri kodlamayı engellemiyor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Öncelik dağılımı</w:t>
            </w:r>
          </w:p>
        </w:tc>
        <w:tc>
          <w:tcPr>
            <w:tcW w:type="dxa" w:w="3810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212 Yüksek / 53 Orta / 2 Düşük</w:t>
            </w:r>
          </w:p>
        </w:tc>
        <w:tc>
          <w:tcPr>
            <w:tcW w:type="dxa" w:w="344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Kesme çizgisi yok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Depo</w:t>
            </w:r>
          </w:p>
        </w:tc>
        <w:tc>
          <w:tcPr>
            <w:tcW w:type="dxa" w:w="3810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 commit push bekliyor; README eski C++/Qt planını anlatıyor</w:t>
            </w:r>
          </w:p>
        </w:tc>
        <w:tc>
          <w:tcPr>
            <w:tcW w:type="dxa" w:w="344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Portföy okuyucusunu yanıltır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 geçmişi</w:t>
            </w:r>
          </w:p>
        </w:tc>
        <w:tc>
          <w:tcPr>
            <w:tcW w:type="dxa" w:w="3810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Nisan 2026 başlangıç → 5,5 ay ara → Eylül yeniden başlangıç</w:t>
            </w:r>
          </w:p>
        </w:tc>
        <w:tc>
          <w:tcPr>
            <w:tcW w:type="dxa" w:w="344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Yeniden durma riski gerçek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Ç1 — Belge yatırımı karşılığını verdi.</w:t>
      </w:r>
      <w:r>
        <w:t xml:space="preserve"> Vault başına veritabanı, hash tabanlı blok kimliği, göreli tarih referansı, çıkarım döngüsü ve yedek dışı kalan veri gibi sorunlar kodda bulunsaydı düzeltmesi çok daha pahalı olurdu.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Ç2 — Belgeleme doygunluğa ulaştı.</w:t>
      </w:r>
      <w:r>
        <w:t xml:space="preserve"> Kalan belirsizlikler (model kalitesi, bulanık eşleştirme, RAM, kullanıcı deneyimi) ancak kodla ve ölçümle çözülür.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Ç3 — Risk sırası ters.</w:t>
      </w:r>
      <w:r>
        <w:t xml:space="preserve"> M0 editörle başlıyor. Ürünün asıl değeri ve en büyük belirsizliği ise M1–M2'deki çıkarımda. Önce en riskli varsayım doğrulanmalı.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Ç4 — "Yüksek" önceliğin anlamı kalmadı.</w:t>
      </w:r>
      <w:r>
        <w:t xml:space="preserve"> 267 gereksinimin 212'si Yüksek. Tek kişilik bir projede bu, her şeyin eşit derecede zorunlu olduğu anlamına gelir ve planlamayı zorlaştırır.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Ç5 — Teknoloji yükü yüksek.</w:t>
      </w:r>
      <w:r>
        <w:t xml:space="preserve"> Rust, Tauri 2, Svelte 5, llama.cpp ve sqlite-vec aynı anda öğreniliyor. Geçmişte duraklamış bir projede bu, en olası yavaşlama nedenidir.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Ç6 — Varsayılan vault konumu senkron klasörüne düşüyor.</w:t>
      </w:r>
      <w:r>
        <w:t xml:space="preserve"> Bu makinede Belgeler = </w:t>
      </w:r>
      <w:r>
        <w:rPr>
          <w:rFonts w:ascii="Consolas" w:cs="Consolas" w:eastAsia="Consolas" w:hAnsi="Consolas"/>
          <w:sz w:val="19"/>
          <w:szCs w:val="19"/>
        </w:rPr>
        <w:t xml:space="preserve">OneDrive\Belgeler</w:t>
      </w:r>
      <w:r>
        <w:t xml:space="preserve">. SRS bulut senkron klasörünü destekleniyor sayıyor ama bu test edilmedi. Test edilmeden varsayılan konum olarak bırakılmamalı.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Ç7 — Portföy değeri demoyla başlar.</w:t>
      </w:r>
      <w:r>
        <w:t xml:space="preserve"> AI/ML stajı hedefi açısından belgeler ikincil kalır. Değer, çalışan bir dikey dilim ve ölçülmüş model sonuçlarıyla oluşur.</w:t>
      </w:r>
    </w:p>
    <w:p>
      <w:pPr>
        <w:pStyle w:val="Heading1"/>
      </w:pPr>
      <w:r>
        <w:t xml:space="preserve">3. Risk Analizi</w:t>
      </w:r>
    </w:p>
    <w:p>
      <w:pPr>
        <w:spacing w:after="120" w:line="276"/>
      </w:pPr>
      <w:r>
        <w:t xml:space="preserve">Olasılık (O) ve etki (E) 1–3 arasında puanlandı; </w:t>
      </w:r>
      <w:r>
        <w:rPr>
          <w:b/>
          <w:bCs/>
        </w:rPr>
        <w:t xml:space="preserve">skor = O × E</w:t>
      </w:r>
      <w:r>
        <w:t xml:space="preserve">. Skoru 6 ve üzeri olanlar yüksek, 3–4 olanlar orta, 1–2 olanlar düşük risktir.</w:t>
      </w:r>
    </w:p>
    <w:p>
      <w:pPr>
        <w:keepNext/>
        <w:spacing w:after="60" w:before="120"/>
      </w:pPr>
      <w:r>
        <w:rPr>
          <w:b/>
          <w:bCs/>
          <w:color w:val="4F5D75"/>
          <w:sz w:val="17"/>
          <w:szCs w:val="17"/>
        </w:rPr>
        <w:t xml:space="preserve">Tablo 2 — Risk matrisi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26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E8E9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26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E8E9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Etki düşük (1)</w:t>
            </w:r>
          </w:p>
        </w:tc>
        <w:tc>
          <w:tcPr>
            <w:tcW w:type="dxa" w:w="226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E8E9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Etki orta (2)</w:t>
            </w:r>
          </w:p>
        </w:tc>
        <w:tc>
          <w:tcPr>
            <w:tcW w:type="dxa" w:w="226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E8E9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Etki yüksek (3)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Olasılık yüksek (3)</w:t>
            </w:r>
          </w:p>
        </w:tc>
        <w:tc>
          <w:tcPr>
            <w:tcW w:type="dxa" w:w="226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FBE3C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26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F6C9C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R3, R6</w:t>
            </w:r>
          </w:p>
        </w:tc>
        <w:tc>
          <w:tcPr>
            <w:tcW w:type="dxa" w:w="226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F6C9C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Olasılık orta (2)</w:t>
            </w:r>
          </w:p>
        </w:tc>
        <w:tc>
          <w:tcPr>
            <w:tcW w:type="dxa" w:w="226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DDEF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R11, R12</w:t>
            </w:r>
          </w:p>
        </w:tc>
        <w:tc>
          <w:tcPr>
            <w:tcW w:type="dxa" w:w="226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FBE3C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R7, R8, R9, R10</w:t>
            </w:r>
          </w:p>
        </w:tc>
        <w:tc>
          <w:tcPr>
            <w:tcW w:type="dxa" w:w="226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F6C9C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R2, R4, R5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Olasılık düşük (1)</w:t>
            </w:r>
          </w:p>
        </w:tc>
        <w:tc>
          <w:tcPr>
            <w:tcW w:type="dxa" w:w="226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DDEF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26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DDEF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R13</w:t>
            </w:r>
          </w:p>
        </w:tc>
        <w:tc>
          <w:tcPr>
            <w:tcW w:type="dxa" w:w="226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FBE3C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  <w:color w:val="4F5D75"/>
          <w:sz w:val="17"/>
          <w:szCs w:val="17"/>
        </w:rPr>
        <w:t xml:space="preserve">Tablo 3 — Risk kaydı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4"/>
        <w:gridCol w:w="2631"/>
        <w:gridCol w:w="363"/>
        <w:gridCol w:w="363"/>
        <w:gridCol w:w="998"/>
        <w:gridCol w:w="1452"/>
        <w:gridCol w:w="2811"/>
      </w:tblGrid>
      <w:tr>
        <w:trPr>
          <w:tblHeader/>
        </w:trPr>
        <w:tc>
          <w:tcPr>
            <w:tcW w:type="dxa" w:w="454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E8E9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2631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E8E9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Risk</w:t>
            </w:r>
          </w:p>
        </w:tc>
        <w:tc>
          <w:tcPr>
            <w:tcW w:type="dxa" w:w="36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E8E9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O</w:t>
            </w:r>
          </w:p>
        </w:tc>
        <w:tc>
          <w:tcPr>
            <w:tcW w:type="dxa" w:w="36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E8E9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E</w:t>
            </w:r>
          </w:p>
        </w:tc>
        <w:tc>
          <w:tcPr>
            <w:tcW w:type="dxa" w:w="99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E8E9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Skor</w:t>
            </w:r>
          </w:p>
        </w:tc>
        <w:tc>
          <w:tcPr>
            <w:tcW w:type="dxa" w:w="1452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E8E9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Erken uyarı</w:t>
            </w:r>
          </w:p>
        </w:tc>
        <w:tc>
          <w:tcPr>
            <w:tcW w:type="dxa" w:w="2811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E8E9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Önlem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R1</w:t>
            </w:r>
          </w:p>
        </w:tc>
        <w:tc>
          <w:tcPr>
            <w:tcW w:type="dxa" w:w="2631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Küçük yerel modelin Türkçe çıkarım doğruluğu hedefin (≥ %85) altında kalır.</w:t>
            </w:r>
          </w:p>
        </w:tc>
        <w:tc>
          <w:tcPr>
            <w:tcW w:type="dxa" w:w="36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6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99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F6C9C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9 — Yüksek</w:t>
            </w:r>
          </w:p>
        </w:tc>
        <w:tc>
          <w:tcPr>
            <w:tcW w:type="dxa" w:w="1452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Denemede alan doğruluğu &lt; %75</w:t>
            </w:r>
          </w:p>
        </w:tc>
        <w:tc>
          <w:tcPr>
            <w:tcW w:type="dxa" w:w="2811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Model fizibilite denemesini ilk iş yap (F1); iki adımlı çıkarım; 3–4B model; gerekirse fine-tuning'i (M7) öne çek veya kapsamı yalnız görev çıkarımına daralt.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R2</w:t>
            </w:r>
          </w:p>
        </w:tc>
        <w:tc>
          <w:tcPr>
            <w:tcW w:type="dxa" w:w="2631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Proje yeniden durur (okul yükü, motivasyon, uzun süre görünür sonuç olmaması). Nisan 2026'da başlayan proje 5,5 ay beklemişti.</w:t>
            </w:r>
          </w:p>
        </w:tc>
        <w:tc>
          <w:tcPr>
            <w:tcW w:type="dxa" w:w="36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6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99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F6C9C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 — Yüksek</w:t>
            </w:r>
          </w:p>
        </w:tc>
        <w:tc>
          <w:tcPr>
            <w:tcW w:type="dxa" w:w="1452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İki hafta boyunca çalışan kod commit'i yok</w:t>
            </w:r>
          </w:p>
        </w:tc>
        <w:tc>
          <w:tcPr>
            <w:tcW w:type="dxa" w:w="2811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2–3 haftalık kilometre taşları; her birinin sonunda çalışan demo; kendi günlük kullanımına erken sokmak; GitHub'da görünür ilerleme.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R3</w:t>
            </w:r>
          </w:p>
        </w:tc>
        <w:tc>
          <w:tcPr>
            <w:tcW w:type="dxa" w:w="2631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Belgeleme felci ve kapsam şişmesi: 267 gereksinim, 40 bekleyen karar; belgeler kodun önüne geçer.</w:t>
            </w:r>
          </w:p>
        </w:tc>
        <w:tc>
          <w:tcPr>
            <w:tcW w:type="dxa" w:w="36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6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99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F6C9C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 — Yüksek</w:t>
            </w:r>
          </w:p>
        </w:tc>
        <w:tc>
          <w:tcPr>
            <w:tcW w:type="dxa" w:w="1452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Karar turu 2 günü aşar; SRS yeniden açılır</w:t>
            </w:r>
          </w:p>
        </w:tc>
        <w:tc>
          <w:tcPr>
            <w:tcW w:type="dxa" w:w="2811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SRS'i v1.0 olarak dondur; değişiklikleri kodla birlikte küçük kayıtlarla (ADR) yap; kesme çizgisi belirle.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R4</w:t>
            </w:r>
          </w:p>
        </w:tc>
        <w:tc>
          <w:tcPr>
            <w:tcW w:type="dxa" w:w="2631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Kendi dosya yazma kodunda veri kaybı (Markdown bozma, üzerine yazma, yanlış yeniden adlandırma).</w:t>
            </w:r>
          </w:p>
        </w:tc>
        <w:tc>
          <w:tcPr>
            <w:tcW w:type="dxa" w:w="36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6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99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F6C9C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 — Yüksek</w:t>
            </w:r>
          </w:p>
        </w:tc>
        <w:tc>
          <w:tcPr>
            <w:tcW w:type="dxa" w:w="1452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Testte bozuk/yarım dosya</w:t>
            </w:r>
          </w:p>
        </w:tc>
        <w:tc>
          <w:tcPr>
            <w:tcW w:type="dxa" w:w="2811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Atomik yazma ve dış değişiklik testlerini M0'da yaz; gerçek vault yerine kopyasıyla dogfooding; basit yedeği erken ekle.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R5</w:t>
            </w:r>
          </w:p>
        </w:tc>
        <w:tc>
          <w:tcPr>
            <w:tcW w:type="dxa" w:w="2631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Varsayılan vault OneDrive'a düşer (bu makinede Belgeler = OneDrive\Belgeler); senkron, atomik yeniden adlandırma ve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.pla/backup</w:t>
            </w:r>
            <w:r>
              <w:rPr>
                <w:b w:val="false"/>
                <w:bCs w:val="false"/>
                <w:sz w:val="16"/>
                <w:szCs w:val="16"/>
              </w:rPr>
              <w:t xml:space="preserve"> kopyalarıyla çakışır.</w:t>
            </w:r>
          </w:p>
        </w:tc>
        <w:tc>
          <w:tcPr>
            <w:tcW w:type="dxa" w:w="36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6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99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F6C9C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 — Yüksek</w:t>
            </w:r>
          </w:p>
        </w:tc>
        <w:tc>
          <w:tcPr>
            <w:tcW w:type="dxa" w:w="1452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OneDrive "çakışan kopya" dosyaları</w:t>
            </w:r>
          </w:p>
        </w:tc>
        <w:tc>
          <w:tcPr>
            <w:tcW w:type="dxa" w:w="2811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Varsayılanı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%USERPROFILE%\PLA Vault</w:t>
            </w:r>
            <w:r>
              <w:rPr>
                <w:b w:val="false"/>
                <w:bCs w:val="false"/>
                <w:sz w:val="16"/>
                <w:szCs w:val="16"/>
              </w:rPr>
              <w:t xml:space="preserve"> yap veya OneDrive algılanınca uyar; senkron klasörde erken test.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R6</w:t>
            </w:r>
          </w:p>
        </w:tc>
        <w:tc>
          <w:tcPr>
            <w:tcW w:type="dxa" w:w="2631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Aynı anda çok yeni teknoloji (Rust, Tauri 2, Svelte 5, llama.cpp, sqlite-vec) — öğrenme eğrisi hızı düşürür.</w:t>
            </w:r>
          </w:p>
        </w:tc>
        <w:tc>
          <w:tcPr>
            <w:tcW w:type="dxa" w:w="36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6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99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F6C9C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6 — Yüksek</w:t>
            </w:r>
          </w:p>
        </w:tc>
        <w:tc>
          <w:tcPr>
            <w:tcW w:type="dxa" w:w="1452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Basit bir özellik 1 haftadan uzun sürer</w:t>
            </w:r>
          </w:p>
        </w:tc>
        <w:tc>
          <w:tcPr>
            <w:tcW w:type="dxa" w:w="2811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Yürüyen iskelet; resmi şablonlar; her kilometre taşında tek yeni teknoloji; Claude Code + Superpowers ile TDD.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R7</w:t>
            </w:r>
          </w:p>
        </w:tc>
        <w:tc>
          <w:tcPr>
            <w:tcW w:type="dxa" w:w="2631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CPU'da gecikme ve RAM hedefleri tutmaz (8 GB makinede 2 GB model + WebView2 + tarayıcı).</w:t>
            </w:r>
          </w:p>
        </w:tc>
        <w:tc>
          <w:tcPr>
            <w:tcW w:type="dxa" w:w="36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6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99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FBE3C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4 — Orta</w:t>
            </w:r>
          </w:p>
        </w:tc>
        <w:tc>
          <w:tcPr>
            <w:tcW w:type="dxa" w:w="1452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Denemede &gt; 10 sn/not veya &gt; 2 GB</w:t>
            </w:r>
          </w:p>
        </w:tc>
        <w:tc>
          <w:tcPr>
            <w:tcW w:type="dxa" w:w="2811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Ölçümleri 4 iş parçacığı ve GPU kapalıyla yap (geliştirme makinesi hedef donanımdan çok güçlü); daha küçük kuantizasyon.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R8</w:t>
            </w:r>
          </w:p>
        </w:tc>
        <w:tc>
          <w:tcPr>
            <w:tcW w:type="dxa" w:w="2631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Bulanık blok eşleştirme hataları: yinelenen veya yanlış güncellenen görevler.</w:t>
            </w:r>
          </w:p>
        </w:tc>
        <w:tc>
          <w:tcPr>
            <w:tcW w:type="dxa" w:w="36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6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99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FBE3C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4 — Orta</w:t>
            </w:r>
          </w:p>
        </w:tc>
        <w:tc>
          <w:tcPr>
            <w:tcW w:type="dxa" w:w="1452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Kendi kullanımında yinelenen görev</w:t>
            </w:r>
          </w:p>
        </w:tc>
        <w:tc>
          <w:tcPr>
            <w:tcW w:type="dxa" w:w="2811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Basit başla (konum + satır benzerliği); kapsamlı birim testleri; İnceleme kutusu ve geri al.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R9</w:t>
            </w:r>
          </w:p>
        </w:tc>
        <w:tc>
          <w:tcPr>
            <w:tcW w:type="dxa" w:w="2631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Otomatik ekleme gürültüsü kullanıcının güvenini sarsar.</w:t>
            </w:r>
          </w:p>
        </w:tc>
        <w:tc>
          <w:tcPr>
            <w:tcW w:type="dxa" w:w="36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6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99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FBE3C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4 — Orta</w:t>
            </w:r>
          </w:p>
        </w:tc>
        <w:tc>
          <w:tcPr>
            <w:tcW w:type="dxa" w:w="1452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Haftada &gt; 3 gereksiz görev</w:t>
            </w:r>
          </w:p>
        </w:tc>
        <w:tc>
          <w:tcPr>
            <w:tcW w:type="dxa" w:w="2811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Güven eşiği; V2'deki "onay modu"nu ayar olarak öne çekmeye hazır ol.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R10</w:t>
            </w:r>
          </w:p>
        </w:tc>
        <w:tc>
          <w:tcPr>
            <w:tcW w:type="dxa" w:w="2631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Windows arka plan davranışı (tepsi, uyku/uyanma, bildirim izinleri) beklendiği gibi çalışmaz.</w:t>
            </w:r>
          </w:p>
        </w:tc>
        <w:tc>
          <w:tcPr>
            <w:tcW w:type="dxa" w:w="36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6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99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FBE3C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4 — Orta</w:t>
            </w:r>
          </w:p>
        </w:tc>
        <w:tc>
          <w:tcPr>
            <w:tcW w:type="dxa" w:w="1452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Kaçırılan hatırlatıcı</w:t>
            </w:r>
          </w:p>
        </w:tc>
        <w:tc>
          <w:tcPr>
            <w:tcW w:type="dxa" w:w="2811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M2'de küçük bir prototiple erken doğrula.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R11</w:t>
            </w:r>
          </w:p>
        </w:tc>
        <w:tc>
          <w:tcPr>
            <w:tcW w:type="dxa" w:w="2631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Bağımlılık olgunluğu: sqlite-vec 1.0 öncesi, llama-server API değişimleri.</w:t>
            </w:r>
          </w:p>
        </w:tc>
        <w:tc>
          <w:tcPr>
            <w:tcW w:type="dxa" w:w="36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6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99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DDEF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2 — Düşük</w:t>
            </w:r>
          </w:p>
        </w:tc>
        <w:tc>
          <w:tcPr>
            <w:tcW w:type="dxa" w:w="1452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Sürüm yükseltmede kırılma</w:t>
            </w:r>
          </w:p>
        </w:tc>
        <w:tc>
          <w:tcPr>
            <w:tcW w:type="dxa" w:w="2811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Sürüm sabitleme; ince adaptör katmanı.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R12</w:t>
            </w:r>
          </w:p>
        </w:tc>
        <w:tc>
          <w:tcPr>
            <w:tcW w:type="dxa" w:w="2631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İmzasız kurulum paketi ve sidecar .exe, SmartScreen/antivirüs tarafından engellenir.</w:t>
            </w:r>
          </w:p>
        </w:tc>
        <w:tc>
          <w:tcPr>
            <w:tcW w:type="dxa" w:w="36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6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99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DDEF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2 — Düşük</w:t>
            </w:r>
          </w:p>
        </w:tc>
        <w:tc>
          <w:tcPr>
            <w:tcW w:type="dxa" w:w="1452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İlk kurulum testinde uyarı</w:t>
            </w:r>
          </w:p>
        </w:tc>
        <w:tc>
          <w:tcPr>
            <w:tcW w:type="dxa" w:w="2811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Erken paketleme testi; imzalama (TBD-07).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R13</w:t>
            </w:r>
          </w:p>
        </w:tc>
        <w:tc>
          <w:tcPr>
            <w:tcW w:type="dxa" w:w="2631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Model lisansı ticari kullanımı kısıtlar (ör. Qwen2.5-3B).</w:t>
            </w:r>
          </w:p>
        </w:tc>
        <w:tc>
          <w:tcPr>
            <w:tcW w:type="dxa" w:w="36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6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998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DDEF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2 — Düşük</w:t>
            </w:r>
          </w:p>
        </w:tc>
        <w:tc>
          <w:tcPr>
            <w:tcW w:type="dxa" w:w="1452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Seçilen modelin lisansı</w:t>
            </w:r>
          </w:p>
        </w:tc>
        <w:tc>
          <w:tcPr>
            <w:tcW w:type="dxa" w:w="2811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Apache-2.0/MIT modelleri tercih et; lisansı model kataloğunda sakla.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Nasıl İlerlemeliyiz</w:t>
      </w:r>
    </w:p>
    <w:p>
      <w:pPr>
        <w:spacing w:after="120" w:line="276"/>
      </w:pPr>
      <w:r>
        <w:t xml:space="preserve">Üç ilke öneriyorum: </w:t>
      </w:r>
      <w:r>
        <w:rPr>
          <w:b/>
          <w:bCs/>
        </w:rPr>
        <w:t xml:space="preserve">önce en riskli varsayımı doğrula</w:t>
      </w:r>
      <w:r>
        <w:t xml:space="preserve">, </w:t>
      </w:r>
      <w:r>
        <w:rPr>
          <w:b/>
          <w:bCs/>
        </w:rPr>
        <w:t xml:space="preserve">katman katman değil dikey dilim halinde ilerle</w:t>
      </w:r>
      <w:r>
        <w:t xml:space="preserve">, </w:t>
      </w:r>
      <w:r>
        <w:rPr>
          <w:b/>
          <w:bCs/>
        </w:rPr>
        <w:t xml:space="preserve">SRS'i dondur ve kodla birlikte güncelle</w:t>
      </w:r>
      <w:r>
        <w:t xml:space="preserve">. Süreler, haftada 10–15 saat yarı zamanlı çalışma varsayımıyla verilen kaba tahminlerdir.</w:t>
      </w:r>
    </w:p>
    <w:p>
      <w:pPr>
        <w:keepNext/>
        <w:spacing w:after="60" w:before="120"/>
      </w:pPr>
      <w:r>
        <w:rPr>
          <w:b/>
          <w:bCs/>
          <w:color w:val="4F5D75"/>
          <w:sz w:val="17"/>
          <w:szCs w:val="17"/>
        </w:rPr>
        <w:t xml:space="preserve">Tablo 4 — Önerilen yol haritası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3"/>
        <w:gridCol w:w="907"/>
        <w:gridCol w:w="3992"/>
        <w:gridCol w:w="2540"/>
      </w:tblGrid>
      <w:tr>
        <w:trPr>
          <w:tblHeader/>
        </w:trPr>
        <w:tc>
          <w:tcPr>
            <w:tcW w:type="dxa" w:w="163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E8E9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Aşama</w:t>
            </w:r>
          </w:p>
        </w:tc>
        <w:tc>
          <w:tcPr>
            <w:tcW w:type="dxa" w:w="907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E8E9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Süre</w:t>
            </w:r>
          </w:p>
        </w:tc>
        <w:tc>
          <w:tcPr>
            <w:tcW w:type="dxa" w:w="3992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E8E9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Kapsam</w:t>
            </w:r>
          </w:p>
        </w:tc>
        <w:tc>
          <w:tcPr>
            <w:tcW w:type="dxa" w:w="2540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shd w:fill="E8E9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Çıkış ölçütü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F0 · Karar turu</w:t>
            </w:r>
          </w:p>
        </w:tc>
        <w:tc>
          <w:tcPr>
            <w:tcW w:type="dxa" w:w="907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1–2 gün</w:t>
            </w:r>
          </w:p>
        </w:tc>
        <w:tc>
          <w:tcPr>
            <w:tcW w:type="dxa" w:w="3992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Ek E'deki 40 kararı toplu onayla, yalnız kritik 5 kararı (B1, B3, C1, D1, D3) tartış; D1 ve vault konumunu PRD v0.4'e işle; SRS v1.0'ı etiketle (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git tag srs-v1.0</w:t>
            </w:r>
            <w:r>
              <w:rPr>
                <w:b w:val="false"/>
                <w:bCs w:val="false"/>
                <w:sz w:val="17"/>
                <w:szCs w:val="17"/>
              </w:rPr>
              <w:t xml:space="preserve">); push</w:t>
            </w:r>
          </w:p>
        </w:tc>
        <w:tc>
          <w:tcPr>
            <w:tcW w:type="dxa" w:w="2540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Açık karar kalmadı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F1 · Model fizibilite denemesi</w:t>
            </w:r>
          </w:p>
        </w:tc>
        <w:tc>
          <w:tcPr>
            <w:tcW w:type="dxa" w:w="907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 hafta</w:t>
            </w:r>
          </w:p>
        </w:tc>
        <w:tc>
          <w:tcPr>
            <w:tcW w:type="dxa" w:w="3992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Python +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llama-server</w:t>
            </w:r>
            <w:r>
              <w:rPr>
                <w:b w:val="false"/>
                <w:bCs w:val="false"/>
                <w:sz w:val="17"/>
                <w:szCs w:val="17"/>
              </w:rPr>
              <w:t xml:space="preserve">; 100 TR + 100 EN örnek (sentetik + elle kontrol); 3 aday model; 4 iş parçacığı, GPU kapalı ölçüm</w:t>
            </w:r>
          </w:p>
        </w:tc>
        <w:tc>
          <w:tcPr>
            <w:tcW w:type="dxa" w:w="2540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Karar kapısı:</w:t>
            </w:r>
            <w:r>
              <w:rPr>
                <w:b w:val="false"/>
                <w:bCs w:val="false"/>
                <w:sz w:val="17"/>
                <w:szCs w:val="17"/>
              </w:rPr>
              <w:t xml:space="preserve"> alan doğruluğu ≥ %80 ve ≤ 10 sn/not → devam; değilse iki adımlı çıkarım, daha büyük model veya kapsam daraltma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F2 · Yürüyen iskelet (M0)</w:t>
            </w:r>
          </w:p>
        </w:tc>
        <w:tc>
          <w:tcPr>
            <w:tcW w:type="dxa" w:w="907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 hafta</w:t>
            </w:r>
          </w:p>
        </w:tc>
        <w:tc>
          <w:tcPr>
            <w:tcW w:type="dxa" w:w="3992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Tauri + Svelte + Rust; vault aç, not düzenle ve kaydet (atomik yazma + dış değişiklik kontrolü); migrasyonlar; i18n iskeleti; GitHub Actions (test + clippy + derleme)</w:t>
            </w:r>
          </w:p>
        </w:tc>
        <w:tc>
          <w:tcPr>
            <w:tcW w:type="dxa" w:w="2540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Uygulama açılıyor, not güvenle kaydediliyor, CI yeşil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F3 · Dikey dilim (M1–M2 çekirdeği)</w:t>
            </w:r>
          </w:p>
        </w:tc>
        <w:tc>
          <w:tcPr>
            <w:tcW w:type="dxa" w:w="907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 hafta</w:t>
            </w:r>
          </w:p>
        </w:tc>
        <w:tc>
          <w:tcPr>
            <w:tcW w:type="dxa" w:w="3992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kapanır → çıkarım → görev paneli + geri al; model yaşam döngüsü; basit bildirim</w:t>
            </w:r>
          </w:p>
        </w:tc>
        <w:tc>
          <w:tcPr>
            <w:tcW w:type="dxa" w:w="2540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Demo:</w:t>
            </w:r>
            <w:r>
              <w:rPr>
                <w:b w:val="false"/>
                <w:bCs w:val="false"/>
                <w:sz w:val="17"/>
                <w:szCs w:val="17"/>
              </w:rPr>
              <w:t xml:space="preserve"> 2 dakikalık video; kendi günlük kullanımına başlanır; README güncellenir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F4 · Metrikler, hatırlatıcı, tepsi</w:t>
            </w:r>
          </w:p>
        </w:tc>
        <w:tc>
          <w:tcPr>
            <w:tcW w:type="dxa" w:w="907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2–3 hafta</w:t>
            </w:r>
          </w:p>
        </w:tc>
        <w:tc>
          <w:tcPr>
            <w:tcW w:type="dxa" w:w="3992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MET, TSK hatırlatıcılar, temel tepsi modu</w:t>
            </w:r>
          </w:p>
        </w:tc>
        <w:tc>
          <w:tcPr>
            <w:tcW w:type="dxa" w:w="2540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 hafta boyunca kendi günlük kullanımında hatasız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F5 · Not sistemi + RAG / soru-cevap</w:t>
            </w:r>
          </w:p>
        </w:tc>
        <w:tc>
          <w:tcPr>
            <w:tcW w:type="dxa" w:w="907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4–6 hafta</w:t>
            </w:r>
          </w:p>
        </w:tc>
        <w:tc>
          <w:tcPr>
            <w:tcW w:type="dxa" w:w="3992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M3 (wikilink, arama) ve M4 (RAG, araçlar)</w:t>
            </w:r>
          </w:p>
        </w:tc>
        <w:tc>
          <w:tcPr>
            <w:tcW w:type="dxa" w:w="2540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Soru-cevap değerlendirme seti geçer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F6 · Bakım, rapor, telafi + cilalama</w:t>
            </w:r>
          </w:p>
        </w:tc>
        <w:tc>
          <w:tcPr>
            <w:tcW w:type="dxa" w:w="907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3–4 hafta</w:t>
            </w:r>
          </w:p>
        </w:tc>
        <w:tc>
          <w:tcPr>
            <w:tcW w:type="dxa" w:w="3992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M5 ve M6</w:t>
            </w:r>
          </w:p>
        </w:tc>
        <w:tc>
          <w:tcPr>
            <w:tcW w:type="dxa" w:w="2540"/>
            <w:tcBorders>
              <w:top w:val="single" w:color="BFC0C0" w:sz="4"/>
              <w:left w:val="single" w:color="BFC0C0" w:sz="4"/>
              <w:bottom w:val="single" w:color="BFC0C0" w:sz="4"/>
              <w:right w:val="single" w:color="BFC0C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PRD §10 kabul ölçütleri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Toplam:</w:t>
      </w:r>
      <w:r>
        <w:t xml:space="preserve"> yarı zamanlı çalışmayla MVP'ye yaklaşık 4–5 ay. İlk gösterilebilir sonuç, F3 sonunda yaklaşık 6–7 hafta içinde gelir.</w:t>
      </w:r>
    </w:p>
    <w:p>
      <w:pPr>
        <w:pStyle w:val="Heading1"/>
      </w:pPr>
      <w:r>
        <w:t xml:space="preserve">5. Öneriler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Ö1 — Öncelikleri yeniden sınıflandır.</w:t>
      </w:r>
      <w:r>
        <w:t xml:space="preserve"> Dikey dilimdeki gereksinimleri "MVP-çekirdek", kalanını "MVP-tam" olarak ayır. Hedef, "Yüksek" oranını yaklaşık %50'ye indirmek.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Ö2 — Gereksinimleri testlere bağla.</w:t>
      </w:r>
      <w:r>
        <w:t xml:space="preserve"> Test adlarında gereksinim kimliği kullan (ör. </w:t>
      </w:r>
      <w:r>
        <w:rPr>
          <w:rFonts w:ascii="Consolas" w:cs="Consolas" w:eastAsia="Consolas" w:hAnsi="Consolas"/>
          <w:sz w:val="19"/>
          <w:szCs w:val="19"/>
        </w:rPr>
        <w:t xml:space="preserve">fr_ext_016_updates_existing_item</w:t>
      </w:r>
      <w:r>
        <w:t xml:space="preserve">). İzlenebilirlik matrisine test sütunu böylece otomatik eklenebilir.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Ö3 — Yeni kararları kısa ADR'lerle kaydet.</w:t>
      </w:r>
      <w:r>
        <w:t xml:space="preserve"> SRS'i büyütmek yerine </w:t>
      </w:r>
      <w:r>
        <w:rPr>
          <w:rFonts w:ascii="Consolas" w:cs="Consolas" w:eastAsia="Consolas" w:hAnsi="Consolas"/>
          <w:sz w:val="19"/>
          <w:szCs w:val="19"/>
        </w:rPr>
        <w:t xml:space="preserve">docs/adr/NNNN-baslik.md</w:t>
      </w:r>
      <w:r>
        <w:t xml:space="preserve"> dosyaları kullan. SRS'i yalnız davranış değiştiğinde güncelle.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Ö4 — Varsayılan vault konumunu değiştir.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%USERPROFILE%\PLA Vault</w:t>
      </w:r>
      <w:r>
        <w:t xml:space="preserve"> yap; vault OneDrive altındaysa kullanıcıyı uyar. Bu bir PRD v0.4 değişikliği.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Ö5 — Ölçümleri hedef donanıma göre yap.</w:t>
      </w:r>
      <w:r>
        <w:t xml:space="preserve"> Geliştirme makinesi (i7-13620H, 16 iş parçacığı, 32 GB, RTX 4050) hedef donanımdan çok güçlü. Performans ölçümlerini 4 iş parçacığı ve GPU kapalıyla yap; mümkünse 8 GB'lık bir makinede doğrula.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Ö6 — Kendi vault'unla test et, ama kopyasıyla.</w:t>
      </w:r>
      <w:r>
        <w:t xml:space="preserve"> Dogfooding'i canlı Obsidian vault'unla değil, onun bir kopyasıyla yap. Veri kaybı riski (R4) ancak kod olgunlaşınca kalkar.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Ö7 — F1'in çıktısını boşa harcama.</w:t>
      </w:r>
      <w:r>
        <w:t xml:space="preserve"> Değerlendirme setini F1'de kur. Aynı set ileride fine-tuning verisinin ve portföyde "ölçülmüş iyileşme" hikâyesinin temeli olur.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Ö8 — Depoyu vitrin gibi tut.</w:t>
      </w:r>
      <w:r>
        <w:t xml:space="preserve"> İki commit'i push et, README'yi yeni vizyon ve yol haritasıyla yeniden yaz. Kod birkaç bin satırı geçince code-review-graph'ı kur.</w:t>
      </w:r>
    </w:p>
    <w:p>
      <w:pPr>
        <w:pStyle w:val="Heading1"/>
      </w:pPr>
      <w:r>
        <w:t xml:space="preserve">6. Önümüzdeki 7 Gün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Ek E kararlarını gözden geçir (hedef: 1 oturum). Ret veya değişiklik varsa SRS v1.1 için not düş.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PRD v0.4: D1 (vault başına veritabanı) ve varsayılan vault konumu (Ö4).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sz w:val="19"/>
          <w:szCs w:val="19"/>
        </w:rPr>
        <w:t xml:space="preserve">git tag srs-v1.0</w:t>
      </w:r>
      <w:r>
        <w:t xml:space="preserve">, push, README'nin yeniden yazılması.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F1'e başla: Claude ile 100 TR + 100 EN sentetik not ve beklenen JSON'lar; 3 aday modeli indir; ölçüm betiği.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F1 sonunda karar kapısı toplantısı: model seçimi (TBD-02) ve F2 başlangıcı.</w:t>
      </w:r>
    </w:p>
    <w:sectPr>
      <w:headerReference w:type="default" r:id="rId7"/>
      <w:footerReference w:type="default" r:id="rId8"/>
      <w:pgSz w:w="11906" w:h="16838" w:orient="portrait"/>
      <w:pgMar w:top="1300" w:right="1417" w:bottom="130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399"/>
        <w:sz w:val="16"/>
        <w:szCs w:val="16"/>
      </w:rPr>
      <w:t xml:space="preserve">Sayfa </w:t>
    </w:r>
    <w:r>
      <w:rPr>
        <w:color w:val="7A83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A8399"/>
        <w:sz w:val="16"/>
        <w:szCs w:val="16"/>
      </w:rPr>
      <w:t xml:space="preserve"> / </w:t>
    </w:r>
    <w:r>
      <w:rPr>
        <w:color w:val="7A83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A8399"/>
        <w:sz w:val="16"/>
        <w:szCs w:val="16"/>
      </w:rPr>
      <w:t xml:space="preserve">PLA · Gidişat, Risk Analizi ve Yol Haritası · 27.09.2026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EB6C36" w:sz="6" w:space="4"/>
      </w:pBdr>
      <w:spacing w:after="140" w:before="320"/>
      <w:outlineLvl w:val="0"/>
    </w:pPr>
    <w:rPr>
      <w:b/>
      <w:bCs/>
      <w:color w:val="2D3142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b/>
      <w:bCs/>
      <w:color w:val="2D31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 — Gidişat, Risk Analizi ve Yol Haritası</dc:title>
  <dc:creator>Ayberk Cerit</dc:creator>
  <cp:lastModifiedBy>Un-named</cp:lastModifiedBy>
  <cp:revision>1</cp:revision>
  <dcterms:created xsi:type="dcterms:W3CDTF">2026-09-26T22:19:41.281Z</dcterms:created>
  <dcterms:modified xsi:type="dcterms:W3CDTF">2026-09-26T22:19:41.281Z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