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CBB71" w14:textId="77777777" w:rsidR="00D954D0" w:rsidRDefault="00D954D0" w:rsidP="00D954D0">
      <w:pPr>
        <w:rPr>
          <w:rFonts w:ascii="Exo 2" w:hAnsi="Exo 2"/>
          <w:sz w:val="32"/>
          <w:szCs w:val="32"/>
          <w:lang w:val="en-GB"/>
        </w:rPr>
      </w:pPr>
    </w:p>
    <w:p w14:paraId="5B2FD45C" w14:textId="77777777" w:rsidR="00D954D0" w:rsidRDefault="00D954D0" w:rsidP="00D954D0">
      <w:pPr>
        <w:rPr>
          <w:rFonts w:ascii="Exo 2" w:hAnsi="Exo 2"/>
          <w:sz w:val="32"/>
          <w:szCs w:val="32"/>
          <w:lang w:val="en-GB"/>
        </w:rPr>
      </w:pPr>
    </w:p>
    <w:p w14:paraId="54F2C65B" w14:textId="77777777" w:rsidR="00D954D0" w:rsidRDefault="00D954D0" w:rsidP="00D954D0">
      <w:pPr>
        <w:jc w:val="center"/>
        <w:rPr>
          <w:rFonts w:ascii="Exo 2" w:hAnsi="Exo 2"/>
          <w:sz w:val="32"/>
          <w:szCs w:val="32"/>
          <w:lang w:val="en-GB"/>
        </w:rPr>
      </w:pPr>
    </w:p>
    <w:p w14:paraId="00B07158" w14:textId="77777777" w:rsidR="00D954D0" w:rsidRPr="00C10976" w:rsidRDefault="00D954D0" w:rsidP="00D954D0">
      <w:pPr>
        <w:jc w:val="center"/>
        <w:rPr>
          <w:rFonts w:ascii="Exo 2" w:hAnsi="Exo 2"/>
          <w:sz w:val="32"/>
          <w:szCs w:val="32"/>
          <w:lang w:val="en-GB"/>
        </w:rPr>
      </w:pPr>
      <w:r>
        <w:rPr>
          <w:rFonts w:ascii="Exo 2" w:hAnsi="Exo 2"/>
          <w:sz w:val="32"/>
          <w:szCs w:val="32"/>
          <w:lang w:val="en-GB"/>
        </w:rPr>
        <w:t>[</w:t>
      </w:r>
      <w:r w:rsidRPr="00C10976">
        <w:rPr>
          <w:rFonts w:ascii="Exo 2" w:hAnsi="Exo 2"/>
          <w:i/>
          <w:iCs/>
          <w:sz w:val="32"/>
          <w:szCs w:val="32"/>
          <w:lang w:val="en-GB"/>
        </w:rPr>
        <w:t>Company Logo</w:t>
      </w:r>
      <w:r>
        <w:rPr>
          <w:rFonts w:ascii="Exo 2" w:hAnsi="Exo 2"/>
          <w:sz w:val="32"/>
          <w:szCs w:val="32"/>
          <w:lang w:val="en-GB"/>
        </w:rPr>
        <w:t>]</w:t>
      </w:r>
    </w:p>
    <w:p w14:paraId="0BF9001C" w14:textId="77777777" w:rsidR="00D954D0" w:rsidRDefault="00D954D0" w:rsidP="00D954D0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p w14:paraId="6A85DC0E" w14:textId="77777777" w:rsidR="00D954D0" w:rsidRDefault="00D954D0" w:rsidP="00D954D0">
      <w:pPr>
        <w:jc w:val="center"/>
        <w:rPr>
          <w:rFonts w:ascii="Exo 2" w:hAnsi="Exo 2"/>
          <w:b/>
          <w:bCs/>
          <w:sz w:val="32"/>
          <w:szCs w:val="32"/>
          <w:lang w:val="en-GB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954D0" w:rsidRPr="00C10976" w14:paraId="46DFB451" w14:textId="77777777" w:rsidTr="004F4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C57FF09" w14:textId="08675197" w:rsidR="00D954D0" w:rsidRPr="00C60BA4" w:rsidRDefault="00D954D0" w:rsidP="00D954D0">
            <w:pPr>
              <w:jc w:val="center"/>
              <w:rPr>
                <w:rFonts w:ascii="Exo 2" w:hAnsi="Exo 2"/>
                <w:sz w:val="52"/>
                <w:szCs w:val="52"/>
                <w:lang w:val="en-US"/>
              </w:rPr>
            </w:pPr>
            <w:r w:rsidRPr="00D954D0">
              <w:rPr>
                <w:rFonts w:ascii="Exo 2" w:hAnsi="Exo 2"/>
                <w:sz w:val="52"/>
                <w:szCs w:val="52"/>
                <w:lang w:val="en-US"/>
              </w:rPr>
              <w:t>NDPR COMPLIANCE CHECKLIST</w:t>
            </w:r>
          </w:p>
        </w:tc>
      </w:tr>
    </w:tbl>
    <w:p w14:paraId="0F155C2C" w14:textId="77777777" w:rsidR="00D954D0" w:rsidRDefault="00D954D0" w:rsidP="00D954D0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417DC82B" w14:textId="77777777" w:rsidR="00D954D0" w:rsidRDefault="00D954D0" w:rsidP="00D954D0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1174FEB4" w14:textId="77777777" w:rsidR="00D954D0" w:rsidRDefault="00D954D0" w:rsidP="00D954D0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505BF424" w14:textId="77777777" w:rsidR="00D954D0" w:rsidRDefault="00D954D0" w:rsidP="00D954D0">
      <w:pPr>
        <w:rPr>
          <w:rFonts w:ascii="Exo 2" w:hAnsi="Exo 2"/>
          <w:b/>
          <w:bCs/>
          <w:sz w:val="32"/>
          <w:szCs w:val="32"/>
          <w:lang w:val="en-GB"/>
        </w:rPr>
      </w:pPr>
    </w:p>
    <w:p w14:paraId="72B1DE1E" w14:textId="77777777" w:rsidR="00D954D0" w:rsidRDefault="00D954D0" w:rsidP="00D954D0">
      <w:pPr>
        <w:jc w:val="center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DOCUMENT</w:t>
      </w:r>
      <w:r>
        <w:rPr>
          <w:rFonts w:ascii="Exo 2" w:hAnsi="Exo 2"/>
          <w:b/>
          <w:bCs/>
          <w:lang w:val="en-GB"/>
        </w:rPr>
        <w:t xml:space="preserve"> CONTROL</w:t>
      </w:r>
    </w:p>
    <w:p w14:paraId="2CA32B52" w14:textId="77777777" w:rsidR="00D954D0" w:rsidRPr="008206B5" w:rsidRDefault="00D954D0" w:rsidP="00D954D0">
      <w:pPr>
        <w:jc w:val="center"/>
        <w:rPr>
          <w:rFonts w:ascii="Exo 2" w:hAnsi="Exo 2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D954D0" w14:paraId="651219B8" w14:textId="77777777" w:rsidTr="004F4AD8">
        <w:tc>
          <w:tcPr>
            <w:tcW w:w="2689" w:type="dxa"/>
            <w:shd w:val="clear" w:color="auto" w:fill="E7E6E6" w:themeFill="background2"/>
          </w:tcPr>
          <w:p w14:paraId="0AC1BD89" w14:textId="77777777" w:rsidR="00D954D0" w:rsidRPr="008206B5" w:rsidRDefault="00D954D0" w:rsidP="004F4AD8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Version:</w:t>
            </w:r>
          </w:p>
        </w:tc>
        <w:tc>
          <w:tcPr>
            <w:tcW w:w="6327" w:type="dxa"/>
          </w:tcPr>
          <w:p w14:paraId="4590F4F4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0CEF9A6C" w14:textId="77777777" w:rsidTr="004F4AD8">
        <w:tc>
          <w:tcPr>
            <w:tcW w:w="2689" w:type="dxa"/>
            <w:shd w:val="clear" w:color="auto" w:fill="E7E6E6" w:themeFill="background2"/>
          </w:tcPr>
          <w:p w14:paraId="027182F6" w14:textId="77777777" w:rsidR="00D954D0" w:rsidRPr="008206B5" w:rsidRDefault="00D954D0" w:rsidP="004F4AD8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Date of version:</w:t>
            </w:r>
          </w:p>
        </w:tc>
        <w:tc>
          <w:tcPr>
            <w:tcW w:w="6327" w:type="dxa"/>
          </w:tcPr>
          <w:p w14:paraId="57B9C60C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1CDAF5DD" w14:textId="77777777" w:rsidTr="004F4AD8">
        <w:tc>
          <w:tcPr>
            <w:tcW w:w="2689" w:type="dxa"/>
            <w:shd w:val="clear" w:color="auto" w:fill="E7E6E6" w:themeFill="background2"/>
          </w:tcPr>
          <w:p w14:paraId="5F03E677" w14:textId="77777777" w:rsidR="00D954D0" w:rsidRPr="008206B5" w:rsidRDefault="00D954D0" w:rsidP="004F4AD8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Author:</w:t>
            </w:r>
          </w:p>
        </w:tc>
        <w:tc>
          <w:tcPr>
            <w:tcW w:w="6327" w:type="dxa"/>
          </w:tcPr>
          <w:p w14:paraId="33AD5D24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747D7A52" w14:textId="77777777" w:rsidTr="004F4AD8">
        <w:tc>
          <w:tcPr>
            <w:tcW w:w="2689" w:type="dxa"/>
            <w:shd w:val="clear" w:color="auto" w:fill="E7E6E6" w:themeFill="background2"/>
          </w:tcPr>
          <w:p w14:paraId="1716D337" w14:textId="77777777" w:rsidR="00D954D0" w:rsidRPr="008206B5" w:rsidRDefault="00D954D0" w:rsidP="004F4AD8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Approved by:</w:t>
            </w:r>
          </w:p>
        </w:tc>
        <w:tc>
          <w:tcPr>
            <w:tcW w:w="6327" w:type="dxa"/>
          </w:tcPr>
          <w:p w14:paraId="61B193BC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763998B6" w14:textId="77777777" w:rsidTr="004F4AD8">
        <w:tc>
          <w:tcPr>
            <w:tcW w:w="2689" w:type="dxa"/>
            <w:shd w:val="clear" w:color="auto" w:fill="E7E6E6" w:themeFill="background2"/>
          </w:tcPr>
          <w:p w14:paraId="0CCA92A1" w14:textId="77777777" w:rsidR="00D954D0" w:rsidRPr="008206B5" w:rsidRDefault="00D954D0" w:rsidP="004F4AD8">
            <w:pPr>
              <w:jc w:val="both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Document Owner:</w:t>
            </w:r>
          </w:p>
        </w:tc>
        <w:tc>
          <w:tcPr>
            <w:tcW w:w="6327" w:type="dxa"/>
          </w:tcPr>
          <w:p w14:paraId="5267E143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1AA46200" w14:textId="77777777" w:rsidR="00D954D0" w:rsidRDefault="00D954D0" w:rsidP="00D954D0">
      <w:pPr>
        <w:jc w:val="both"/>
        <w:rPr>
          <w:rFonts w:ascii="Exo 2" w:hAnsi="Exo 2"/>
          <w:lang w:val="en-GB"/>
        </w:rPr>
      </w:pPr>
    </w:p>
    <w:p w14:paraId="2F50526C" w14:textId="77777777" w:rsidR="00D954D0" w:rsidRDefault="00D954D0" w:rsidP="00D954D0">
      <w:pPr>
        <w:jc w:val="both"/>
        <w:rPr>
          <w:rFonts w:ascii="Exo 2" w:hAnsi="Exo 2"/>
          <w:lang w:val="en-GB"/>
        </w:rPr>
      </w:pPr>
    </w:p>
    <w:p w14:paraId="3776CA75" w14:textId="77777777" w:rsidR="00D954D0" w:rsidRDefault="00D954D0" w:rsidP="00D954D0">
      <w:pPr>
        <w:jc w:val="both"/>
        <w:rPr>
          <w:rFonts w:ascii="Exo 2" w:hAnsi="Exo 2"/>
          <w:lang w:val="en-GB"/>
        </w:rPr>
      </w:pPr>
    </w:p>
    <w:p w14:paraId="6341C072" w14:textId="77777777" w:rsidR="00D954D0" w:rsidRDefault="00D954D0" w:rsidP="00D954D0">
      <w:pPr>
        <w:jc w:val="both"/>
        <w:rPr>
          <w:rFonts w:ascii="Exo 2" w:hAnsi="Exo 2"/>
          <w:lang w:val="en-GB"/>
        </w:rPr>
      </w:pPr>
    </w:p>
    <w:p w14:paraId="6C80BC5D" w14:textId="77777777" w:rsidR="00D954D0" w:rsidRDefault="00D954D0" w:rsidP="00D954D0">
      <w:pPr>
        <w:jc w:val="both"/>
        <w:rPr>
          <w:rFonts w:ascii="Exo 2" w:hAnsi="Exo 2"/>
          <w:b/>
          <w:bCs/>
          <w:lang w:val="en-GB"/>
        </w:rPr>
      </w:pPr>
      <w:r w:rsidRPr="008206B5">
        <w:rPr>
          <w:rFonts w:ascii="Exo 2" w:hAnsi="Exo 2"/>
          <w:b/>
          <w:bCs/>
          <w:lang w:val="en-GB"/>
        </w:rPr>
        <w:t>REVISION HISTORY</w:t>
      </w:r>
    </w:p>
    <w:p w14:paraId="21C72BA8" w14:textId="77777777" w:rsidR="00D954D0" w:rsidRPr="008206B5" w:rsidRDefault="00D954D0" w:rsidP="00D954D0">
      <w:pPr>
        <w:jc w:val="both"/>
        <w:rPr>
          <w:rFonts w:ascii="Exo 2" w:hAnsi="Exo 2"/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701"/>
        <w:gridCol w:w="2268"/>
        <w:gridCol w:w="3776"/>
      </w:tblGrid>
      <w:tr w:rsidR="00D954D0" w14:paraId="555E27FE" w14:textId="77777777" w:rsidTr="004F4AD8">
        <w:tc>
          <w:tcPr>
            <w:tcW w:w="1271" w:type="dxa"/>
            <w:shd w:val="clear" w:color="auto" w:fill="E7E6E6" w:themeFill="background2"/>
          </w:tcPr>
          <w:p w14:paraId="70E286D9" w14:textId="77777777" w:rsidR="00D954D0" w:rsidRPr="008206B5" w:rsidRDefault="00D954D0" w:rsidP="004F4AD8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VERSION</w:t>
            </w:r>
          </w:p>
        </w:tc>
        <w:tc>
          <w:tcPr>
            <w:tcW w:w="1701" w:type="dxa"/>
            <w:shd w:val="clear" w:color="auto" w:fill="E7E6E6" w:themeFill="background2"/>
          </w:tcPr>
          <w:p w14:paraId="3D5C233A" w14:textId="77777777" w:rsidR="00D954D0" w:rsidRPr="008206B5" w:rsidRDefault="00D954D0" w:rsidP="004F4AD8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>
              <w:rPr>
                <w:rFonts w:ascii="Exo 2" w:hAnsi="Exo 2"/>
                <w:b/>
                <w:bCs/>
                <w:lang w:val="en-GB"/>
              </w:rPr>
              <w:t xml:space="preserve">REVISION </w:t>
            </w:r>
            <w:r w:rsidRPr="008206B5">
              <w:rPr>
                <w:rFonts w:ascii="Exo 2" w:hAnsi="Exo 2"/>
                <w:b/>
                <w:bCs/>
                <w:lang w:val="en-GB"/>
              </w:rPr>
              <w:t>DATE</w:t>
            </w:r>
          </w:p>
        </w:tc>
        <w:tc>
          <w:tcPr>
            <w:tcW w:w="2268" w:type="dxa"/>
            <w:shd w:val="clear" w:color="auto" w:fill="E7E6E6" w:themeFill="background2"/>
          </w:tcPr>
          <w:p w14:paraId="12C02D3B" w14:textId="77777777" w:rsidR="00D954D0" w:rsidRPr="008206B5" w:rsidRDefault="00D954D0" w:rsidP="004F4AD8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REVIS</w:t>
            </w:r>
            <w:r>
              <w:rPr>
                <w:rFonts w:ascii="Exo 2" w:hAnsi="Exo 2"/>
                <w:b/>
                <w:bCs/>
                <w:lang w:val="en-GB"/>
              </w:rPr>
              <w:t>ED BY</w:t>
            </w:r>
          </w:p>
        </w:tc>
        <w:tc>
          <w:tcPr>
            <w:tcW w:w="3776" w:type="dxa"/>
            <w:shd w:val="clear" w:color="auto" w:fill="E7E6E6" w:themeFill="background2"/>
          </w:tcPr>
          <w:p w14:paraId="7193FD02" w14:textId="77777777" w:rsidR="00D954D0" w:rsidRPr="008206B5" w:rsidRDefault="00D954D0" w:rsidP="004F4AD8">
            <w:pPr>
              <w:jc w:val="center"/>
              <w:rPr>
                <w:rFonts w:ascii="Exo 2" w:hAnsi="Exo 2"/>
                <w:b/>
                <w:bCs/>
                <w:lang w:val="en-GB"/>
              </w:rPr>
            </w:pPr>
            <w:r w:rsidRPr="008206B5">
              <w:rPr>
                <w:rFonts w:ascii="Exo 2" w:hAnsi="Exo 2"/>
                <w:b/>
                <w:bCs/>
                <w:lang w:val="en-GB"/>
              </w:rPr>
              <w:t>SUMMARY OF CHANGE</w:t>
            </w:r>
            <w:r>
              <w:rPr>
                <w:rFonts w:ascii="Exo 2" w:hAnsi="Exo 2"/>
                <w:b/>
                <w:bCs/>
                <w:lang w:val="en-GB"/>
              </w:rPr>
              <w:t>/SECTION REVISED</w:t>
            </w:r>
          </w:p>
        </w:tc>
      </w:tr>
      <w:tr w:rsidR="00D954D0" w14:paraId="1746E51D" w14:textId="77777777" w:rsidTr="004F4AD8">
        <w:tc>
          <w:tcPr>
            <w:tcW w:w="1271" w:type="dxa"/>
          </w:tcPr>
          <w:p w14:paraId="18311544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2E098AF3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3F245D6D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7120ED92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23F92C07" w14:textId="77777777" w:rsidTr="004F4AD8">
        <w:tc>
          <w:tcPr>
            <w:tcW w:w="1271" w:type="dxa"/>
          </w:tcPr>
          <w:p w14:paraId="15D052BE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74030841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33609F86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1CD49F8A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  <w:tr w:rsidR="00D954D0" w14:paraId="1F794951" w14:textId="77777777" w:rsidTr="004F4AD8">
        <w:tc>
          <w:tcPr>
            <w:tcW w:w="1271" w:type="dxa"/>
          </w:tcPr>
          <w:p w14:paraId="291AD98B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1701" w:type="dxa"/>
          </w:tcPr>
          <w:p w14:paraId="06186A8A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2268" w:type="dxa"/>
          </w:tcPr>
          <w:p w14:paraId="71BBD6B8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  <w:tc>
          <w:tcPr>
            <w:tcW w:w="3776" w:type="dxa"/>
          </w:tcPr>
          <w:p w14:paraId="4E293F96" w14:textId="77777777" w:rsidR="00D954D0" w:rsidRDefault="00D954D0" w:rsidP="004F4AD8">
            <w:pPr>
              <w:jc w:val="both"/>
              <w:rPr>
                <w:rFonts w:ascii="Exo 2" w:hAnsi="Exo 2"/>
                <w:lang w:val="en-GB"/>
              </w:rPr>
            </w:pPr>
          </w:p>
        </w:tc>
      </w:tr>
    </w:tbl>
    <w:p w14:paraId="53CAC6E9" w14:textId="65F87068" w:rsidR="008703CA" w:rsidRPr="00D954D0" w:rsidRDefault="008703CA" w:rsidP="00D954D0">
      <w:pPr>
        <w:rPr>
          <w:rFonts w:ascii="Exo 2" w:hAnsi="Exo 2"/>
          <w:b/>
          <w:bCs/>
          <w:sz w:val="28"/>
          <w:szCs w:val="28"/>
          <w:lang w:val="en-GB"/>
        </w:rPr>
      </w:pPr>
    </w:p>
    <w:tbl>
      <w:tblPr>
        <w:tblStyle w:val="TableGrid"/>
        <w:tblpPr w:leftFromText="180" w:rightFromText="180" w:vertAnchor="page" w:horzAnchor="margin" w:tblpY="1323"/>
        <w:tblW w:w="9305" w:type="dxa"/>
        <w:tblLook w:val="04A0" w:firstRow="1" w:lastRow="0" w:firstColumn="1" w:lastColumn="0" w:noHBand="0" w:noVBand="1"/>
      </w:tblPr>
      <w:tblGrid>
        <w:gridCol w:w="704"/>
        <w:gridCol w:w="3719"/>
        <w:gridCol w:w="4882"/>
      </w:tblGrid>
      <w:tr w:rsidR="00734B5A" w:rsidRPr="009931C9" w14:paraId="66B50961" w14:textId="77777777" w:rsidTr="00734B5A">
        <w:tc>
          <w:tcPr>
            <w:tcW w:w="704" w:type="dxa"/>
          </w:tcPr>
          <w:p w14:paraId="757AE516" w14:textId="7FCD86E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lastRenderedPageBreak/>
              <w:t>SN</w:t>
            </w:r>
          </w:p>
        </w:tc>
        <w:tc>
          <w:tcPr>
            <w:tcW w:w="3719" w:type="dxa"/>
          </w:tcPr>
          <w:p w14:paraId="06B383CB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AREA OF COMPLIANCE</w:t>
            </w:r>
          </w:p>
        </w:tc>
        <w:tc>
          <w:tcPr>
            <w:tcW w:w="4882" w:type="dxa"/>
          </w:tcPr>
          <w:p w14:paraId="2FD3AD88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ACTION POINT</w:t>
            </w:r>
          </w:p>
        </w:tc>
      </w:tr>
      <w:tr w:rsidR="008E10E2" w:rsidRPr="009931C9" w14:paraId="5B0819D7" w14:textId="77777777" w:rsidTr="00734B5A">
        <w:tc>
          <w:tcPr>
            <w:tcW w:w="704" w:type="dxa"/>
          </w:tcPr>
          <w:p w14:paraId="1B428910" w14:textId="483CC8B0" w:rsidR="008E10E2" w:rsidRPr="009931C9" w:rsidRDefault="008E10E2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1.</w:t>
            </w:r>
          </w:p>
        </w:tc>
        <w:tc>
          <w:tcPr>
            <w:tcW w:w="3719" w:type="dxa"/>
          </w:tcPr>
          <w:p w14:paraId="6290EB66" w14:textId="1E20D4B2" w:rsidR="008E10E2" w:rsidRPr="0054758E" w:rsidRDefault="008E10E2" w:rsidP="00734B5A">
            <w:pPr>
              <w:rPr>
                <w:rFonts w:ascii="Exo 2" w:hAnsi="Exo 2"/>
                <w:sz w:val="24"/>
                <w:szCs w:val="24"/>
                <w:lang w:val="en-GB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Governance</w:t>
            </w:r>
          </w:p>
        </w:tc>
        <w:tc>
          <w:tcPr>
            <w:tcW w:w="4882" w:type="dxa"/>
          </w:tcPr>
          <w:p w14:paraId="1DB26C58" w14:textId="77777777" w:rsidR="008E10E2" w:rsidRPr="009931C9" w:rsidRDefault="008E10E2" w:rsidP="008E10E2">
            <w:pPr>
              <w:pStyle w:val="ListParagraph"/>
              <w:numPr>
                <w:ilvl w:val="0"/>
                <w:numId w:val="4"/>
              </w:num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Ensuring</w:t>
            </w:r>
            <w:r w:rsidR="00262A00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C-Suite Management and the Board of Directors are aware of the compliance requirements of the NDPR</w:t>
            </w:r>
          </w:p>
          <w:p w14:paraId="7018E025" w14:textId="77777777" w:rsidR="00262A00" w:rsidRPr="009931C9" w:rsidRDefault="00262A00" w:rsidP="008E10E2">
            <w:pPr>
              <w:pStyle w:val="ListParagraph"/>
              <w:numPr>
                <w:ilvl w:val="0"/>
                <w:numId w:val="4"/>
              </w:num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Constant update of C-Suite</w:t>
            </w:r>
            <w:r w:rsidR="00F378A0" w:rsidRPr="009931C9">
              <w:rPr>
                <w:rFonts w:ascii="Exo 2" w:hAnsi="Exo 2"/>
                <w:sz w:val="24"/>
                <w:szCs w:val="24"/>
                <w:lang w:val="en-US"/>
              </w:rPr>
              <w:t>;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Management and the Board of Directors on NDPR </w:t>
            </w:r>
            <w:proofErr w:type="gramStart"/>
            <w:r w:rsidRPr="009931C9">
              <w:rPr>
                <w:rFonts w:ascii="Exo 2" w:hAnsi="Exo 2"/>
                <w:sz w:val="24"/>
                <w:szCs w:val="24"/>
                <w:lang w:val="en-US"/>
              </w:rPr>
              <w:t>Compliance</w:t>
            </w:r>
            <w:r w:rsidR="00F378A0" w:rsidRPr="009931C9">
              <w:rPr>
                <w:rFonts w:ascii="Exo 2" w:hAnsi="Exo 2"/>
                <w:sz w:val="24"/>
                <w:szCs w:val="24"/>
                <w:lang w:val="en-US"/>
              </w:rPr>
              <w:t>;</w:t>
            </w:r>
            <w:proofErr w:type="gramEnd"/>
          </w:p>
          <w:p w14:paraId="6CA397EC" w14:textId="783C24B7" w:rsidR="00D81931" w:rsidRPr="009931C9" w:rsidRDefault="00D81931" w:rsidP="00AF1CF3">
            <w:pPr>
              <w:pStyle w:val="ListParagraph"/>
              <w:numPr>
                <w:ilvl w:val="0"/>
                <w:numId w:val="4"/>
              </w:num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Ensuring independence of DPO and direct access to C-Suite Management;</w:t>
            </w:r>
          </w:p>
        </w:tc>
      </w:tr>
      <w:tr w:rsidR="00F378A0" w:rsidRPr="009931C9" w14:paraId="2F7F1602" w14:textId="77777777" w:rsidTr="00734B5A">
        <w:tc>
          <w:tcPr>
            <w:tcW w:w="704" w:type="dxa"/>
          </w:tcPr>
          <w:p w14:paraId="68DD487E" w14:textId="53E5EF7A" w:rsidR="00F378A0" w:rsidRPr="009931C9" w:rsidRDefault="00F378A0" w:rsidP="00AF1CF3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3719" w:type="dxa"/>
          </w:tcPr>
          <w:p w14:paraId="0C32EBEF" w14:textId="6A0D7B31" w:rsidR="00F378A0" w:rsidRPr="00321614" w:rsidRDefault="00F378A0" w:rsidP="00734B5A">
            <w:pPr>
              <w:rPr>
                <w:rFonts w:ascii="Exo 2" w:hAnsi="Exo 2"/>
                <w:sz w:val="24"/>
                <w:szCs w:val="24"/>
                <w:lang w:val="en-GB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Risk Management </w:t>
            </w:r>
          </w:p>
        </w:tc>
        <w:tc>
          <w:tcPr>
            <w:tcW w:w="4882" w:type="dxa"/>
          </w:tcPr>
          <w:p w14:paraId="5BA2CB41" w14:textId="651267B3" w:rsidR="00F378A0" w:rsidRPr="009931C9" w:rsidRDefault="00F378A0" w:rsidP="00F378A0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NDPR risk in terms of potential fines should be part of the corporate risk register;</w:t>
            </w:r>
            <w:r w:rsidRPr="009931C9">
              <w:rPr>
                <w:rStyle w:val="FootnoteReference"/>
                <w:rFonts w:ascii="Exo 2" w:hAnsi="Exo 2"/>
                <w:sz w:val="24"/>
                <w:szCs w:val="24"/>
                <w:lang w:val="en-US"/>
              </w:rPr>
              <w:footnoteReference w:id="1"/>
            </w:r>
          </w:p>
          <w:p w14:paraId="1891E15B" w14:textId="1CCC1087" w:rsidR="00F378A0" w:rsidRPr="009931C9" w:rsidRDefault="00F378A0" w:rsidP="00F378A0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</w:tc>
      </w:tr>
      <w:tr w:rsidR="00734B5A" w:rsidRPr="009931C9" w14:paraId="239532A1" w14:textId="77777777" w:rsidTr="00734B5A">
        <w:tc>
          <w:tcPr>
            <w:tcW w:w="704" w:type="dxa"/>
          </w:tcPr>
          <w:p w14:paraId="4A35B94F" w14:textId="1803B547" w:rsidR="00734B5A" w:rsidRPr="009931C9" w:rsidRDefault="00AF1CF3" w:rsidP="00AF1CF3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3. </w:t>
            </w:r>
          </w:p>
        </w:tc>
        <w:tc>
          <w:tcPr>
            <w:tcW w:w="3719" w:type="dxa"/>
          </w:tcPr>
          <w:p w14:paraId="0A12FB32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Audit Filing</w:t>
            </w:r>
          </w:p>
        </w:tc>
        <w:tc>
          <w:tcPr>
            <w:tcW w:w="4882" w:type="dxa"/>
          </w:tcPr>
          <w:p w14:paraId="153B6B6F" w14:textId="16E279C1" w:rsidR="00734B5A" w:rsidRPr="009931C9" w:rsidRDefault="00734B5A" w:rsidP="00AF1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Data Controllers are to file their Annual Data Protection Audit Reports</w:t>
            </w:r>
            <w:r w:rsidR="008703CA">
              <w:rPr>
                <w:rFonts w:ascii="Exo 2" w:hAnsi="Exo 2"/>
                <w:sz w:val="24"/>
                <w:szCs w:val="24"/>
                <w:lang w:val="en-US"/>
              </w:rPr>
              <w:t xml:space="preserve"> through a DPCO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on or before the 15</w:t>
            </w:r>
            <w:r w:rsidRPr="009931C9">
              <w:rPr>
                <w:rFonts w:ascii="Exo 2" w:hAnsi="Exo 2"/>
                <w:sz w:val="24"/>
                <w:szCs w:val="24"/>
                <w:vertAlign w:val="superscript"/>
                <w:lang w:val="en-US"/>
              </w:rPr>
              <w:t>th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of March of the following year</w:t>
            </w:r>
            <w:r w:rsidR="00D81931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</w:tr>
      <w:tr w:rsidR="00734B5A" w:rsidRPr="009931C9" w14:paraId="2D4A7F5D" w14:textId="77777777" w:rsidTr="00734B5A">
        <w:tc>
          <w:tcPr>
            <w:tcW w:w="704" w:type="dxa"/>
          </w:tcPr>
          <w:p w14:paraId="2DC411E5" w14:textId="713BDFC6" w:rsidR="00734B5A" w:rsidRPr="009931C9" w:rsidRDefault="00AF1CF3" w:rsidP="00AF1CF3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4.</w:t>
            </w:r>
          </w:p>
        </w:tc>
        <w:tc>
          <w:tcPr>
            <w:tcW w:w="3719" w:type="dxa"/>
          </w:tcPr>
          <w:p w14:paraId="55EF5C00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Contract Documentation</w:t>
            </w:r>
          </w:p>
        </w:tc>
        <w:tc>
          <w:tcPr>
            <w:tcW w:w="4882" w:type="dxa"/>
          </w:tcPr>
          <w:p w14:paraId="5AA955B9" w14:textId="146916F7" w:rsidR="00734B5A" w:rsidRPr="009931C9" w:rsidRDefault="00734B5A" w:rsidP="00AF1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The Company’s contracts with its employees, clients, customers, vendors should be revised regularly to provide for data protection clauses and general compliance with data protection legislation</w:t>
            </w:r>
            <w:r w:rsidR="00D81931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</w:tr>
      <w:tr w:rsidR="00734B5A" w:rsidRPr="009931C9" w14:paraId="1F2CE937" w14:textId="77777777" w:rsidTr="00734B5A">
        <w:tc>
          <w:tcPr>
            <w:tcW w:w="704" w:type="dxa"/>
          </w:tcPr>
          <w:p w14:paraId="1E04CE81" w14:textId="0B1A944B" w:rsidR="00734B5A" w:rsidRPr="009931C9" w:rsidRDefault="00CD5F23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5</w:t>
            </w:r>
            <w:r w:rsidR="00734B5A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</w:tcPr>
          <w:p w14:paraId="3972FBC9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Policy Documentation</w:t>
            </w:r>
          </w:p>
        </w:tc>
        <w:tc>
          <w:tcPr>
            <w:tcW w:w="4882" w:type="dxa"/>
          </w:tcPr>
          <w:p w14:paraId="5B14BE74" w14:textId="77777777" w:rsidR="00820DA3" w:rsidRPr="009931C9" w:rsidRDefault="00734B5A" w:rsidP="00820DA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The DPO is to carry out regular reviews of the Company’s internal policies to ensure compliance with data protection regulations. </w:t>
            </w:r>
          </w:p>
          <w:p w14:paraId="0B322E75" w14:textId="6A019DEF" w:rsidR="00734B5A" w:rsidRPr="009931C9" w:rsidRDefault="00734B5A" w:rsidP="00AF1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The DPO is to ensure that the Company has in place appropriate policies such as – HR Policy, Information Security Policy, Incident management policy, Privacy Policy, Data Breach Management Policy, Data Retention Policy</w:t>
            </w:r>
            <w:r w:rsidR="005C5A8A" w:rsidRPr="009931C9">
              <w:rPr>
                <w:rFonts w:ascii="Exo 2" w:hAnsi="Exo 2"/>
                <w:sz w:val="24"/>
                <w:szCs w:val="24"/>
                <w:lang w:val="en-US"/>
              </w:rPr>
              <w:t>, Disaster Recover Policy, Data Protection Impact Assessment Policy.</w:t>
            </w:r>
          </w:p>
        </w:tc>
      </w:tr>
      <w:tr w:rsidR="00734B5A" w:rsidRPr="009931C9" w14:paraId="66BF6B71" w14:textId="77777777" w:rsidTr="00734B5A">
        <w:tc>
          <w:tcPr>
            <w:tcW w:w="704" w:type="dxa"/>
          </w:tcPr>
          <w:p w14:paraId="18FBAAFD" w14:textId="440D09D6" w:rsidR="00734B5A" w:rsidRPr="009931C9" w:rsidRDefault="00CD5F23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6</w:t>
            </w:r>
            <w:r w:rsidR="00734B5A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</w:tcPr>
          <w:p w14:paraId="09DB74BE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Advisory</w:t>
            </w:r>
          </w:p>
        </w:tc>
        <w:tc>
          <w:tcPr>
            <w:tcW w:w="4882" w:type="dxa"/>
          </w:tcPr>
          <w:p w14:paraId="2CAD3AE6" w14:textId="77A93037" w:rsidR="00F000F4" w:rsidRPr="009931C9" w:rsidRDefault="00734B5A" w:rsidP="00F000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The Data Protection Officer is to advice the Company generally on compliance with relevant Data Protection legislation. </w:t>
            </w:r>
            <w:r w:rsidR="00106531" w:rsidRPr="009931C9">
              <w:rPr>
                <w:rFonts w:ascii="Exo 2" w:hAnsi="Exo 2"/>
                <w:sz w:val="24"/>
                <w:szCs w:val="24"/>
                <w:lang w:val="en-US"/>
              </w:rPr>
              <w:t>Specifically, the DPO is to liaise with the following functions that have responsibilities for Personal Data:  Human Resources,</w:t>
            </w:r>
            <w:r w:rsidR="00321614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  <w:r w:rsidR="00106531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Sales and </w:t>
            </w:r>
            <w:r w:rsidR="00106531" w:rsidRPr="009931C9">
              <w:rPr>
                <w:rFonts w:ascii="Exo 2" w:hAnsi="Exo 2"/>
                <w:sz w:val="24"/>
                <w:szCs w:val="24"/>
                <w:lang w:val="en-US"/>
              </w:rPr>
              <w:lastRenderedPageBreak/>
              <w:t>Marketing,</w:t>
            </w:r>
            <w:r w:rsidR="00321614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  <w:r w:rsidR="00066E69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Customer </w:t>
            </w:r>
            <w:r w:rsidR="00CC6B0E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Service, </w:t>
            </w:r>
            <w:r w:rsidR="00321614">
              <w:rPr>
                <w:rFonts w:ascii="Exo 2" w:hAnsi="Exo 2"/>
                <w:sz w:val="24"/>
                <w:szCs w:val="24"/>
                <w:lang w:val="en-US"/>
              </w:rPr>
              <w:t>Procurement</w:t>
            </w:r>
            <w:r w:rsidR="00CC6B0E" w:rsidRPr="009931C9">
              <w:rPr>
                <w:rFonts w:ascii="Exo 2" w:hAnsi="Exo 2"/>
                <w:sz w:val="24"/>
                <w:szCs w:val="24"/>
                <w:lang w:val="en-US"/>
              </w:rPr>
              <w:t>,</w:t>
            </w:r>
            <w:r w:rsidR="00321614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  <w:r w:rsidR="00CC6B0E" w:rsidRPr="009931C9">
              <w:rPr>
                <w:rFonts w:ascii="Exo 2" w:hAnsi="Exo 2"/>
                <w:sz w:val="24"/>
                <w:szCs w:val="24"/>
                <w:lang w:val="en-US"/>
              </w:rPr>
              <w:t>IT</w:t>
            </w:r>
            <w:r w:rsidR="00321614">
              <w:rPr>
                <w:rFonts w:ascii="Exo 2" w:hAnsi="Exo 2"/>
                <w:sz w:val="24"/>
                <w:szCs w:val="24"/>
                <w:lang w:val="en-US"/>
              </w:rPr>
              <w:t xml:space="preserve"> etc.</w:t>
            </w:r>
          </w:p>
          <w:p w14:paraId="1602117F" w14:textId="77777777" w:rsidR="002F7566" w:rsidRPr="009931C9" w:rsidRDefault="002F7566" w:rsidP="00AF1CF3">
            <w:pPr>
              <w:pStyle w:val="ListParagraph"/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5DC3119B" w14:textId="77777777" w:rsidR="00106531" w:rsidRPr="009931C9" w:rsidRDefault="00734B5A" w:rsidP="00F000F4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The DPO should be on the lookout for updates and changes to the provisions of data protection regulations </w:t>
            </w:r>
            <w:proofErr w:type="gramStart"/>
            <w:r w:rsidRPr="009931C9">
              <w:rPr>
                <w:rFonts w:ascii="Exo 2" w:hAnsi="Exo 2"/>
                <w:sz w:val="24"/>
                <w:szCs w:val="24"/>
                <w:lang w:val="en-US"/>
              </w:rPr>
              <w:t>so as to</w:t>
            </w:r>
            <w:proofErr w:type="gramEnd"/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effect those changes in the Company’s policies and processes and proffer accurate advice where necessary.</w:t>
            </w:r>
          </w:p>
          <w:p w14:paraId="1F875681" w14:textId="77777777" w:rsidR="00106531" w:rsidRPr="009931C9" w:rsidRDefault="00106531" w:rsidP="00AF1CF3">
            <w:pPr>
              <w:pStyle w:val="ListParagrap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431A65C7" w14:textId="35ED4D56" w:rsidR="00734B5A" w:rsidRPr="009931C9" w:rsidRDefault="00106531" w:rsidP="00AF1CF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The DPO should provide support to the process owner in the conduct of DPIAs.</w:t>
            </w:r>
            <w:r w:rsidR="00734B5A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</w:p>
        </w:tc>
      </w:tr>
      <w:tr w:rsidR="00734B5A" w:rsidRPr="009931C9" w14:paraId="5848B4EF" w14:textId="77777777" w:rsidTr="00734B5A">
        <w:tc>
          <w:tcPr>
            <w:tcW w:w="704" w:type="dxa"/>
          </w:tcPr>
          <w:p w14:paraId="5889BA52" w14:textId="690F831E" w:rsidR="00734B5A" w:rsidRPr="009931C9" w:rsidRDefault="00CD5F23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7</w:t>
            </w:r>
            <w:r w:rsidR="00734B5A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</w:tcPr>
          <w:p w14:paraId="36BDC7B0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Security</w:t>
            </w:r>
          </w:p>
        </w:tc>
        <w:tc>
          <w:tcPr>
            <w:tcW w:w="4882" w:type="dxa"/>
          </w:tcPr>
          <w:p w14:paraId="30B21801" w14:textId="2816984B" w:rsidR="00CC6B0E" w:rsidRPr="009931C9" w:rsidRDefault="00734B5A" w:rsidP="00CC6B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The Company should have adequate security measures in place</w:t>
            </w:r>
            <w:r w:rsidR="005C5A8A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  <w:proofErr w:type="gramStart"/>
            <w:r w:rsidR="005C5A8A" w:rsidRPr="009931C9">
              <w:rPr>
                <w:rFonts w:ascii="Exo 2" w:hAnsi="Exo 2"/>
                <w:sz w:val="24"/>
                <w:szCs w:val="24"/>
                <w:lang w:val="en-US"/>
              </w:rPr>
              <w:t>and also</w:t>
            </w:r>
            <w:proofErr w:type="gramEnd"/>
            <w:r w:rsidR="005C5A8A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ensure that the Company’s Information systems are guided by an information security standard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. </w:t>
            </w:r>
          </w:p>
          <w:p w14:paraId="05DD3324" w14:textId="77777777" w:rsidR="00CC6B0E" w:rsidRPr="009931C9" w:rsidRDefault="00CC6B0E" w:rsidP="00AF1CF3">
            <w:pPr>
              <w:pStyle w:val="ListParagraph"/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3E4FE9AC" w14:textId="77777777" w:rsidR="00CC6B0E" w:rsidRPr="009931C9" w:rsidRDefault="00734B5A" w:rsidP="00CC6B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Measures such as encryption, anonymization and pseudonymization should be incorporated into the Company’s systems. These should also be included in the Company’s Information Security Policy. </w:t>
            </w:r>
          </w:p>
          <w:p w14:paraId="1AC4331E" w14:textId="77777777" w:rsidR="00CC6B0E" w:rsidRPr="009931C9" w:rsidRDefault="00CC6B0E" w:rsidP="00AF1CF3">
            <w:pPr>
              <w:pStyle w:val="ListParagraph"/>
              <w:rPr>
                <w:rFonts w:ascii="Exo 2" w:hAnsi="Exo 2"/>
                <w:sz w:val="24"/>
                <w:szCs w:val="24"/>
                <w:lang w:val="en-US"/>
              </w:rPr>
            </w:pPr>
          </w:p>
          <w:p w14:paraId="447BA26B" w14:textId="77777777" w:rsidR="00CC6B0E" w:rsidRPr="009931C9" w:rsidRDefault="00734B5A" w:rsidP="00CC6B0E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The DPO should be on the look out for updates in security standards </w:t>
            </w:r>
            <w:proofErr w:type="gramStart"/>
            <w:r w:rsidRPr="009931C9">
              <w:rPr>
                <w:rFonts w:ascii="Exo 2" w:hAnsi="Exo 2"/>
                <w:sz w:val="24"/>
                <w:szCs w:val="24"/>
                <w:lang w:val="en-US"/>
              </w:rPr>
              <w:t>so as to</w:t>
            </w:r>
            <w:proofErr w:type="gramEnd"/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implement same in the Company’s security systems.</w:t>
            </w:r>
            <w:r w:rsidR="00661E3A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</w:p>
          <w:p w14:paraId="29A273FF" w14:textId="63E05A7C" w:rsidR="00661E3A" w:rsidRPr="009931C9" w:rsidRDefault="00661E3A" w:rsidP="00BF4A78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</w:tc>
      </w:tr>
      <w:tr w:rsidR="00734B5A" w:rsidRPr="009931C9" w14:paraId="2F1A7A45" w14:textId="77777777" w:rsidTr="00734B5A">
        <w:tc>
          <w:tcPr>
            <w:tcW w:w="704" w:type="dxa"/>
          </w:tcPr>
          <w:p w14:paraId="7852109C" w14:textId="377851A0" w:rsidR="00734B5A" w:rsidRPr="009931C9" w:rsidRDefault="00CD5F23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8</w:t>
            </w:r>
            <w:r w:rsidR="00734B5A"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</w:tcPr>
          <w:p w14:paraId="7F541E10" w14:textId="77777777" w:rsidR="00734B5A" w:rsidRPr="009931C9" w:rsidRDefault="00734B5A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Transfer to a foreign country</w:t>
            </w:r>
          </w:p>
        </w:tc>
        <w:tc>
          <w:tcPr>
            <w:tcW w:w="4882" w:type="dxa"/>
          </w:tcPr>
          <w:p w14:paraId="149FE5F3" w14:textId="77777777" w:rsidR="00BF4A78" w:rsidRPr="009931C9" w:rsidRDefault="00BF4A78" w:rsidP="000A209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Does the company transfer Personal Data outside Nigeria?</w:t>
            </w:r>
          </w:p>
          <w:p w14:paraId="5C36CBE5" w14:textId="77777777" w:rsidR="00BF4A78" w:rsidRPr="009931C9" w:rsidRDefault="00BF4A78" w:rsidP="000A209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Is the receiving country on NITDA’s Whitelist?</w:t>
            </w:r>
          </w:p>
          <w:p w14:paraId="59125382" w14:textId="0E15EE6F" w:rsidR="00734B5A" w:rsidRPr="009931C9" w:rsidRDefault="00BF4A78" w:rsidP="000A2094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If no, </w:t>
            </w:r>
            <w:r w:rsidR="002E4915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obtain 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>consent of Data Subject or Adequacy Decision</w:t>
            </w:r>
            <w:r w:rsidR="002E4915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of NITDA. </w:t>
            </w:r>
          </w:p>
        </w:tc>
      </w:tr>
      <w:tr w:rsidR="00734B5A" w:rsidRPr="009931C9" w14:paraId="406A3EB9" w14:textId="77777777" w:rsidTr="00734B5A">
        <w:tc>
          <w:tcPr>
            <w:tcW w:w="704" w:type="dxa"/>
          </w:tcPr>
          <w:p w14:paraId="25D16CF4" w14:textId="3FAA6F95" w:rsidR="00734B5A" w:rsidRPr="009931C9" w:rsidRDefault="00CD5F23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9</w:t>
            </w:r>
            <w:r w:rsidR="002E19FE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719" w:type="dxa"/>
          </w:tcPr>
          <w:p w14:paraId="6E4D95D8" w14:textId="0D62B975" w:rsidR="00734B5A" w:rsidRPr="009931C9" w:rsidRDefault="002E19FE" w:rsidP="00734B5A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Training</w:t>
            </w:r>
            <w:r w:rsidR="00661E3A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and Awareness</w:t>
            </w:r>
          </w:p>
        </w:tc>
        <w:tc>
          <w:tcPr>
            <w:tcW w:w="4882" w:type="dxa"/>
          </w:tcPr>
          <w:p w14:paraId="317A6B11" w14:textId="4C9355C9" w:rsidR="00734B5A" w:rsidRPr="009931C9" w:rsidRDefault="002E19FE" w:rsidP="00AF1CF3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The DPO should ensure regular capacity building for himself as well as for other personnel of the 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lastRenderedPageBreak/>
              <w:t xml:space="preserve">Company to ensure compliance with </w:t>
            </w:r>
            <w:r w:rsidR="001C3103" w:rsidRPr="009931C9">
              <w:rPr>
                <w:rFonts w:ascii="Exo 2" w:hAnsi="Exo 2"/>
                <w:sz w:val="24"/>
                <w:szCs w:val="24"/>
                <w:lang w:val="en-US"/>
              </w:rPr>
              <w:t>the NDPR</w:t>
            </w:r>
          </w:p>
        </w:tc>
      </w:tr>
      <w:tr w:rsidR="009B06B2" w:rsidRPr="009931C9" w14:paraId="14D7FA46" w14:textId="77777777" w:rsidTr="00734B5A">
        <w:tc>
          <w:tcPr>
            <w:tcW w:w="704" w:type="dxa"/>
          </w:tcPr>
          <w:p w14:paraId="36A7659E" w14:textId="2B3294F5" w:rsidR="009B06B2" w:rsidRPr="009931C9" w:rsidRDefault="00CD5F23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10</w:t>
            </w:r>
            <w:r w:rsidR="009B06B2"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719" w:type="dxa"/>
          </w:tcPr>
          <w:p w14:paraId="4EF23AA2" w14:textId="0583B771" w:rsidR="009B06B2" w:rsidRPr="009931C9" w:rsidRDefault="009B06B2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Consent of the Data Subject</w:t>
            </w:r>
          </w:p>
        </w:tc>
        <w:tc>
          <w:tcPr>
            <w:tcW w:w="4882" w:type="dxa"/>
          </w:tcPr>
          <w:p w14:paraId="6A915743" w14:textId="77777777" w:rsidR="009B06B2" w:rsidRPr="009931C9" w:rsidRDefault="009B06B2" w:rsidP="009B06B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>Specific purpose of collection must be disclosed to Data Subject.</w:t>
            </w:r>
          </w:p>
          <w:p w14:paraId="64CD8D57" w14:textId="77777777" w:rsidR="009B06B2" w:rsidRPr="009931C9" w:rsidRDefault="009B06B2" w:rsidP="009B06B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 xml:space="preserve">Consent must be obtained without fraud, </w:t>
            </w:r>
            <w:proofErr w:type="gramStart"/>
            <w:r w:rsidRPr="009931C9">
              <w:rPr>
                <w:rFonts w:ascii="Exo 2" w:hAnsi="Exo 2"/>
                <w:sz w:val="24"/>
                <w:szCs w:val="24"/>
              </w:rPr>
              <w:t>coercion</w:t>
            </w:r>
            <w:proofErr w:type="gramEnd"/>
            <w:r w:rsidRPr="009931C9">
              <w:rPr>
                <w:rFonts w:ascii="Exo 2" w:hAnsi="Exo 2"/>
                <w:sz w:val="24"/>
                <w:szCs w:val="24"/>
              </w:rPr>
              <w:t xml:space="preserve"> or undue influence.</w:t>
            </w:r>
          </w:p>
          <w:p w14:paraId="3CB420F1" w14:textId="77777777" w:rsidR="009B06B2" w:rsidRPr="009931C9" w:rsidRDefault="009B06B2" w:rsidP="009B06B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>Where consent is given in the context of a written declaration which also has details on other matters, the request for consent must be presented in a manner which is clearly distinguishable from the other matters.</w:t>
            </w:r>
          </w:p>
          <w:p w14:paraId="65608B53" w14:textId="77777777" w:rsidR="009B06B2" w:rsidRPr="009931C9" w:rsidRDefault="009B06B2" w:rsidP="00B9207C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>Language requesting consent must be plain and clear.</w:t>
            </w:r>
          </w:p>
          <w:p w14:paraId="43CDDDD2" w14:textId="77777777" w:rsidR="009B06B2" w:rsidRPr="009931C9" w:rsidRDefault="009B06B2" w:rsidP="009B06B2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>Prior to giving consent, data subject must be informed of his right and the ease to withdraw consent at any time.</w:t>
            </w:r>
          </w:p>
          <w:p w14:paraId="3DC049B2" w14:textId="0337506B" w:rsidR="009B06B2" w:rsidRPr="009931C9" w:rsidRDefault="009B06B2" w:rsidP="007A2003">
            <w:pPr>
              <w:jc w:val="both"/>
              <w:rPr>
                <w:rFonts w:ascii="Exo 2" w:hAnsi="Exo 2"/>
                <w:sz w:val="24"/>
                <w:szCs w:val="24"/>
                <w:lang w:val="en-US"/>
              </w:rPr>
            </w:pPr>
          </w:p>
        </w:tc>
      </w:tr>
      <w:tr w:rsidR="009B06B2" w:rsidRPr="009931C9" w14:paraId="38D6A5E4" w14:textId="77777777" w:rsidTr="00734B5A">
        <w:tc>
          <w:tcPr>
            <w:tcW w:w="704" w:type="dxa"/>
          </w:tcPr>
          <w:p w14:paraId="5E0B4879" w14:textId="027AD752" w:rsidR="009B06B2" w:rsidRPr="009931C9" w:rsidRDefault="009B06B2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1</w:t>
            </w:r>
            <w:r w:rsidR="00CD5F23" w:rsidRPr="009931C9">
              <w:rPr>
                <w:rFonts w:ascii="Exo 2" w:hAnsi="Exo 2"/>
                <w:sz w:val="24"/>
                <w:szCs w:val="24"/>
                <w:lang w:val="en-US"/>
              </w:rPr>
              <w:t>1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. </w:t>
            </w:r>
          </w:p>
        </w:tc>
        <w:tc>
          <w:tcPr>
            <w:tcW w:w="3719" w:type="dxa"/>
          </w:tcPr>
          <w:p w14:paraId="71E83314" w14:textId="3DB49322" w:rsidR="009B06B2" w:rsidRPr="009931C9" w:rsidRDefault="00443ABE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>Data Subject Rights</w:t>
            </w:r>
          </w:p>
        </w:tc>
        <w:tc>
          <w:tcPr>
            <w:tcW w:w="4882" w:type="dxa"/>
          </w:tcPr>
          <w:p w14:paraId="582FB713" w14:textId="0C754640" w:rsidR="009B06B2" w:rsidRPr="009931C9" w:rsidRDefault="00645234" w:rsidP="00645234">
            <w:pPr>
              <w:pStyle w:val="ListParagraph"/>
              <w:spacing w:after="160" w:line="259" w:lineRule="auto"/>
              <w:ind w:left="360"/>
              <w:rPr>
                <w:rFonts w:ascii="Exo 2" w:hAnsi="Exo 2"/>
                <w:sz w:val="24"/>
                <w:szCs w:val="24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Ensure the Data Subjects Rights are protected and can be exercised in accordance with the provisions of the NDPR. </w:t>
            </w:r>
            <w:r w:rsidR="00FD2AED" w:rsidRPr="009931C9">
              <w:rPr>
                <w:rFonts w:ascii="Exo 2" w:hAnsi="Exo 2"/>
                <w:sz w:val="24"/>
                <w:szCs w:val="24"/>
              </w:rPr>
              <w:t>The rights of the Data Subject under the NDPR include:</w:t>
            </w:r>
          </w:p>
          <w:p w14:paraId="52A756AD" w14:textId="77777777" w:rsidR="00FD2AED" w:rsidRPr="009931C9" w:rsidRDefault="00FD2AED" w:rsidP="00645234">
            <w:pPr>
              <w:pStyle w:val="ListParagraph"/>
              <w:spacing w:after="160" w:line="259" w:lineRule="auto"/>
              <w:ind w:left="360"/>
              <w:rPr>
                <w:rFonts w:ascii="Exo 2" w:hAnsi="Exo 2"/>
                <w:sz w:val="24"/>
                <w:szCs w:val="24"/>
              </w:rPr>
            </w:pPr>
          </w:p>
          <w:p w14:paraId="6E5AB02F" w14:textId="7E2FF606" w:rsidR="00FD2AED" w:rsidRPr="009931C9" w:rsidRDefault="00AA3942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Right to be informed</w:t>
            </w:r>
          </w:p>
          <w:p w14:paraId="10FE41D6" w14:textId="5E05350B" w:rsidR="00275368" w:rsidRPr="009931C9" w:rsidRDefault="00275368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Right of consent</w:t>
            </w:r>
          </w:p>
          <w:p w14:paraId="6DCF9D19" w14:textId="78D6DC78" w:rsidR="00AA3942" w:rsidRPr="009931C9" w:rsidRDefault="00AA3942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Right </w:t>
            </w:r>
            <w:r w:rsidR="00275368" w:rsidRPr="009931C9">
              <w:rPr>
                <w:rFonts w:ascii="Exo 2" w:hAnsi="Exo 2"/>
                <w:sz w:val="24"/>
                <w:szCs w:val="24"/>
                <w:lang w:val="en-US"/>
              </w:rPr>
              <w:t>of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access </w:t>
            </w:r>
            <w:r w:rsidR="00275368" w:rsidRPr="009931C9">
              <w:rPr>
                <w:rFonts w:ascii="Exo 2" w:hAnsi="Exo 2"/>
                <w:sz w:val="24"/>
                <w:szCs w:val="24"/>
                <w:lang w:val="en-US"/>
              </w:rPr>
              <w:t>to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 </w:t>
            </w:r>
            <w:r w:rsidR="00275368" w:rsidRPr="009931C9">
              <w:rPr>
                <w:rFonts w:ascii="Exo 2" w:hAnsi="Exo 2"/>
                <w:sz w:val="24"/>
                <w:szCs w:val="24"/>
                <w:lang w:val="en-US"/>
              </w:rPr>
              <w:t>P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>ersonal Data</w:t>
            </w:r>
          </w:p>
          <w:p w14:paraId="41301A94" w14:textId="77777777" w:rsidR="00AA3942" w:rsidRPr="009931C9" w:rsidRDefault="00AA3942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Right to be forgotten</w:t>
            </w:r>
          </w:p>
          <w:p w14:paraId="544E0A68" w14:textId="299740FA" w:rsidR="00AA3942" w:rsidRPr="009931C9" w:rsidRDefault="00AA3942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Right to Personal Data </w:t>
            </w:r>
            <w:r w:rsidR="009931C9" w:rsidRPr="009931C9">
              <w:rPr>
                <w:rFonts w:ascii="Exo 2" w:hAnsi="Exo 2"/>
                <w:sz w:val="24"/>
                <w:szCs w:val="24"/>
                <w:lang w:val="en-US"/>
              </w:rPr>
              <w:t>Portability</w:t>
            </w:r>
          </w:p>
          <w:p w14:paraId="2AA47FA7" w14:textId="58BA9A63" w:rsidR="009931C9" w:rsidRPr="009931C9" w:rsidRDefault="009931C9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Right to restrict processing</w:t>
            </w:r>
          </w:p>
          <w:p w14:paraId="09C1A33B" w14:textId="5211E18F" w:rsidR="009931C9" w:rsidRPr="009931C9" w:rsidRDefault="009931C9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Right to object</w:t>
            </w:r>
          </w:p>
          <w:p w14:paraId="73FC8065" w14:textId="5DD3E9AA" w:rsidR="00AA3942" w:rsidRPr="009931C9" w:rsidRDefault="00AA3942" w:rsidP="00B9207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 xml:space="preserve">Right to rectification of </w:t>
            </w:r>
            <w:r w:rsidR="00146090" w:rsidRPr="009931C9">
              <w:rPr>
                <w:rFonts w:ascii="Exo 2" w:hAnsi="Exo 2"/>
                <w:sz w:val="24"/>
                <w:szCs w:val="24"/>
                <w:lang w:val="en-US"/>
              </w:rPr>
              <w:t>Personal Data</w:t>
            </w:r>
          </w:p>
        </w:tc>
      </w:tr>
      <w:tr w:rsidR="009B06B2" w:rsidRPr="009931C9" w14:paraId="47A47A15" w14:textId="77777777" w:rsidTr="00734B5A">
        <w:tc>
          <w:tcPr>
            <w:tcW w:w="704" w:type="dxa"/>
          </w:tcPr>
          <w:p w14:paraId="1200443D" w14:textId="36176CAB" w:rsidR="009B06B2" w:rsidRPr="009931C9" w:rsidRDefault="00581EF9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  <w:lang w:val="en-US"/>
              </w:rPr>
              <w:t>1</w:t>
            </w:r>
            <w:r w:rsidR="00CD5F23" w:rsidRPr="009931C9">
              <w:rPr>
                <w:rFonts w:ascii="Exo 2" w:hAnsi="Exo 2"/>
                <w:sz w:val="24"/>
                <w:szCs w:val="24"/>
                <w:lang w:val="en-US"/>
              </w:rPr>
              <w:t>2</w:t>
            </w:r>
            <w:r w:rsidRPr="009931C9">
              <w:rPr>
                <w:rFonts w:ascii="Exo 2" w:hAnsi="Exo 2"/>
                <w:sz w:val="24"/>
                <w:szCs w:val="24"/>
                <w:lang w:val="en-US"/>
              </w:rPr>
              <w:t>.</w:t>
            </w:r>
          </w:p>
        </w:tc>
        <w:tc>
          <w:tcPr>
            <w:tcW w:w="3719" w:type="dxa"/>
          </w:tcPr>
          <w:p w14:paraId="2F468292" w14:textId="280B9140" w:rsidR="009B06B2" w:rsidRPr="009931C9" w:rsidRDefault="00581EF9" w:rsidP="009B06B2">
            <w:pPr>
              <w:rPr>
                <w:rFonts w:ascii="Exo 2" w:hAnsi="Exo 2"/>
                <w:sz w:val="24"/>
                <w:szCs w:val="24"/>
                <w:lang w:val="en-US"/>
              </w:rPr>
            </w:pPr>
            <w:r w:rsidRPr="009931C9">
              <w:rPr>
                <w:rFonts w:ascii="Exo 2" w:hAnsi="Exo 2"/>
                <w:sz w:val="24"/>
                <w:szCs w:val="24"/>
              </w:rPr>
              <w:t xml:space="preserve">Legal </w:t>
            </w:r>
            <w:r w:rsidR="00D954D0">
              <w:rPr>
                <w:rFonts w:ascii="Exo 2" w:hAnsi="Exo 2"/>
                <w:sz w:val="24"/>
                <w:szCs w:val="24"/>
                <w:lang w:val="en-GB"/>
              </w:rPr>
              <w:t>basis</w:t>
            </w:r>
            <w:r w:rsidRPr="009931C9">
              <w:rPr>
                <w:rFonts w:ascii="Exo 2" w:hAnsi="Exo 2"/>
                <w:sz w:val="24"/>
                <w:szCs w:val="24"/>
              </w:rPr>
              <w:t xml:space="preserve"> for processing data</w:t>
            </w:r>
          </w:p>
        </w:tc>
        <w:tc>
          <w:tcPr>
            <w:tcW w:w="4882" w:type="dxa"/>
          </w:tcPr>
          <w:p w14:paraId="28AB4163" w14:textId="0210DB5B" w:rsidR="00FD2AED" w:rsidRPr="009931C9" w:rsidRDefault="00FD2AED" w:rsidP="000A2094">
            <w:pPr>
              <w:pStyle w:val="Default"/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Ensure that the Data Controller processes Personal Data on any of the following legal bases:</w:t>
            </w:r>
          </w:p>
          <w:p w14:paraId="5BBBE65B" w14:textId="1349D016" w:rsidR="00FD2AED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Legitimate Interest</w:t>
            </w:r>
          </w:p>
          <w:p w14:paraId="11C0A2CD" w14:textId="64CADB71" w:rsidR="008B14B3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Legal Obligation</w:t>
            </w:r>
          </w:p>
          <w:p w14:paraId="555175B6" w14:textId="394B012E" w:rsidR="008B14B3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Public Interest</w:t>
            </w:r>
          </w:p>
          <w:p w14:paraId="0D791B07" w14:textId="502CC890" w:rsidR="008B14B3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lastRenderedPageBreak/>
              <w:t>Contract</w:t>
            </w:r>
          </w:p>
          <w:p w14:paraId="61171C5E" w14:textId="03600A4A" w:rsidR="008B14B3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Vital Interest</w:t>
            </w:r>
          </w:p>
          <w:p w14:paraId="16777E1F" w14:textId="6C4B8637" w:rsidR="008B14B3" w:rsidRPr="009931C9" w:rsidRDefault="008B14B3" w:rsidP="000A2094">
            <w:pPr>
              <w:pStyle w:val="Default"/>
              <w:numPr>
                <w:ilvl w:val="0"/>
                <w:numId w:val="3"/>
              </w:numPr>
              <w:spacing w:after="160"/>
              <w:rPr>
                <w:rFonts w:ascii="Exo 2" w:hAnsi="Exo 2" w:cstheme="minorHAnsi"/>
              </w:rPr>
            </w:pPr>
            <w:r w:rsidRPr="009931C9">
              <w:rPr>
                <w:rFonts w:ascii="Exo 2" w:hAnsi="Exo 2" w:cstheme="minorHAnsi"/>
              </w:rPr>
              <w:t>Consent</w:t>
            </w:r>
          </w:p>
          <w:p w14:paraId="3F0BED89" w14:textId="37677D5B" w:rsidR="009B06B2" w:rsidRPr="009931C9" w:rsidRDefault="009B06B2" w:rsidP="000A2094">
            <w:pPr>
              <w:rPr>
                <w:rFonts w:ascii="Exo 2" w:hAnsi="Exo 2"/>
                <w:sz w:val="24"/>
                <w:szCs w:val="24"/>
                <w:lang w:val="en-US"/>
              </w:rPr>
            </w:pPr>
          </w:p>
        </w:tc>
      </w:tr>
    </w:tbl>
    <w:p w14:paraId="4BCB8507" w14:textId="77777777" w:rsidR="00657A6A" w:rsidRPr="009931C9" w:rsidRDefault="00657A6A" w:rsidP="00C767DB">
      <w:pPr>
        <w:rPr>
          <w:rFonts w:ascii="Exo 2" w:hAnsi="Exo 2"/>
          <w:sz w:val="24"/>
          <w:szCs w:val="24"/>
        </w:rPr>
      </w:pPr>
    </w:p>
    <w:sectPr w:rsidR="00657A6A" w:rsidRPr="009931C9" w:rsidSect="008703CA">
      <w:head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4BA440" w14:textId="77777777" w:rsidR="008B1595" w:rsidRDefault="008B1595" w:rsidP="00734B5A">
      <w:pPr>
        <w:spacing w:after="0" w:line="240" w:lineRule="auto"/>
      </w:pPr>
      <w:r>
        <w:separator/>
      </w:r>
    </w:p>
  </w:endnote>
  <w:endnote w:type="continuationSeparator" w:id="0">
    <w:p w14:paraId="67A0B59E" w14:textId="77777777" w:rsidR="008B1595" w:rsidRDefault="008B1595" w:rsidP="00734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xo 2"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E0DDE" w14:textId="77777777" w:rsidR="008B1595" w:rsidRDefault="008B1595" w:rsidP="00734B5A">
      <w:pPr>
        <w:spacing w:after="0" w:line="240" w:lineRule="auto"/>
      </w:pPr>
      <w:r>
        <w:separator/>
      </w:r>
    </w:p>
  </w:footnote>
  <w:footnote w:type="continuationSeparator" w:id="0">
    <w:p w14:paraId="11DDF294" w14:textId="77777777" w:rsidR="008B1595" w:rsidRDefault="008B1595" w:rsidP="00734B5A">
      <w:pPr>
        <w:spacing w:after="0" w:line="240" w:lineRule="auto"/>
      </w:pPr>
      <w:r>
        <w:continuationSeparator/>
      </w:r>
    </w:p>
  </w:footnote>
  <w:footnote w:id="1">
    <w:p w14:paraId="0E211C84" w14:textId="57ED8F82" w:rsidR="00F378A0" w:rsidRPr="00AF1CF3" w:rsidRDefault="00F378A0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4D50B0">
        <w:rPr>
          <w:rFonts w:ascii="Exo 2" w:hAnsi="Exo 2"/>
          <w:lang w:val="en-US"/>
        </w:rPr>
        <w:t>In addition to criminal liability, where a defaulter Data Controller deals with more than 10,000 Data Subjects, fine of 2% Annual Gross Revenue or 10 Million naira, whichever is greater. Where a defaulter Data Controller deals with less than 10,000 Data Subjects, fine of 1% of the Annual Gross Revenue or 2 Million Naira, whichever is greater.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BF11A" w14:textId="1F3B42AE" w:rsidR="00734B5A" w:rsidRPr="00321614" w:rsidRDefault="004255A6" w:rsidP="00321614">
    <w:pPr>
      <w:pStyle w:val="Header"/>
      <w:jc w:val="center"/>
      <w:rPr>
        <w:rFonts w:ascii="Exo 2" w:hAnsi="Exo 2"/>
        <w:b/>
        <w:bCs/>
        <w:sz w:val="32"/>
        <w:szCs w:val="32"/>
        <w:lang w:val="en-US"/>
      </w:rPr>
    </w:pPr>
    <w:r>
      <w:rPr>
        <w:rFonts w:ascii="Exo 2" w:hAnsi="Exo 2"/>
        <w:b/>
        <w:bCs/>
        <w:sz w:val="32"/>
        <w:szCs w:val="32"/>
        <w:lang w:val="en-US"/>
      </w:rPr>
      <w:t>NDPR</w:t>
    </w:r>
    <w:r w:rsidR="00FE3A94">
      <w:rPr>
        <w:rFonts w:ascii="Exo 2" w:hAnsi="Exo 2"/>
        <w:b/>
        <w:bCs/>
        <w:sz w:val="32"/>
        <w:szCs w:val="32"/>
        <w:lang w:val="en-US"/>
      </w:rPr>
      <w:t xml:space="preserve"> </w:t>
    </w:r>
    <w:r w:rsidR="00321614" w:rsidRPr="00321614">
      <w:rPr>
        <w:rFonts w:ascii="Exo 2" w:hAnsi="Exo 2"/>
        <w:b/>
        <w:bCs/>
        <w:sz w:val="32"/>
        <w:szCs w:val="32"/>
        <w:lang w:val="en-US"/>
      </w:rPr>
      <w:t>COMPLIANCE CHECKLIST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226B6"/>
    <w:multiLevelType w:val="hybridMultilevel"/>
    <w:tmpl w:val="AC8E52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B366C6"/>
    <w:multiLevelType w:val="hybridMultilevel"/>
    <w:tmpl w:val="2C4226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3B728B"/>
    <w:multiLevelType w:val="hybridMultilevel"/>
    <w:tmpl w:val="76FC0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92E7F"/>
    <w:multiLevelType w:val="hybridMultilevel"/>
    <w:tmpl w:val="13AE6800"/>
    <w:lvl w:ilvl="0" w:tplc="2000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A4E41"/>
    <w:multiLevelType w:val="hybridMultilevel"/>
    <w:tmpl w:val="AB1A8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F22F50"/>
    <w:multiLevelType w:val="hybridMultilevel"/>
    <w:tmpl w:val="807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51280E"/>
    <w:multiLevelType w:val="hybridMultilevel"/>
    <w:tmpl w:val="B1127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E874CA"/>
    <w:multiLevelType w:val="hybridMultilevel"/>
    <w:tmpl w:val="6966C5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9A5232"/>
    <w:multiLevelType w:val="hybridMultilevel"/>
    <w:tmpl w:val="1576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607FF7"/>
    <w:multiLevelType w:val="hybridMultilevel"/>
    <w:tmpl w:val="4B788A34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4"/>
  </w:num>
  <w:num w:numId="8">
    <w:abstractNumId w:val="6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68"/>
    <w:rsid w:val="00024A27"/>
    <w:rsid w:val="00050755"/>
    <w:rsid w:val="0005794A"/>
    <w:rsid w:val="00066E69"/>
    <w:rsid w:val="00070878"/>
    <w:rsid w:val="00080B81"/>
    <w:rsid w:val="00082278"/>
    <w:rsid w:val="000A2094"/>
    <w:rsid w:val="000D784E"/>
    <w:rsid w:val="00106531"/>
    <w:rsid w:val="00146090"/>
    <w:rsid w:val="0018172F"/>
    <w:rsid w:val="001C3103"/>
    <w:rsid w:val="001C65AE"/>
    <w:rsid w:val="00201F1F"/>
    <w:rsid w:val="00262A00"/>
    <w:rsid w:val="002718B5"/>
    <w:rsid w:val="00275368"/>
    <w:rsid w:val="00294182"/>
    <w:rsid w:val="002B412B"/>
    <w:rsid w:val="002E19FE"/>
    <w:rsid w:val="002E4915"/>
    <w:rsid w:val="002F7566"/>
    <w:rsid w:val="00321614"/>
    <w:rsid w:val="0034346D"/>
    <w:rsid w:val="00393343"/>
    <w:rsid w:val="00411CFE"/>
    <w:rsid w:val="004255A6"/>
    <w:rsid w:val="00443ABE"/>
    <w:rsid w:val="0045377A"/>
    <w:rsid w:val="004D50B0"/>
    <w:rsid w:val="005070A0"/>
    <w:rsid w:val="0054758E"/>
    <w:rsid w:val="00581EF9"/>
    <w:rsid w:val="005A0C6F"/>
    <w:rsid w:val="005B06C9"/>
    <w:rsid w:val="005C3F36"/>
    <w:rsid w:val="005C5A8A"/>
    <w:rsid w:val="00645234"/>
    <w:rsid w:val="00657A6A"/>
    <w:rsid w:val="00661E3A"/>
    <w:rsid w:val="0073308F"/>
    <w:rsid w:val="00734B5A"/>
    <w:rsid w:val="007366AF"/>
    <w:rsid w:val="007960E2"/>
    <w:rsid w:val="007A2003"/>
    <w:rsid w:val="007B7F75"/>
    <w:rsid w:val="00820DA3"/>
    <w:rsid w:val="0082221E"/>
    <w:rsid w:val="008703CA"/>
    <w:rsid w:val="008B14B3"/>
    <w:rsid w:val="008B1595"/>
    <w:rsid w:val="008C5A2A"/>
    <w:rsid w:val="008E10E2"/>
    <w:rsid w:val="009931C9"/>
    <w:rsid w:val="009B06B2"/>
    <w:rsid w:val="009D3177"/>
    <w:rsid w:val="009D5425"/>
    <w:rsid w:val="009F2C4D"/>
    <w:rsid w:val="00A55E65"/>
    <w:rsid w:val="00AA3942"/>
    <w:rsid w:val="00AD7062"/>
    <w:rsid w:val="00AF1CF3"/>
    <w:rsid w:val="00AF3FD2"/>
    <w:rsid w:val="00B9207C"/>
    <w:rsid w:val="00BA2D5B"/>
    <w:rsid w:val="00BF4A78"/>
    <w:rsid w:val="00C1050A"/>
    <w:rsid w:val="00C767DB"/>
    <w:rsid w:val="00C76F98"/>
    <w:rsid w:val="00CC6B0E"/>
    <w:rsid w:val="00CD5F23"/>
    <w:rsid w:val="00CE702C"/>
    <w:rsid w:val="00CF351B"/>
    <w:rsid w:val="00D76F2B"/>
    <w:rsid w:val="00D77D68"/>
    <w:rsid w:val="00D81931"/>
    <w:rsid w:val="00D954D0"/>
    <w:rsid w:val="00E56D58"/>
    <w:rsid w:val="00EF2D68"/>
    <w:rsid w:val="00F000F4"/>
    <w:rsid w:val="00F378A0"/>
    <w:rsid w:val="00FA1DB3"/>
    <w:rsid w:val="00FD2AED"/>
    <w:rsid w:val="00FD7431"/>
    <w:rsid w:val="00FE0A38"/>
    <w:rsid w:val="00FE3A94"/>
    <w:rsid w:val="00FF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4E3F7"/>
  <w15:chartTrackingRefBased/>
  <w15:docId w15:val="{3F33FC52-E4F2-4CBC-BC2F-B30829035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0A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B5A"/>
  </w:style>
  <w:style w:type="paragraph" w:styleId="Footer">
    <w:name w:val="footer"/>
    <w:basedOn w:val="Normal"/>
    <w:link w:val="FooterChar"/>
    <w:uiPriority w:val="99"/>
    <w:unhideWhenUsed/>
    <w:rsid w:val="00734B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B5A"/>
  </w:style>
  <w:style w:type="paragraph" w:styleId="BalloonText">
    <w:name w:val="Balloon Text"/>
    <w:basedOn w:val="Normal"/>
    <w:link w:val="BalloonTextChar"/>
    <w:uiPriority w:val="99"/>
    <w:semiHidden/>
    <w:unhideWhenUsed/>
    <w:rsid w:val="007960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0E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B06B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6B2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6B2"/>
    <w:rPr>
      <w:sz w:val="20"/>
      <w:szCs w:val="20"/>
      <w:lang w:val="en-US"/>
    </w:rPr>
  </w:style>
  <w:style w:type="paragraph" w:customStyle="1" w:styleId="Default">
    <w:name w:val="Default"/>
    <w:rsid w:val="00581EF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78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8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78A0"/>
    <w:rPr>
      <w:vertAlign w:val="superscript"/>
    </w:rPr>
  </w:style>
  <w:style w:type="paragraph" w:styleId="Revision">
    <w:name w:val="Revision"/>
    <w:hidden/>
    <w:uiPriority w:val="99"/>
    <w:semiHidden/>
    <w:rsid w:val="00106531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D954D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01A260-D646-7D4C-97A7-4F620A31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Taxtech</dc:creator>
  <cp:keywords/>
  <dc:description/>
  <cp:lastModifiedBy>Taxtech</cp:lastModifiedBy>
  <cp:revision>5</cp:revision>
  <dcterms:created xsi:type="dcterms:W3CDTF">2020-11-12T11:30:00Z</dcterms:created>
  <dcterms:modified xsi:type="dcterms:W3CDTF">2020-12-05T21:53:00Z</dcterms:modified>
</cp:coreProperties>
</file>