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20"/>
        <w:jc w:val="center"/>
      </w:pPr>
      <w:r>
        <w:drawing>
          <wp:inline distT="0" distB="0" distL="0" distR="0">
            <wp:extent cx="1809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000033"/>
          <w:sz w:val="56"/>
          <w:szCs w:val="56"/>
        </w:rPr>
        <w:t xml:space="preserve">AROB</w:t>
      </w:r>
    </w:p>
    <w:p>
      <w:pPr>
        <w:spacing w:after="20"/>
        <w:jc w:val="center"/>
      </w:pPr>
      <w:r>
        <w:rPr>
          <w:color w:val="6B7280"/>
          <w:spacing w:val="40"/>
          <w:sz w:val="16"/>
          <w:szCs w:val="16"/>
        </w:rPr>
        <w:t>SOLUCIONES A MEDIDA</w:t>
      </w:r>
    </w:p>
    <w:p>
      <w:pPr>
        <w:spacing w:after="20" w:before="80"/>
        <w:jc w:val="center"/>
      </w:pPr>
      <w:r>
        <w:rPr>
          <w:b/>
          <w:bCs/>
          <w:color w:val="000033"/>
          <w:sz w:val="40"/>
          <w:szCs w:val="40"/>
        </w:rPr>
        <w:t xml:space="preserve">MANUAL DE MARCA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>Versión 1.1 · Agosto 2026</w:t>
      </w:r>
    </w:p>
    <w:p>
      <w:pPr>
        <w:pBdr>
          <w:top w:val="single" w:color="000033" w:sz="8" w:space="8"/>
        </w:pBdr>
        <w:spacing w:before="200"/>
        <w:jc w:val="center"/>
      </w:pPr>
      <w:r>
        <w:rPr>
          <w:color w:val="6B7280"/>
          <w:sz w:val="20"/>
          <w:szCs w:val="20"/>
        </w:rPr>
        <w:t>Ayelen Robredo · AROB Soluciones a Medida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Filosofía de marca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AROB es el estudio freelance de desarrollo de software de Ayelen Robredo. El nombre combina sus iniciales con el sonido de “arroba” (@), el símbolo universal de lo digital y lo conectado.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Nace como un estudio de una sola persona, con la idea de crecer: sumar colegas de otras especialidades (diseño, infraestructura, producto) a medida que los proyectos lo requieran. La marca está pensada para sostener ese crecimiento sin perder identidad.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isotipo combina el símbolo “@” con un monograma “aR” inscripto en su interior: un solo trazo circular que funde el signo de arroba con las iniciales de Ayelen Robredo.</w:t>
      </w:r>
    </w:p>
    <w:p>
      <w:r>
        <w:t>El nombre de marca convive con “arob.code”: el handle usado en Instagram y la URL del sitio (arobcode.vercel.app), la misma marca en formato legible como usuario/dominio (“arob” a secas ya estaba tomado). En piezas de marca, “arob.code” acompaña al wordmark “AROB” como referencia más chica — nunca lo reemplaza.</w:t>
      </w:r>
    </w:p>
    <w:p>
      <w:pPr>
        <w:pStyle w:val="Heading1"/>
        <w:spacing w:after="160" w:before="360"/>
      </w:pPr>
      <w:r>
        <w:t xml:space="preserve">2. Logotipo</w:t>
      </w:r>
    </w:p>
    <w:p>
      <w:pPr>
        <w:pStyle w:val="Heading2"/>
        <w:spacing w:after="120" w:before="240"/>
      </w:pPr>
      <w:r>
        <w:t xml:space="preserve">2.1 Isotipo — versión principal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Uso por defecto sobre fondos claros o blancos. Es la versión de referencia; todas las demás se derivan de esta.</w:t>
      </w:r>
    </w:p>
    <w:p>
      <w:pPr>
        <w:spacing w:after="200" w:before="120"/>
        <w:jc w:val="center"/>
      </w:pPr>
      <w:r>
        <w:drawing>
          <wp:inline distT="0" distB="0" distL="0" distR="0">
            <wp:extent cx="16192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2.2 Versión monocromática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Para aplicaciones en un solo color (sellos, grabados, impresión en blanco y negro, documentos formales).</w:t>
      </w:r>
    </w:p>
    <w:p>
      <w:pPr>
        <w:spacing w:after="200" w:before="120"/>
        <w:jc w:val="center"/>
      </w:pPr>
      <w:r>
        <w:drawing>
          <wp:inline distT="0" distB="0" distL="0" distR="0">
            <wp:extent cx="142875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2.3 Versión negativa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Para uso sobre fondos oscuros o de color: fotografías, videos, presentaciones con fondo navy.</w:t>
      </w:r>
    </w:p>
    <w:p>
      <w:pPr>
        <w:spacing w:after="200" w:before="120"/>
        <w:jc w:val="center"/>
      </w:pPr>
      <w:r>
        <w:drawing>
          <wp:inline distT="0" distB="0" distL="0" distR="0">
            <wp:extent cx="142875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2.4 Ícono de aplicación / favicon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Formato para favicon del sitio, ícono de app o avatar de redes sociales: isotipo en blanco sobre el degradado de marca, dentro de un cuadrado con esquinas redondeadas.</w:t>
      </w:r>
    </w:p>
    <w:p>
      <w:pPr>
        <w:spacing w:after="200" w:before="12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2.5 Wordmark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>El isotipo no incluye el texto “AROB” dibujado: el nombre se compone siempre como texto vivo (no imagen), en Arvo Bold, acompañando al isotipo — nunca reemplazándolo ni redibujado a mano. El tagline “SOLUCIONES A MEDIDA” va en Montserrat, versalitas, con tracking amplio, junto al wordmark. “arob.code” (el handle de Instagram y la URL del sitio) puede acompañar como referencia más chica — complementa al wordmark, no lo reemplaza. Ver sección 4 (Tipografía) y sección 7 (SEO vs. tagline) para el detalle.</w:t>
      </w:r>
    </w:p>
    <w:p>
      <w:pPr>
        <w:pStyle w:val="Heading2"/>
        <w:spacing w:after="120" w:before="240"/>
      </w:pPr>
      <w:r>
        <w:t xml:space="preserve">2.6 Área de protección y tamaño mínimo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Dejar alrededor del isotipo un margen libre equivalente, como mínimo, a un cuarto de su ancho total. Ningún otro elemento (texto, imágenes, bordes) debe invadir ese margen.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Tamaño mínimo recomendado: 24px de alto para el isotipo solo. Por debajo de ese tamaño el trazo del monograma interior pierde legibilidad.</w:t>
      </w:r>
    </w:p>
    <w:p>
      <w:pPr>
        <w:pStyle w:val="Heading2"/>
        <w:spacing w:after="120" w:before="240"/>
      </w:pPr>
      <w:r>
        <w:t xml:space="preserve">2.7 Usos incorrectos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estirar ni deformar el isotipo en ningún eje.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rotar el isotipo.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cambiar los colores fuera de las versiones definidas (principal, mono, negativa).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aplicar sombras, contornos ni efectos 3D.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redibujar ni recomponer el monograma interior.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ubicar el isotipo sobre fondos con poco contraste.</w:t>
      </w:r>
    </w:p>
    <w:p>
      <w:pPr>
        <w:pStyle w:val="Heading1"/>
        <w:spacing w:after="160" w:before="360"/>
      </w:pPr>
      <w:r>
        <w:t xml:space="preserve">3. Paleta de colores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Cuatro colores base, todos dentro de la misma familia azul/navy. El contraste se logra por variación de tono, no sumando colores nuevos.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400"/>
      </w:tblGrid>
      <w:tr>
        <w:tc>
          <w:tcPr>
            <w:tcW w:type="dxa" w:w="1400"/>
            <w:shd w:fill="0000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shd w:fill="0000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400"/>
            <w:shd w:fill="0000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shd w:fill="0033C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#0033CC</w:t>
            </w:r>
          </w:p>
        </w:tc>
        <w:tc>
          <w:tcPr>
            <w:tcW w:type="dxa" w:w="26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Gradient Blue 1</w:t>
            </w:r>
          </w:p>
        </w:tc>
        <w:tc>
          <w:tcPr>
            <w:tcW w:type="dxa" w:w="54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Color principal de marca. Botones, acentos, primer color del degradado del isotipo.</w:t>
            </w:r>
          </w:p>
        </w:tc>
      </w:tr>
      <w:tr>
        <w:tc>
          <w:tcPr>
            <w:tcW w:type="dxa" w:w="1400"/>
            <w:shd w:fill="00008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#000080</w:t>
            </w:r>
          </w:p>
        </w:tc>
        <w:tc>
          <w:tcPr>
            <w:tcW w:type="dxa" w:w="26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Gradient Blue 2</w:t>
            </w:r>
          </w:p>
        </w:tc>
        <w:tc>
          <w:tcPr>
            <w:tcW w:type="dxa" w:w="54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Segundo color del degradado. Se combina con Blue 1 en fondos, íconos de app y hovers.</w:t>
            </w:r>
          </w:p>
        </w:tc>
      </w:tr>
      <w:tr>
        <w:tc>
          <w:tcPr>
            <w:tcW w:type="dxa" w:w="1400"/>
            <w:shd w:fill="00003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#000033</w:t>
            </w:r>
          </w:p>
        </w:tc>
        <w:tc>
          <w:tcPr>
            <w:tcW w:type="dxa" w:w="26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Navy Text</w:t>
            </w:r>
          </w:p>
        </w:tc>
        <w:tc>
          <w:tcPr>
            <w:tcW w:type="dxa" w:w="54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Color de texto principal y del wordmark “AROB”. Reemplaza al negro puro en toda la marca.</w:t>
            </w:r>
          </w:p>
        </w:tc>
      </w:tr>
      <w:tr>
        <w:tc>
          <w:tcPr>
            <w:tcW w:type="dxa" w:w="1400"/>
            <w:shd w:fill="0055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#0055FF</w:t>
            </w:r>
          </w:p>
        </w:tc>
        <w:tc>
          <w:tcPr>
            <w:tcW w:type="dxa" w:w="26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 Blue</w:t>
            </w:r>
          </w:p>
        </w:tc>
        <w:tc>
          <w:tcPr>
            <w:tcW w:type="dxa" w:w="5400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Acento puntual: enlaces activos, detalles pequeños, estados de foco.</w:t>
            </w:r>
          </w:p>
        </w:tc>
      </w:tr>
    </w:tbl>
    <w:p>
      <w:pPr>
        <w:spacing w:before="240"/>
      </w:pPr>
    </w:p>
    <w:p>
      <w:pPr>
        <w:spacing w:after="160"/>
      </w:pPr>
      <w:r>
        <w:rPr>
          <w:b w:val="false"/>
          <w:bCs w:val="false"/>
          <w:i/>
          <w:iCs/>
          <w:color w:val="6B7280"/>
        </w:rPr>
        <w:t xml:space="preserve">Estos tokens ya están aplicados en el sitio de AROB (arob-landing) como variables CSS: --accent, --accent-2, --ink y --accent-bright.</w:t>
      </w:r>
    </w:p>
    <w:p>
      <w:pPr>
        <w:pStyle w:val="Heading1"/>
        <w:spacing w:after="160" w:before="360"/>
      </w:pPr>
      <w:r>
        <w:t xml:space="preserve">4. Tipografía</w:t>
      </w:r>
    </w:p>
    <w:p>
      <w:pPr>
        <w:pStyle w:val="Heading2"/>
        <w:spacing w:after="120" w:before="240"/>
      </w:pPr>
      <w:r>
        <w:t xml:space="preserve">4.1 Arvo (Bold)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Tipografía de marca. Se usa en el wordmark “AROB”, en títulos y en subtítulos principales. Es una slab serif: transmite solidez y un carácter más editorial que las tipografías genéricas de interfaz.</w:t>
      </w:r>
    </w:p>
    <w:p>
      <w:pPr>
        <w:pStyle w:val="Heading2"/>
        <w:spacing w:after="120" w:before="240"/>
      </w:pPr>
      <w:r>
        <w:t xml:space="preserve">4.2 Montserrat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>Tipografía de uso general: párrafos, menú de navegación, botones, formularios y el tagline “SOLUCIONES A MEDIDA” (en versalitas, con tracking amplio).</w:t>
      </w:r>
    </w:p>
    <w:p>
      <w:pPr>
        <w:spacing w:after="160"/>
      </w:pPr>
      <w:r>
        <w:rPr>
          <w:b w:val="false"/>
          <w:bCs w:val="false"/>
          <w:i/>
          <w:iCs/>
          <w:color w:val="6B7280"/>
        </w:rPr>
        <w:t xml:space="preserve">Ambas están disponibles en Google Fonts y ya cargadas en el sitio (Arvo 400/700, Montserrat 400/500/600/700).</w:t>
      </w:r>
    </w:p>
    <w:p>
      <w:pPr>
        <w:pStyle w:val="Heading1"/>
        <w:spacing w:after="160" w:before="360"/>
      </w:pPr>
      <w:r>
        <w:t xml:space="preserve">5. Aplicación en el sitio (arob-landing)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Navegación: isotipo + wordmark “AROB” en Arvo Bold, color Primary Navy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Hero: isotipo destacado arriba del título, degradado de fondo animado con Blue 1 / Blue 2 / Accent Blue.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Botones primarios: degradado Blue 1 → Blue 2, texto blanco.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Favicon: ícono de aplicación (isotipo blanco sobre degradado, esquinas redondeadas).</w:t>
      </w:r>
    </w:p>
    <w:p>
      <w:pPr>
        <w:pStyle w:val="ListParagraph"/>
        <w:numPr>
          <w:ilvl w:val="0"/>
          <w:numId w:val="2"/>
        </w:numPr>
        <w:spacing w:after="80"/>
      </w:pPr>
      <w:r>
        <w:t>Footer: isotipo pequeño + wordmark “AROB” · tagline “Soluciones a Medida” · referencia “arob.code”, junto al texto de copyright.</w:t>
      </w:r>
    </w:p>
    <w:p>
      <w:pPr>
        <w:pStyle w:val="Heading1"/>
        <w:spacing w:after="160" w:before="360"/>
      </w:pPr>
      <w:r>
        <w:t xml:space="preserve">6. Tono de voz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Directo y sin vueltas: frases cortas, sin jerga de venta (“revolucionario”, “disruptivo”, etc.). Se habla de igual a igual con quien lee, en segunda persona (“vos”/“tu proyecto”).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prioriza la claridad sobre el entusiasmo: cada sección responde una pregunta concreta (qué hace, cómo se trabaja, cuánto cuesta, cómo se contacta) antes de venderse a sí misma.</w:t>
      </w:r>
    </w:p>
    <w:p>
      <w:pPr>
        <w:spacing w:before="400"/>
      </w:pPr>
    </w:p>
    <w:p>
      <w:pPr>
        <w:pStyle w:val="Heading1"/>
      </w:pPr>
      <w:r>
        <w:t>7. SEO vs. tagline</w:t>
      </w:r>
    </w:p>
    <w:p>
      <w:r>
        <w:t>El tagline “Soluciones a Medida” es una frase de identidad de marca, no la herramienta de SEO: es corto a propósito, porque AROB ofrece más de un servicio (desarrollo web, apps, análisis, automatizaciones) y el tagline no tiene que listarlos.</w:t>
      </w:r>
    </w:p>
    <w:p>
      <w:r>
        <w:t>El SEO y la claridad de servicios se resuelven en otra capa: el H1 de la landing y el meta title/description deben ser descriptivos, con keywords reales que el público busca en Google (ej. “Desarrollo web y apps para emprendedores y PyMEs”), nunca el tagline. La sección de servicios en el cuerpo de la landing es donde se listan los servicios concretos.</w:t>
      </w:r>
    </w:p>
    <w:p>
      <w:pPr>
        <w:spacing w:after="160"/>
      </w:pPr>
      <w:r>
        <w:rPr>
          <w:b w:val="false"/>
          <w:bCs w:val="false"/>
          <w:i/>
          <w:iCs/>
          <w:color w:val="6B7280"/>
        </w:rPr>
        <w:t xml:space="preserve">Fin del documento.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316fdd70df6ade4758a8179798714f429b590.png"/><Relationship Id="rId8" Type="http://schemas.openxmlformats.org/officeDocument/2006/relationships/image" Target="media/a846e863d73704da4571a29caaa8ada626ff134e.png"/><Relationship Id="rId9" Type="http://schemas.openxmlformats.org/officeDocument/2006/relationships/image" Target="media/dacf1bc991d1ceec0da98a2708568f9ecbe3d081.png"/><Relationship Id="rId10" Type="http://schemas.openxmlformats.org/officeDocument/2006/relationships/image" Target="media/46e5876c881095d14532fca47e0c22de6dd10528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2026-07-24T17:11:24.171Z</dcterms:created>
  <dcterms:modified xsi:type="dcterms:W3CDTF">2026-07-24T17:11:24.184Z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