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600"/>
        <w:jc w:val="center"/>
      </w:pPr>
      <w:r>
        <w:drawing>
          <wp:inline distT="0" distB="0" distL="0" distR="0">
            <wp:extent cx="200025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80"/>
        <w:jc w:val="center"/>
      </w:pPr>
      <w:r>
        <w:rPr>
          <w:b/>
          <w:bCs/>
          <w:color w:val="000033"/>
          <w:sz w:val="40"/>
          <w:szCs w:val="40"/>
        </w:rPr>
        <w:t xml:space="preserve">MANUAL DE MARCA</w:t>
      </w:r>
    </w:p>
    <w:p>
      <w:pPr>
        <w:spacing w:after="400"/>
        <w:jc w:val="center"/>
      </w:pPr>
      <w:r>
        <w:rPr>
          <w:color w:val="6B7280"/>
          <w:sz w:val="22"/>
          <w:szCs w:val="22"/>
        </w:rPr>
        <w:t xml:space="preserve">Versión 1.0 · Julio 2026</w:t>
      </w:r>
    </w:p>
    <w:p>
      <w:pPr>
        <w:pBdr>
          <w:top w:val="single" w:color="000033" w:sz="8" w:space="8"/>
        </w:pBdr>
        <w:spacing w:before="200"/>
        <w:jc w:val="center"/>
      </w:pPr>
      <w:r>
        <w:rPr>
          <w:color w:val="6B7280"/>
          <w:sz w:val="20"/>
          <w:szCs w:val="20"/>
        </w:rPr>
        <w:t xml:space="preserve">Ayelen Robredo · AROB Software Engineering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Filosofía de marca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AROB es el estudio freelance de desarrollo de software de Ayelen Robredo. El nombre combina sus iniciales con el sonido de “arroba” (@), el símbolo universal de lo digital y lo conectado.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Nace como un estudio de una sola persona, con la idea de crecer: sumar colegas de otras especialidades (diseño, infraestructura, producto) a medida que los proyectos lo requieran. La marca está pensada para sostener ese crecimiento sin perder identidad.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El isotipo representa esa idea con una sola línea continua: una ola que se transforma en el símbolo “@”, sugiriendo movimiento, fluidez y una base sólida que se eleva hacia lo digital.</w:t>
      </w:r>
    </w:p>
    <w:p>
      <w:pPr>
        <w:pStyle w:val="Heading1"/>
        <w:spacing w:after="160" w:before="360"/>
      </w:pPr>
      <w:r>
        <w:t xml:space="preserve">2. Logotipo</w:t>
      </w:r>
    </w:p>
    <w:p>
      <w:pPr>
        <w:pStyle w:val="Heading2"/>
        <w:spacing w:after="120" w:before="240"/>
      </w:pPr>
      <w:r>
        <w:t xml:space="preserve">2.1 Versión principal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Uso por defecto sobre fondos claros o blancos. Incluye isotipo, wordmark y tagline.</w:t>
      </w:r>
    </w:p>
    <w:p>
      <w:pPr>
        <w:spacing w:after="200" w:before="120"/>
        <w:jc w:val="center"/>
      </w:pPr>
      <w:r>
        <w:drawing>
          <wp:inline distT="0" distB="0" distL="0" distR="0">
            <wp:extent cx="18097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t xml:space="preserve">2.2 Isotipo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Versión reducida del isotipo, sin wordmark ni tagline. Se usa en espacios pequeños: favicon, íconos de redes sociales, marca de agua, navegación.</w:t>
      </w:r>
    </w:p>
    <w:p>
      <w:pPr>
        <w:spacing w:after="200" w:before="120"/>
        <w:jc w:val="center"/>
      </w:pPr>
      <w:r>
        <w:drawing>
          <wp:inline distT="0" distB="0" distL="0" distR="0">
            <wp:extent cx="1524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t xml:space="preserve">2.3 Versión monocromática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Para aplicaciones en un solo color (sellos, grabados, impresión en blanco y negro, documentos formales).</w:t>
      </w:r>
    </w:p>
    <w:p>
      <w:pPr>
        <w:spacing w:after="200" w:before="120"/>
        <w:jc w:val="center"/>
      </w:pPr>
      <w:r>
        <w:drawing>
          <wp:inline distT="0" distB="0" distL="0" distR="0">
            <wp:extent cx="161925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t xml:space="preserve">2.4 Versión negativa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Para uso sobre fondos oscuros o de color: fotografías, videos, presentaciones con fondo navy.</w:t>
      </w:r>
    </w:p>
    <w:p>
      <w:pPr>
        <w:spacing w:after="200" w:before="120"/>
        <w:jc w:val="center"/>
      </w:pPr>
      <w:r>
        <w:drawing>
          <wp:inline distT="0" distB="0" distL="0" distR="0">
            <wp:extent cx="161925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t xml:space="preserve">2.5 Ícono de aplicación / favicon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Formato para favicon del sitio, ícono de app o avatar de redes sociales: isotipo en blanco sobre el degradado de marca, dentro de un cuadrado con esquinas redondeadas.</w:t>
      </w:r>
    </w:p>
    <w:p>
      <w:pPr>
        <w:spacing w:after="200" w:before="120"/>
        <w:jc w:val="center"/>
      </w:pPr>
      <w:r>
        <w:drawing>
          <wp:inline distT="0" distB="0" distL="0" distR="0">
            <wp:extent cx="133350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t xml:space="preserve">2.6 Área de protección y tamaño mínimo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Dejar alrededor del logotipo un margen libre equivalente, como mínimo, a la altura de la letra “A” del wordmark. Ningún otro elemento (texto, imágenes, bordes) debe invadir ese margen.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Tamaño mínimo recomendado: 28px de alto para el isotipo solo, 90px de alto para la versión principal completa. Por debajo de esos tamaños el trazo del isotipo pierde legibilidad.</w:t>
      </w:r>
    </w:p>
    <w:p>
      <w:pPr>
        <w:pStyle w:val="Heading2"/>
        <w:spacing w:after="120" w:before="240"/>
      </w:pPr>
      <w:r>
        <w:t xml:space="preserve">2.7 Usos incorrectos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estirar ni deformar el logotipo en ningún eje.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rotar el isotipo ni el wordmark.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cambiar los colores fuera de las versiones definidas (principal, mono, negativa).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aplicar sombras, contornos ni efectos 3D.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recomponer el isotipo con otra tipografía para el wordmark.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ubicar el logotipo sobre fondos con poco contraste.</w:t>
      </w:r>
    </w:p>
    <w:p>
      <w:pPr>
        <w:pStyle w:val="Heading1"/>
        <w:spacing w:after="160" w:before="360"/>
      </w:pPr>
      <w:r>
        <w:t xml:space="preserve">3. Paleta de colores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Cuatro colores base, todos dentro de la misma familia azul/navy. El contraste se logra por variación de tono, no sumando colores nuevos.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5400"/>
      </w:tblGrid>
      <w:tr>
        <w:tc>
          <w:tcPr>
            <w:tcW w:type="dxa" w:w="1400"/>
            <w:shd w:fill="00003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Color</w:t>
            </w:r>
          </w:p>
        </w:tc>
        <w:tc>
          <w:tcPr>
            <w:tcW w:type="dxa" w:w="2600"/>
            <w:shd w:fill="00003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00"/>
            <w:shd w:fill="00003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1400"/>
            <w:shd w:fill="0033CC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#0033CC</w:t>
            </w:r>
          </w:p>
        </w:tc>
        <w:tc>
          <w:tcPr>
            <w:tcW w:type="dxa" w:w="26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Primary Gradient Blue 1</w:t>
            </w:r>
          </w:p>
        </w:tc>
        <w:tc>
          <w:tcPr>
            <w:tcW w:type="dxa" w:w="54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color w:val="6B7280"/>
                <w:sz w:val="20"/>
                <w:szCs w:val="20"/>
              </w:rPr>
              <w:t xml:space="preserve">Color principal de marca. Botones, acentos, primer color del degradado del isotipo.</w:t>
            </w:r>
          </w:p>
        </w:tc>
      </w:tr>
      <w:tr>
        <w:tc>
          <w:tcPr>
            <w:tcW w:type="dxa" w:w="1400"/>
            <w:shd w:fill="000080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#000080</w:t>
            </w:r>
          </w:p>
        </w:tc>
        <w:tc>
          <w:tcPr>
            <w:tcW w:type="dxa" w:w="26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Primary Gradient Blue 2</w:t>
            </w:r>
          </w:p>
        </w:tc>
        <w:tc>
          <w:tcPr>
            <w:tcW w:type="dxa" w:w="54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color w:val="6B7280"/>
                <w:sz w:val="20"/>
                <w:szCs w:val="20"/>
              </w:rPr>
              <w:t xml:space="preserve">Segundo color del degradado. Se combina con Blue 1 en fondos, íconos de app y hovers.</w:t>
            </w:r>
          </w:p>
        </w:tc>
      </w:tr>
      <w:tr>
        <w:tc>
          <w:tcPr>
            <w:tcW w:type="dxa" w:w="1400"/>
            <w:shd w:fill="000033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#000033</w:t>
            </w:r>
          </w:p>
        </w:tc>
        <w:tc>
          <w:tcPr>
            <w:tcW w:type="dxa" w:w="26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Primary Navy Text</w:t>
            </w:r>
          </w:p>
        </w:tc>
        <w:tc>
          <w:tcPr>
            <w:tcW w:type="dxa" w:w="54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color w:val="6B7280"/>
                <w:sz w:val="20"/>
                <w:szCs w:val="20"/>
              </w:rPr>
              <w:t xml:space="preserve">Color de texto principal y del wordmark “AROB”. Reemplaza al negro puro en toda la marca.</w:t>
            </w:r>
          </w:p>
        </w:tc>
      </w:tr>
      <w:tr>
        <w:tc>
          <w:tcPr>
            <w:tcW w:type="dxa" w:w="1400"/>
            <w:shd w:fill="0055FF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#0055FF</w:t>
            </w:r>
          </w:p>
        </w:tc>
        <w:tc>
          <w:tcPr>
            <w:tcW w:type="dxa" w:w="26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Accent Blue</w:t>
            </w:r>
          </w:p>
        </w:tc>
        <w:tc>
          <w:tcPr>
            <w:tcW w:type="dxa" w:w="54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color w:val="6B7280"/>
                <w:sz w:val="20"/>
                <w:szCs w:val="20"/>
              </w:rPr>
              <w:t xml:space="preserve">Acento puntual: enlaces activos, detalles pequeños, estados de foco.</w:t>
            </w:r>
          </w:p>
        </w:tc>
      </w:tr>
    </w:tbl>
    <w:p>
      <w:pPr>
        <w:spacing w:before="240"/>
      </w:pPr>
    </w:p>
    <w:p>
      <w:pPr>
        <w:spacing w:after="160"/>
      </w:pPr>
      <w:r>
        <w:rPr>
          <w:b w:val="false"/>
          <w:bCs w:val="false"/>
          <w:i/>
          <w:iCs/>
          <w:color w:val="6B7280"/>
        </w:rPr>
        <w:t xml:space="preserve">Estos tokens ya están aplicados en el sitio de AROB (arob-landing) como variables CSS: --accent, --accent-2, --ink y --accent-bright.</w:t>
      </w:r>
    </w:p>
    <w:p>
      <w:pPr>
        <w:pStyle w:val="Heading1"/>
        <w:spacing w:after="160" w:before="360"/>
      </w:pPr>
      <w:r>
        <w:t xml:space="preserve">4. Tipografía</w:t>
      </w:r>
    </w:p>
    <w:p>
      <w:pPr>
        <w:pStyle w:val="Heading2"/>
        <w:spacing w:after="120" w:before="240"/>
      </w:pPr>
      <w:r>
        <w:t xml:space="preserve">4.1 Arvo (Bold)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Tipografía de marca. Se usa en el wordmark “AROB”, en títulos y en subtítulos principales. Es una slab serif: transmite solidez y un carácter más editorial que las tipografías genéricas de interfaz.</w:t>
      </w:r>
    </w:p>
    <w:p>
      <w:pPr>
        <w:pStyle w:val="Heading2"/>
        <w:spacing w:after="120" w:before="240"/>
      </w:pPr>
      <w:r>
        <w:t xml:space="preserve">4.2 Montserrat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Tipografía de uso general: párrafos, menú de navegación, botones, formularios y el tagline “SOFTWARE ENGINEERING” (en versalitas, con tracking amplio).</w:t>
      </w:r>
    </w:p>
    <w:p>
      <w:pPr>
        <w:spacing w:after="160"/>
      </w:pPr>
      <w:r>
        <w:rPr>
          <w:b w:val="false"/>
          <w:bCs w:val="false"/>
          <w:i/>
          <w:iCs/>
          <w:color w:val="6B7280"/>
        </w:rPr>
        <w:t xml:space="preserve">Ambas están disponibles en Google Fonts y ya cargadas en el sitio (Arvo 400/700, Montserrat 400/500/600/700).</w:t>
      </w:r>
    </w:p>
    <w:p>
      <w:pPr>
        <w:pStyle w:val="Heading1"/>
        <w:spacing w:after="160" w:before="360"/>
      </w:pPr>
      <w:r>
        <w:t xml:space="preserve">5. Aplicación en el sitio (arob-landing)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Navegación: isotipo + wordmark “AROB” en Arvo Bold, color Primary Navy Text.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Hero: isotipo destacado arriba del título, degradado de fondo animado con Blue 1 / Blue 2 / Accent Blue.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Botones primarios: degradado Blue 1 → Blue 2, texto blanco.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Favicon: ícono de aplicación (isotipo blanco sobre degradado, esquinas redondeadas).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Footer: isotipo pequeño junto al texto de copyright.</w:t>
      </w:r>
    </w:p>
    <w:p>
      <w:pPr>
        <w:pStyle w:val="Heading1"/>
        <w:spacing w:after="160" w:before="360"/>
      </w:pPr>
      <w:r>
        <w:t xml:space="preserve">6. Tono de voz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Directo y sin vueltas: frases cortas, sin jerga de venta (“revolucionario”, “disruptivo”, etc.). Se habla de igual a igual con quien lee, en segunda persona (“vos”/“tu proyecto”).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Se prioriza la claridad sobre el entusiasmo: cada sección responde una pregunta concreta (qué hace, cómo se trabaja, cuánto cuesta, cómo se contacta) antes de venderse a sí misma.</w:t>
      </w:r>
    </w:p>
    <w:p>
      <w:pPr>
        <w:spacing w:before="400"/>
      </w:pPr>
    </w:p>
    <w:p>
      <w:pPr>
        <w:spacing w:after="160"/>
      </w:pPr>
      <w:r>
        <w:rPr>
          <w:b w:val="false"/>
          <w:bCs w:val="false"/>
          <w:i/>
          <w:iCs/>
          <w:color w:val="6B7280"/>
        </w:rPr>
        <w:t xml:space="preserve">Fin del documento.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4d2615d78abf60f0c789bf797de83ec7b4e5c1c.png"/><Relationship Id="rId8" Type="http://schemas.openxmlformats.org/officeDocument/2006/relationships/image" Target="media/3b4b3f58cb4aff988ffefe11d00f60ff94d0e2b2.png"/><Relationship Id="rId9" Type="http://schemas.openxmlformats.org/officeDocument/2006/relationships/image" Target="media/d23b0baec2904a72494b2c372b104aec69e2f22a.png"/><Relationship Id="rId10" Type="http://schemas.openxmlformats.org/officeDocument/2006/relationships/image" Target="media/5710eda24d335fcfa368618738d29ee6f7e39c36.png"/><Relationship Id="rId11" Type="http://schemas.openxmlformats.org/officeDocument/2006/relationships/image" Target="media/ea108866083f9255b271841ff29b8af2954461c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2026-07-24T14:14:57.600Z</dcterms:created>
  <dcterms:modified xsi:type="dcterms:W3CDTF">2026-07-24T14:14:57.602Z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