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Palatino Linotype" w:cs="Palatino Linotype" w:eastAsia="Palatino Linotype" w:hAnsi="Palatino Linotype"/>
          <w:b/>
          <w:bCs/>
          <w:color w:val="1B2A4A"/>
          <w:sz w:val="44"/>
          <w:szCs w:val="44"/>
        </w:rPr>
        <w:t xml:space="preserve">Bioinformatics pipeline</w:t>
      </w:r>
    </w:p>
    <w:p>
      <w:pPr>
        <w:spacing w:after="80"/>
      </w:pPr>
      <w:r>
        <w:rPr>
          <w:rFonts w:ascii="Palatino Linotype" w:cs="Palatino Linotype" w:eastAsia="Palatino Linotype" w:hAnsi="Palatino Linotype"/>
          <w:color w:val="3D5A80"/>
          <w:sz w:val="26"/>
          <w:szCs w:val="26"/>
        </w:rPr>
        <w:t xml:space="preserve">From raw fastq to cell–cell communication, step by step</w:t>
      </w:r>
    </w:p>
    <w:p>
      <w:pPr>
        <w:spacing w:after="360"/>
      </w:pPr>
      <w:r>
        <w:rPr>
          <w:rFonts w:ascii="Palatino Linotype" w:cs="Palatino Linotype" w:eastAsia="Palatino Linotype" w:hAnsi="Palatino Linotype"/>
          <w:color w:val="3D5A80"/>
          <w:sz w:val="22"/>
          <w:szCs w:val="22"/>
        </w:rPr>
        <w:t xml:space="preserve">ICR Project S34 · AML CloneTracker XP · 3 patients × 4 conditions</w:t>
      </w:r>
    </w:p>
    <w:p>
      <w:pPr>
        <w:pBdr>
          <w:bottom w:val="single" w:color="1B2A4A" w:sz="6" w:space="4"/>
        </w:pBdr>
        <w:spacing w:after="240"/>
      </w:pPr>
      <w:r>
        <w:rPr>
          <w:rFonts w:ascii="Palatino Linotype" w:cs="Palatino Linotype" w:eastAsia="Palatino Linotype" w:hAnsi="Palatino Linotype"/>
          <w:color w:val="555555"/>
          <w:sz w:val="22"/>
          <w:szCs w:val="22"/>
        </w:rPr>
        <w:t xml:space="preserve">Analyst: Ayeh Sadr (ICR)  ·  Project leads: Alex Tonks (Cardiff), Jamshid Khorashad (RMS)  ·  Wet lab: Sian Rizzo  ·  2026-05-27</w:t>
      </w:r>
    </w:p>
    <w:p>
      <w:pPr>
        <w:pStyle w:val="Heading1"/>
        <w:spacing w:after="180" w:before="360"/>
      </w:pPr>
      <w:r>
        <w:rPr>
          <w:rFonts w:ascii="Palatino Linotype" w:cs="Palatino Linotype" w:eastAsia="Palatino Linotype" w:hAnsi="Palatino Linotype"/>
          <w:b/>
          <w:bCs/>
          <w:color w:val="1B2A4A"/>
          <w:sz w:val="32"/>
          <w:szCs w:val="32"/>
        </w:rPr>
        <w:t xml:space="preserve">1. Overview</w:t>
      </w:r>
    </w:p>
    <w:p>
      <w:pPr>
        <w:spacing w:after="120" w:line="300"/>
      </w:pP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This document describes the bioinformatics pipeline applied to the twelve single-cell RNA-seq libraries of ICR Project S34. It is written for the wet-lab and clinical members of the team who need to know what was done and why, but not the line-by-line details. The text is in the voice of a paper Methods section so that paragraphs can be lifted directly into the manuscript with minimal editing.</w:t>
      </w:r>
    </w:p>
    <w:p>
      <w:pPr>
        <w:spacing w:after="120" w:line="300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Principal finding (single-patient, SRAML10): </w:t>
      </w: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HS-5 co-culture selectively expands a Promono-quiescent AML state that survives cytarabine, and that state is driven by a small panel of HS-5 ligands led by IL6, IL24, IL1A/B, JAM2 and DKK1. ABCB5+ resistant primitive AML carries a coherent drug-resistance programme already at baseline. The single-patient cohort is the principal limitation; the same pipeline will run on SRAML7 and SRAML13 to produce the three-patient cohort needed for biological replication.</w:t>
      </w:r>
    </w:p>
    <w:p>
      <w:pPr>
        <w:pStyle w:val="Heading1"/>
        <w:spacing w:after="180" w:before="360"/>
      </w:pPr>
      <w:r>
        <w:rPr>
          <w:rFonts w:ascii="Palatino Linotype" w:cs="Palatino Linotype" w:eastAsia="Palatino Linotype" w:hAnsi="Palatino Linotype"/>
          <w:b/>
          <w:bCs/>
          <w:color w:val="1B2A4A"/>
          <w:sz w:val="32"/>
          <w:szCs w:val="32"/>
        </w:rPr>
        <w:t xml:space="preserve">2. Experimental design</w:t>
      </w:r>
    </w:p>
    <w:p>
      <w:pPr>
        <w:spacing w:after="120" w:line="300"/>
      </w:pP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Three primary AML samples (SRAML7, SRAML10, SRAML13) were each split across four conditions in a two-by-two factorial: HS-5 stromal co-culture (yes/no) crossed with cytarabine (AraC, yes/no), giving twelve fixed-cell scRNA-seq libraries. All twelve carry the Cellecta CloneTracker XP lentiviral barcode pool, applied before plating.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Patient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Tubes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Conditions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Cell input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2D2D2D"/>
                <w:sz w:val="20"/>
                <w:szCs w:val="20"/>
              </w:rPr>
              <w:t xml:space="preserve">SRAML7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2D2D2D"/>
                <w:sz w:val="20"/>
                <w:szCs w:val="20"/>
              </w:rPr>
              <w:t xml:space="preserve">3, 4, 7, 8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2D2D2D"/>
                <w:sz w:val="20"/>
                <w:szCs w:val="20"/>
              </w:rPr>
              <w:t xml:space="preserve">±HS-5 × ±AraC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2D2D2D"/>
                <w:sz w:val="20"/>
                <w:szCs w:val="20"/>
              </w:rPr>
              <w:t xml:space="preserve">56k / 38k / 14k / 14k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2D2D2D"/>
                <w:sz w:val="20"/>
                <w:szCs w:val="20"/>
              </w:rPr>
              <w:t xml:space="preserve">SRAML10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2D2D2D"/>
                <w:sz w:val="20"/>
                <w:szCs w:val="20"/>
              </w:rPr>
              <w:t xml:space="preserve">11, 12, 15, 16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2D2D2D"/>
                <w:sz w:val="20"/>
                <w:szCs w:val="20"/>
              </w:rPr>
              <w:t xml:space="preserve">±HS-5 × ±AraC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2D2D2D"/>
                <w:sz w:val="20"/>
                <w:szCs w:val="20"/>
              </w:rPr>
              <w:t xml:space="preserve">28k / 17k / 7.5k / 6.75k (low input flagged)</w:t>
            </w:r>
          </w:p>
        </w:tc>
      </w:tr>
      <w:tr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2D2D2D"/>
                <w:sz w:val="20"/>
                <w:szCs w:val="20"/>
              </w:rPr>
              <w:t xml:space="preserve">SRAML13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2D2D2D"/>
                <w:sz w:val="20"/>
                <w:szCs w:val="20"/>
              </w:rPr>
              <w:t xml:space="preserve">17, 18, 19, 20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2D2D2D"/>
                <w:sz w:val="20"/>
                <w:szCs w:val="20"/>
              </w:rPr>
              <w:t xml:space="preserve">±HS-5 × ±AraC</w:t>
            </w:r>
          </w:p>
        </w:tc>
        <w:tc>
          <w:tcPr>
            <w:tcW w:type="dxa" w:w="23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2D2D2D"/>
                <w:sz w:val="20"/>
                <w:szCs w:val="20"/>
              </w:rPr>
              <w:t xml:space="preserve">81k / 40k / 52.5k / 18.2k</w:t>
            </w:r>
          </w:p>
        </w:tc>
      </w:tr>
    </w:tbl>
    <w:p>
      <w:pPr>
        <w:spacing w:after="120" w:line="300"/>
      </w:pP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Libraries were prepared on the 10x Genomics GEM-X Universal 3′ platform with On-Chip Multiplexing (OCM): four samples share one Illumina index per patient and are demultiplexed in silico by bead barcode (OB1–OB4) within Cell Ranger. The Patient 2 (SRAML10) pool mapping is 11→OB1, 12→OB2, 15→OB3, 16→OB4; the SRAML7 and SRAML13 pool mappings will be inserted from the ICR sequencing facility before final draft.</w:t>
      </w:r>
    </w:p>
    <w:p>
      <w:pPr>
        <w:pStyle w:val="Heading1"/>
        <w:spacing w:after="180" w:before="360"/>
      </w:pPr>
      <w:r>
        <w:rPr>
          <w:rFonts w:ascii="Palatino Linotype" w:cs="Palatino Linotype" w:eastAsia="Palatino Linotype" w:hAnsi="Palatino Linotype"/>
          <w:b/>
          <w:bCs/>
          <w:color w:val="1B2A4A"/>
          <w:sz w:val="32"/>
          <w:szCs w:val="32"/>
        </w:rPr>
        <w:t xml:space="preserve">3. Pipeline</w:t>
      </w:r>
    </w:p>
    <w:p>
      <w:pPr>
        <w:pStyle w:val="Heading2"/>
        <w:spacing w:after="120" w:before="240"/>
      </w:pPr>
      <w:r>
        <w:rPr>
          <w:rFonts w:ascii="Palatino Linotype" w:cs="Palatino Linotype" w:eastAsia="Palatino Linotype" w:hAnsi="Palatino Linotype"/>
          <w:b/>
          <w:bCs/>
          <w:color w:val="1B2A4A"/>
          <w:sz w:val="26"/>
          <w:szCs w:val="26"/>
        </w:rPr>
        <w:t xml:space="preserve">3.1 Compute environment</w:t>
      </w:r>
    </w:p>
    <w:p>
      <w:pPr>
        <w:spacing w:after="120" w:line="300"/>
      </w:pP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All compute runs on the Cardiff Falcon HPC under SLURM. Two conda environments are pinned and stored under hpc_setup/envs/. The scrna environment carries Seurat 5.5, scDblFinder, SingleR, UCell, infercnv, Slingshot, NicheNet, LIANA, fgsea/clusterProfiler, AUCell, DESeq2/edgeR/muscat and the matching Python dependencies (Scanpy, scrublet, gseapy, scvi-tools). The cellecta environment carries cutadapt, starcode, bartab and pycashier for the CloneTracker XP barcode pipeline. Versions are fixed in hpc_setup/envs/*.yaml so the pipeline rebuilds identically.</w:t>
      </w:r>
    </w:p>
    <w:p>
      <w:pPr>
        <w:pStyle w:val="Heading2"/>
        <w:spacing w:after="120" w:before="240"/>
      </w:pPr>
      <w:r>
        <w:rPr>
          <w:rFonts w:ascii="Palatino Linotype" w:cs="Palatino Linotype" w:eastAsia="Palatino Linotype" w:hAnsi="Palatino Linotype"/>
          <w:b/>
          <w:bCs/>
          <w:color w:val="1B2A4A"/>
          <w:sz w:val="26"/>
          <w:szCs w:val="26"/>
        </w:rPr>
        <w:t xml:space="preserve">3.2 Alignment — Cell Ranger multi</w:t>
      </w:r>
    </w:p>
    <w:p>
      <w:pPr>
        <w:spacing w:after="120" w:line="300"/>
      </w:pP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Each pool is aligned with Cell Ranger 10.0.0 against GRCh38-2024-A with pre-mRNA inclusion enabled (introns counted, per the project brief, to retain unspliced reads for downstream velocity work). Pools are processed with cellranger multi using chemistry SC3Pv4-OCM (auto-detection disabled to prevent OCM being confused with standard SC3Pv4). The [samples] section of each multi config lists ocm_barcode_ids: OB1|OB2|OB3|OB4. Per-sample filtered feature-barcode matrices land in per_sample_outs/&lt;sample_id&gt;/sample_filtered_feature_bc_matrix/ and feed directly into the Seurat pipeline.</w:t>
      </w:r>
    </w:p>
    <w:p>
      <w:pPr>
        <w:pStyle w:val="Heading2"/>
        <w:spacing w:after="120" w:before="240"/>
      </w:pPr>
      <w:r>
        <w:rPr>
          <w:rFonts w:ascii="Palatino Linotype" w:cs="Palatino Linotype" w:eastAsia="Palatino Linotype" w:hAnsi="Palatino Linotype"/>
          <w:b/>
          <w:bCs/>
          <w:color w:val="1B2A4A"/>
          <w:sz w:val="26"/>
          <w:szCs w:val="26"/>
        </w:rPr>
        <w:t xml:space="preserve">3.3 QC, normalisation and clustering</w:t>
      </w:r>
    </w:p>
    <w:p>
      <w:pPr>
        <w:spacing w:after="120" w:line="300"/>
      </w:pP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Per-sample matrices are loaded and merged into a single Seurat object per patient. Cells are filtered to 200–6000 detected genes, at least 500 UMIs and below 20% mitochondrial reads, with the minimum-gene gate relaxed to 150 for the low-input tubes 15 and 16. Doublets are called per sample with scDblFinder and removed before normalisation. Counts are log-normalised (scale factor 10,000), 3,000 variable features are selected by VST, ScaleData regresses out percent.mt. Dimensional reduction uses 30 PCs; the neighbour graph is built with k = 20 and clustering is Leiden at resolution 0.6. UMAP is computed on the same PCA. Within a single patient no batch correction is applied — sample identity is confounded with condition by design and integration would dilute the biological signal. Cross-patient integration with Harmony or scVI on the patient covariate is the deferred step that will produce the cross-patient consensus object once all three patients are processed.</w:t>
      </w:r>
    </w:p>
    <w:p>
      <w:pPr>
        <w:pStyle w:val="Heading2"/>
        <w:spacing w:after="120" w:before="240"/>
      </w:pPr>
      <w:r>
        <w:rPr>
          <w:rFonts w:ascii="Palatino Linotype" w:cs="Palatino Linotype" w:eastAsia="Palatino Linotype" w:hAnsi="Palatino Linotype"/>
          <w:b/>
          <w:bCs/>
          <w:color w:val="1B2A4A"/>
          <w:sz w:val="26"/>
          <w:szCs w:val="26"/>
        </w:rPr>
        <w:t xml:space="preserve">3.4 Reference annotation and signature scoring</w:t>
      </w:r>
    </w:p>
    <w:p>
      <w:pPr>
        <w:spacing w:after="120" w:line="300"/>
      </w:pP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Each cell is projected onto the van Galen 2019 AML reference (GSE116256) using SingleR, with HumanPrimaryCellAtlas as the broad complementary call and Azimuth bone-marrow CITE-seq as an optional second opinion. In parallel, UCell is used to score a curated panel of leukaemia stem-cell, quiescence, niche, integrated-stress-response, dissociation, drug-metabolism, MDR-efflux, ALDH-resistance and BCL2-family signatures defined in config/signatures.yml. UCell is preferred over AddModuleScore because it is rank-based and therefore robust to differences in sequencing depth across samples. The van Galen S4A class call is assigned per cell by per-signature z-score argmax with a floor of MIN_Z = 0.5; cells below the floor are tagged Unassigned by design.</w:t>
      </w:r>
    </w:p>
    <w:p>
      <w:pPr>
        <w:pStyle w:val="Heading2"/>
        <w:spacing w:after="120" w:before="240"/>
      </w:pPr>
      <w:r>
        <w:rPr>
          <w:rFonts w:ascii="Palatino Linotype" w:cs="Palatino Linotype" w:eastAsia="Palatino Linotype" w:hAnsi="Palatino Linotype"/>
          <w:b/>
          <w:bCs/>
          <w:color w:val="1B2A4A"/>
          <w:sz w:val="26"/>
          <w:szCs w:val="26"/>
        </w:rPr>
        <w:t xml:space="preserve">3.5 Malignancy assignment — inferCNV</w:t>
      </w:r>
    </w:p>
    <w:p>
      <w:pPr>
        <w:spacing w:after="120" w:line="300"/>
      </w:pP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inferCNV is run in subcluster mode with the HMM enabled, using the matched B and T cells in the same library as the diploid reference. HS-5 stromal cells are excluded from the inferCNV reference set because, as a non-haematopoietic cell line, they would dominate the signal for the wrong reason. Per-cell CNV burden is summarised as the mean absolute deviation from the diploid baseline. The per-cluster mean burden is the primary readout, with ABCB5+ resistant cells emerging as the highest CNV cluster among the AML compartment and the CD16+ Mono/macrophage cluster sitting at the diploid baseline (Normal-like).</w:t>
      </w:r>
    </w:p>
    <w:p>
      <w:pPr>
        <w:pStyle w:val="Heading2"/>
        <w:spacing w:after="120" w:before="240"/>
      </w:pPr>
      <w:r>
        <w:rPr>
          <w:rFonts w:ascii="Palatino Linotype" w:cs="Palatino Linotype" w:eastAsia="Palatino Linotype" w:hAnsi="Palatino Linotype"/>
          <w:b/>
          <w:bCs/>
          <w:color w:val="1B2A4A"/>
          <w:sz w:val="26"/>
          <w:szCs w:val="26"/>
        </w:rPr>
        <w:t xml:space="preserve">3.6 Annotation finalisation and AML compartment subsetting</w:t>
      </w:r>
    </w:p>
    <w:p>
      <w:pPr>
        <w:spacing w:after="120" w:line="300"/>
      </w:pP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The marker-based, reference-based and CNV-based annotations are consolidated by seurat_04b_finalise_annotation.R into a single cell_type_final label per cell and an is_aml_category flag (AML, Normal, CellLine, Uncertain). For every downstream biological analysis the object is then subset to is_aml_category == AML in seurat_04c_subset_aml.R, HVGs / PCA / UMAP are recomputed on the AML cells alone, and the resulting AML-only object is the substrate for stress, cell-cycle, differential expression and trajectory analyses. The cell–cell communication step in 3.10 keeps the full object because it needs HS-5 as the ligand source.</w:t>
      </w:r>
    </w:p>
    <w:p>
      <w:pPr>
        <w:pStyle w:val="Heading2"/>
        <w:spacing w:after="120" w:before="240"/>
      </w:pPr>
      <w:r>
        <w:rPr>
          <w:rFonts w:ascii="Palatino Linotype" w:cs="Palatino Linotype" w:eastAsia="Palatino Linotype" w:hAnsi="Palatino Linotype"/>
          <w:b/>
          <w:bCs/>
          <w:color w:val="1B2A4A"/>
          <w:sz w:val="26"/>
          <w:szCs w:val="26"/>
        </w:rPr>
        <w:t xml:space="preserve">3.7 Stress and cell-cycle profiling</w:t>
      </w:r>
    </w:p>
    <w:p>
      <w:pPr>
        <w:spacing w:after="120" w:line="300"/>
      </w:pP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Per-cluster scores are computed for Hallmark stress programmes (UPR, hypoxia, ROS, TNF-α / NF-κB, inflammatory response, p53, apoptosis), ATF4 integrated-stress-response targets, the van den Brink dissociation signature and the Baryawno / Tikhonova niche signal sets. Differences between conventional and co-culture conditions are tested per cluster with Wilcoxon and reported with Cliff's δ effect size. Cell cycle is scored with Seurat's CellCycleScoring against the Tirosh 2016 G1/S and G2/M gene lists, and phase proportions are tabulated per cluster per condition.</w:t>
      </w:r>
    </w:p>
    <w:p>
      <w:pPr>
        <w:pStyle w:val="Heading2"/>
        <w:spacing w:after="120" w:before="240"/>
      </w:pPr>
      <w:r>
        <w:rPr>
          <w:rFonts w:ascii="Palatino Linotype" w:cs="Palatino Linotype" w:eastAsia="Palatino Linotype" w:hAnsi="Palatino Linotype"/>
          <w:b/>
          <w:bCs/>
          <w:color w:val="1B2A4A"/>
          <w:sz w:val="26"/>
          <w:szCs w:val="26"/>
        </w:rPr>
        <w:t xml:space="preserve">3.8 Differential expression within patient</w:t>
      </w:r>
    </w:p>
    <w:p>
      <w:pPr>
        <w:spacing w:after="120" w:line="300"/>
      </w:pP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For each AML cluster, four within-cluster contrasts and two cluster-vs-cluster contrasts are tested with Wilcoxon (presto-accelerated) with Benjamini–Hochberg multiple-testing correction. The four within-cluster contrasts answer the four faces of the 2×2 design: niche imprint at baseline, niche-protected residual disease under AraC (the clinical core), AraC effect without niche, and AraC effect on top of niche. The two cluster-vs-cluster contrasts address open identity questions (Niche-stressed primitive AML vs HSPC/LSC-like AML in the conventional arm; HSPC/LSC-like vs GMP-like). The single-patient p-values are reported as hypothesis-generating; the pseudobulk DESeq2 equivalent (seurat_07b_pseudobulk_de.R) is scripted but cannot be run at n = 1 per condition group.</w:t>
      </w:r>
    </w:p>
    <w:p>
      <w:pPr>
        <w:pStyle w:val="Heading2"/>
        <w:spacing w:after="120" w:before="240"/>
      </w:pPr>
      <w:r>
        <w:rPr>
          <w:rFonts w:ascii="Palatino Linotype" w:cs="Palatino Linotype" w:eastAsia="Palatino Linotype" w:hAnsi="Palatino Linotype"/>
          <w:b/>
          <w:bCs/>
          <w:color w:val="1B2A4A"/>
          <w:sz w:val="26"/>
          <w:szCs w:val="26"/>
        </w:rPr>
        <w:t xml:space="preserve">3.9 Pathway analysis — fgsea</w:t>
      </w:r>
    </w:p>
    <w:p>
      <w:pPr>
        <w:spacing w:after="120" w:line="300"/>
      </w:pP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Each ranked DE table is passed into fgsea against MSigDB Hallmark, KEGG and GO-BP collections, with leading-edge gene lists retained for inspection. Results are exported as CSV per contrast and visualised as ranked bubble plots (NES vs −log10 adj-p). The four design-aligned comparisons (07a–07d) cover AraC effect with and without stroma, and stromal niche effect with and without AraC. Hallmark provides the headline summary; KEGG and GO-BP are reported alongside for mechanistic depth.</w:t>
      </w:r>
    </w:p>
    <w:p>
      <w:pPr>
        <w:pStyle w:val="Heading2"/>
        <w:spacing w:after="120" w:before="240"/>
      </w:pPr>
      <w:r>
        <w:rPr>
          <w:rFonts w:ascii="Palatino Linotype" w:cs="Palatino Linotype" w:eastAsia="Palatino Linotype" w:hAnsi="Palatino Linotype"/>
          <w:b/>
          <w:bCs/>
          <w:color w:val="1B2A4A"/>
          <w:sz w:val="26"/>
          <w:szCs w:val="26"/>
        </w:rPr>
        <w:t xml:space="preserve">3.10 Trajectory inference — Slingshot</w:t>
      </w:r>
    </w:p>
    <w:p>
      <w:pPr>
        <w:spacing w:after="120" w:line="300"/>
      </w:pP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Slingshot is fit on the AML-only PCA (pca_aml, 30 components) with cluster labels from cell_type_final and ABCB5+ resistant LSC AML forced as the root, chosen because it carries the highest CNV burden and the strongest primitive-LSC signature. End clusters are not specified — letting Slingshot decide which clusters are terminal is informative. Three lineages are identified; the per-lineage pseudotime distribution is then split by conventional vs co-culture cells and tested with paired Wilcoxon + Cliff's δ. Trajectory results are descriptive at the single-patient level and not inferential across patients.</w:t>
      </w:r>
    </w:p>
    <w:p>
      <w:pPr>
        <w:pStyle w:val="Heading2"/>
        <w:spacing w:after="120" w:before="240"/>
      </w:pPr>
      <w:r>
        <w:rPr>
          <w:rFonts w:ascii="Palatino Linotype" w:cs="Palatino Linotype" w:eastAsia="Palatino Linotype" w:hAnsi="Palatino Linotype"/>
          <w:b/>
          <w:bCs/>
          <w:color w:val="1B2A4A"/>
          <w:sz w:val="26"/>
          <w:szCs w:val="26"/>
        </w:rPr>
        <w:t xml:space="preserve">3.11 Cell–cell communication — LIANA + NicheNet</w:t>
      </w:r>
    </w:p>
    <w:p>
      <w:pPr>
        <w:spacing w:after="120" w:line="300"/>
      </w:pP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LIANA is run in consensus mode (CellPhoneDB, Connectome, NATMI, SingleCellSignalR, logfc) on the co-culture wells of the full object, with HS-5 fixed as the source and each AML cluster as the target. The consensus ranking provides ligand–receptor triage. NicheNet then scores each ligand by its ability to explain the differential-expression response of each AML cluster (Coc-AraC vs Coc-Untreated within that cluster), using AUROC, AUPR and Pearson correlation against the standard NicheNet prior. The union of top-15 ligands across all seven AML receivers is reported as the panel of HS-5 signals most likely to drive niche-induced AML remodelling.</w:t>
      </w:r>
    </w:p>
    <w:p>
      <w:pPr>
        <w:pStyle w:val="Heading2"/>
        <w:spacing w:after="120" w:before="240"/>
      </w:pPr>
      <w:r>
        <w:rPr>
          <w:rFonts w:ascii="Palatino Linotype" w:cs="Palatino Linotype" w:eastAsia="Palatino Linotype" w:hAnsi="Palatino Linotype"/>
          <w:b/>
          <w:bCs/>
          <w:color w:val="1B2A4A"/>
          <w:sz w:val="26"/>
          <w:szCs w:val="26"/>
        </w:rPr>
        <w:t xml:space="preserve">3.12 CloneTracker XP barcode extraction</w:t>
      </w:r>
    </w:p>
    <w:p>
      <w:pPr>
        <w:spacing w:after="120" w:line="300"/>
      </w:pP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Because no Cellecta enrichment / feature-barcoding library was sequenced alongside the 3′ GEX library, CloneTracker barcodes are recovered opportunistically. A custom Python tool (hpc_setup/scripts/extract_clonetracker_barcodes.py) operates in two modes: BAM-driven, parsing the Cell Ranger possorted_genome_bam.bam for reads with valid cell barcodes whose sequence contains the FBP1 anchor immediately 3′ of the BC14 + spacer + BC30 cassette; and fastq-driven, parsing raw R1/R2 pairs directly as a sanity check. Outputs are per-sample TSVs of (cell barcode, UMI, clone barcode, n reads). Cells are called as carrying a confident clone when supported by ≥2 reads after UMI collapse.</w:t>
      </w:r>
    </w:p>
    <w:p>
      <w:pPr>
        <w:pStyle w:val="Heading1"/>
        <w:spacing w:after="180" w:before="360"/>
      </w:pPr>
      <w:r>
        <w:rPr>
          <w:rFonts w:ascii="Palatino Linotype" w:cs="Palatino Linotype" w:eastAsia="Palatino Linotype" w:hAnsi="Palatino Linotype"/>
          <w:b/>
          <w:bCs/>
          <w:color w:val="1B2A4A"/>
          <w:sz w:val="32"/>
          <w:szCs w:val="32"/>
        </w:rPr>
        <w:t xml:space="preserve">4. QC summary (SRAML10)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2D2D2D"/>
                <w:sz w:val="20"/>
                <w:szCs w:val="20"/>
              </w:rPr>
              <w:t xml:space="preserve">Total singlet cells (post-QC)</w:t>
            </w:r>
          </w:p>
        </w:tc>
        <w:tc>
          <w:tcPr>
            <w:tcW w:type="dxa" w:w="468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2D2D2D"/>
                <w:sz w:val="20"/>
                <w:szCs w:val="20"/>
              </w:rPr>
              <w:t xml:space="preserve">10,338</w:t>
            </w:r>
          </w:p>
        </w:tc>
      </w:tr>
      <w:tr>
        <w:tc>
          <w:tcPr>
            <w:tcW w:type="dxa" w:w="468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2D2D2D"/>
                <w:sz w:val="20"/>
                <w:szCs w:val="20"/>
              </w:rPr>
              <w:t xml:space="preserve">AML cell-state clusters retained</w:t>
            </w:r>
          </w:p>
        </w:tc>
        <w:tc>
          <w:tcPr>
            <w:tcW w:type="dxa" w:w="468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2D2D2D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2D2D2D"/>
                <w:sz w:val="20"/>
                <w:szCs w:val="20"/>
              </w:rPr>
              <w:t xml:space="preserve">Normal / cell-line clusters</w:t>
            </w:r>
          </w:p>
        </w:tc>
        <w:tc>
          <w:tcPr>
            <w:tcW w:type="dxa" w:w="468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2D2D2D"/>
                <w:sz w:val="20"/>
                <w:szCs w:val="20"/>
              </w:rPr>
              <w:t xml:space="preserve">5 (excluded from downstream biology)</w:t>
            </w:r>
          </w:p>
        </w:tc>
      </w:tr>
      <w:tr>
        <w:tc>
          <w:tcPr>
            <w:tcW w:type="dxa" w:w="468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2D2D2D"/>
                <w:sz w:val="20"/>
                <w:szCs w:val="20"/>
              </w:rPr>
              <w:t xml:space="preserve">Mean CNV burden, ABCB5+ AML</w:t>
            </w:r>
          </w:p>
        </w:tc>
        <w:tc>
          <w:tcPr>
            <w:tcW w:type="dxa" w:w="468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2D2D2D"/>
                <w:sz w:val="20"/>
                <w:szCs w:val="20"/>
              </w:rPr>
              <w:t xml:space="preserve">0.0023</w:t>
            </w:r>
          </w:p>
        </w:tc>
      </w:tr>
      <w:tr>
        <w:tc>
          <w:tcPr>
            <w:tcW w:type="dxa" w:w="468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2D2D2D"/>
                <w:sz w:val="20"/>
                <w:szCs w:val="20"/>
              </w:rPr>
              <w:t xml:space="preserve">Mean CNV burden, B/T diploid</w:t>
            </w:r>
          </w:p>
        </w:tc>
        <w:tc>
          <w:tcPr>
            <w:tcW w:type="dxa" w:w="468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2D2D2D"/>
                <w:sz w:val="20"/>
                <w:szCs w:val="20"/>
              </w:rPr>
              <w:t xml:space="preserve">0.0008–0.0012</w:t>
            </w:r>
          </w:p>
        </w:tc>
      </w:tr>
      <w:tr>
        <w:tc>
          <w:tcPr>
            <w:tcW w:type="dxa" w:w="468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2D2D2D"/>
                <w:sz w:val="20"/>
                <w:szCs w:val="20"/>
              </w:rPr>
              <w:t xml:space="preserve">CloneTracker confident cells (4 samples combined)</w:t>
            </w:r>
          </w:p>
        </w:tc>
        <w:tc>
          <w:tcPr>
            <w:tcW w:type="dxa" w:w="468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2D2D2D"/>
                <w:sz w:val="20"/>
                <w:szCs w:val="20"/>
              </w:rPr>
              <w:t xml:space="preserve">13 (0.06–0.27 % per sample)</w:t>
            </w:r>
          </w:p>
        </w:tc>
      </w:tr>
    </w:tbl>
    <w:p>
      <w:pPr>
        <w:spacing w:after="120" w:line="300"/>
      </w:pP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The pre-alignment MultiQC of the SRAML10 pool confirmed the standard 10x patterns (R1 fail on per-base content from the barcode structure; R2 duplication warn from UMI saturation; about 27 % of R2 mapping cleanly to human only with no detectable mouse contamination) — the library is sound.</w:t>
      </w:r>
    </w:p>
    <w:p>
      <w:pPr>
        <w:pStyle w:val="Heading1"/>
        <w:spacing w:after="180" w:before="360"/>
      </w:pPr>
      <w:r>
        <w:rPr>
          <w:rFonts w:ascii="Palatino Linotype" w:cs="Palatino Linotype" w:eastAsia="Palatino Linotype" w:hAnsi="Palatino Linotype"/>
          <w:b/>
          <w:bCs/>
          <w:color w:val="1B2A4A"/>
          <w:sz w:val="32"/>
          <w:szCs w:val="32"/>
        </w:rPr>
        <w:t xml:space="preserve">5. Headline findings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Composition. </w:t>
      </w: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HS-5 co-culture expands the Promono-quiescent AML cluster 17-fold (25 cells conventional, 429 cells co-culture untreated) and a further 1.4-fold under AraC. ABCB5+ resistant cells appear almost exclusively in the AraC-treated conventional arm.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Cycling. </w:t>
      </w: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Promono-quiescent AML is overwhelmingly G1 (100 % conventional, 97 % co-culture). HSPC/LSC-like AML shifts further into G1 under HS-5 (66 % → 79 %). GMP-like AML is heavily cycling in both conditions.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Niche-protected DE. </w:t>
      </w: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FTH1, FTL and GPX1 are uniformly up across clusters under HS-5+AraC — an iron-sequestration and oxidative-stress response, not a canonical anti-apoptotic shift. The Promono-quiescent cluster carries the strongest niche-protection imprint, with 89 up and 1,366 down significant genes in the C2 contrast.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Pathways. </w:t>
      </w: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Cytarabine ablates the cell-cycle programmes (G2M Checkpoint, E2F Targets, Mitotic Spindle) as expected. Under HS-5 co-culture, the surviving cells acquire a strong EMT / matrix-remodelling programme (Hallmark EMT NES = +2.60 under AraC + HS-5) accompanied by hypoxia, angiogenesis and KRAS-up. This is the molecular signature of niche-mediated chemoprotection.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Trajectory. </w:t>
      </w: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Slingshot identifies three lineages rooted on ABCB5+. The Promono-quiescent terminal branch is selectively populated under co-culture; the Niche-stressed primitive branch is essentially conventional-only.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Communication. </w:t>
      </w: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NicheNet identifies IL6, IL24, IL1A, IL1B, JAM2 and DKK1 as the top HS-5 ligands driving the Promono-quiescent cluster's transcriptional response. Three (IL6, IL1A/B, DKK1) have direct precedent in mesenchymal-stromal AML protection biology; JAM2 and IL24 are the novel candidates.</w:t>
      </w:r>
    </w:p>
    <w:p>
      <w:pPr>
        <w:pStyle w:val="Heading1"/>
        <w:spacing w:after="180" w:before="360"/>
      </w:pPr>
      <w:r>
        <w:rPr>
          <w:rFonts w:ascii="Palatino Linotype" w:cs="Palatino Linotype" w:eastAsia="Palatino Linotype" w:hAnsi="Palatino Linotype"/>
          <w:b/>
          <w:bCs/>
          <w:color w:val="1B2A4A"/>
          <w:sz w:val="32"/>
          <w:szCs w:val="32"/>
        </w:rPr>
        <w:t xml:space="preserve">6. Limitations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All downstream analyses are single-patient (SRAML10). SRAML7 and SRAML13 will be processed through the same pipeline to produce the cohort needed for biological replication.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Within-patient DE p-values reflect cell-level variability and are hypothesis-generating. The pseudobulk DESeq2 equivalent is scripted but requires the cohort to be expanded before it can be run.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CloneTracker recovery is below 1 % of cells per sample. Per-clone differential expression and trajectory analyses are not statistically defensible at this scale. Targeted amplicon-seq from the CloneTracker cassette is the recommended remedy.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The CD16+ Mono/macrophage Normal-like call rests on CNV burden alone. Confirmation with mutation-based deconvolution (Vartrix using patient-specific FLT3-ITD / NPM1 / DNMT3A / IDH1-2 calls) is recommended.</w:t>
      </w:r>
    </w:p>
    <w:p>
      <w:pPr>
        <w:pStyle w:val="Heading1"/>
        <w:spacing w:after="180" w:before="360"/>
      </w:pPr>
      <w:r>
        <w:rPr>
          <w:rFonts w:ascii="Palatino Linotype" w:cs="Palatino Linotype" w:eastAsia="Palatino Linotype" w:hAnsi="Palatino Linotype"/>
          <w:b/>
          <w:bCs/>
          <w:color w:val="1B2A4A"/>
          <w:sz w:val="32"/>
          <w:szCs w:val="32"/>
        </w:rPr>
        <w:t xml:space="preserve">7. Next steps</w:t>
      </w:r>
    </w:p>
    <w:p>
      <w:pPr>
        <w:spacing w:after="120" w:line="300"/>
      </w:pP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The pipeline is complete end-to-end for one patient. The four highest-value next actions are listed below.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Process SRAML7 and SRAML13. </w:t>
      </w: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Run them through seurat_01 → seurat_10 to build the three-patient cohort and unlock pseudobulk DE, MiloR differential abundance, and any cross-patient claims.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Targeted CloneTracker amplicon-seq. </w:t>
      </w: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This is the single highest-value addition to the project — it converts the current illustrative barcode figures into quantitative clonal-dynamics data.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Mutation-based AML / Normal confirmation. </w:t>
      </w: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If the clinical metadata sheet carries FLT3-ITD / NPM1 / DNMT3A / IDH1-2 calls, run Vartrix to give a clean orthogonal AML / Normal call across all clusters.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Palatino Linotype" w:cs="Palatino Linotype" w:eastAsia="Palatino Linotype" w:hAnsi="Palatino Linotype"/>
          <w:b/>
          <w:bCs/>
          <w:color w:val="1B2A4A"/>
          <w:sz w:val="22"/>
          <w:szCs w:val="22"/>
        </w:rPr>
        <w:t xml:space="preserve">pySCENIC regulon analysis. </w:t>
      </w: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Once the cohort exists, run pySCENIC to test whether FOXO3, KLF4 and BCL6 (the a-priori candidates from the quiescence literature) drive the Promono-quiescent state.</w:t>
      </w:r>
    </w:p>
    <w:p>
      <w:pPr>
        <w:pStyle w:val="Heading1"/>
        <w:spacing w:after="180" w:before="360"/>
      </w:pPr>
      <w:r>
        <w:rPr>
          <w:rFonts w:ascii="Palatino Linotype" w:cs="Palatino Linotype" w:eastAsia="Palatino Linotype" w:hAnsi="Palatino Linotype"/>
          <w:b/>
          <w:bCs/>
          <w:color w:val="1B2A4A"/>
          <w:sz w:val="32"/>
          <w:szCs w:val="32"/>
        </w:rPr>
        <w:t xml:space="preserve">8. Conclusions</w:t>
      </w:r>
    </w:p>
    <w:p>
      <w:pPr>
        <w:spacing w:after="120" w:line="300"/>
      </w:pP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The bioinformatics pipeline is complete end-to-end for Patient 2 and produces a coherent biological narrative: HS-5 stromal co-culture remodels the AML transcriptome toward a Promono-quiescent state that survives cytarabine, with a consistent EMT / matrix-remodelling pathway signature and a small panel of HS-5 ligands driving the response.</w:t>
      </w:r>
    </w:p>
    <w:p>
      <w:pPr>
        <w:spacing w:after="120" w:line="300"/>
      </w:pP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The principal limitation is the single-patient cohort. Re-running the same scripts on SRAML7 and SRAML13 will give the biological replication needed for any cross-patient generalisation.</w:t>
      </w:r>
    </w:p>
    <w:p>
      <w:pPr>
        <w:spacing w:after="120" w:line="300"/>
      </w:pPr>
      <w:r>
        <w:rPr>
          <w:rFonts w:ascii="Palatino Linotype" w:cs="Palatino Linotype" w:eastAsia="Palatino Linotype" w:hAnsi="Palatino Linotype"/>
          <w:color w:val="2D2D2D"/>
          <w:sz w:val="22"/>
          <w:szCs w:val="22"/>
        </w:rPr>
        <w:t xml:space="preserve">The most valuable single follow-up beyond the cohort expansion is a targeted CloneTracker amplicon-seq run, which would convert the current illustrative barcode analyses into quantitative clonal-dynamics data.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alatino Linotype" w:cs="Palatino Linotype" w:eastAsia="Palatino Linotype" w:hAnsi="Palatino Linotype"/>
        <w:color w:val="3D5A80"/>
        <w:sz w:val="18"/>
        <w:szCs w:val="18"/>
      </w:rPr>
      <w:t xml:space="preserve">AML_Cellecta S34 — Bioinformatics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Bioinformatics pipeline</dc:title>
  <dc:creator>Bioinformatics pipeline</dc:creator>
  <cp:lastModifiedBy>Un-named</cp:lastModifiedBy>
  <cp:revision>1</cp:revision>
  <dcterms:created xsi:type="dcterms:W3CDTF">2026-05-27T17:41:06.409Z</dcterms:created>
  <dcterms:modified xsi:type="dcterms:W3CDTF">2026-05-27T17:41:06.409Z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