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Palatino Linotype" w:cs="Palatino Linotype" w:eastAsia="Palatino Linotype" w:hAnsi="Palatino Linotype"/>
          <w:b/>
          <w:bCs/>
          <w:color w:val="1B2A4A"/>
          <w:sz w:val="44"/>
          <w:szCs w:val="44"/>
        </w:rPr>
        <w:t xml:space="preserve">Seurat outputs folder guide</w:t>
      </w:r>
    </w:p>
    <w:p>
      <w:pPr>
        <w:spacing w:after="80"/>
      </w:pPr>
      <w:r>
        <w:rPr>
          <w:rFonts w:ascii="Palatino Linotype" w:cs="Palatino Linotype" w:eastAsia="Palatino Linotype" w:hAnsi="Palatino Linotype"/>
          <w:color w:val="3D5A80"/>
          <w:sz w:val="26"/>
          <w:szCs w:val="26"/>
        </w:rPr>
        <w:t xml:space="preserve">What is in outputs/seurat/ and how to use it</w:t>
      </w:r>
    </w:p>
    <w:p>
      <w:pPr>
        <w:spacing w:after="360"/>
      </w:pPr>
      <w:r>
        <w:rPr>
          <w:rFonts w:ascii="Palatino Linotype" w:cs="Palatino Linotype" w:eastAsia="Palatino Linotype" w:hAnsi="Palatino Linotype"/>
          <w:color w:val="3D5A80"/>
          <w:sz w:val="22"/>
          <w:szCs w:val="22"/>
        </w:rPr>
        <w:t xml:space="preserve">ICR Project S34 · AML CloneTracker XP · SRAML10 single-patient analysis</w:t>
      </w:r>
    </w:p>
    <w:p>
      <w:pPr>
        <w:pBdr>
          <w:bottom w:val="single" w:color="1B2A4A" w:sz="6" w:space="4"/>
        </w:pBdr>
        <w:spacing w:after="240"/>
      </w:pPr>
      <w:r>
        <w:rPr>
          <w:rFonts w:ascii="Palatino Linotype" w:cs="Palatino Linotype" w:eastAsia="Palatino Linotype" w:hAnsi="Palatino Linotype"/>
          <w:color w:val="555555"/>
          <w:sz w:val="22"/>
          <w:szCs w:val="22"/>
        </w:rPr>
        <w:t xml:space="preserve">Analyst: Ayeh Sadr (ICR)  ·  Project leads: Alex Tonks (Cardiff), Jamshid Khorashad (RMS)  ·  Wet lab: Sian Rizzo  ·  2026-05-27</w:t>
      </w:r>
    </w:p>
    <w:p>
      <w:pPr>
        <w:pStyle w:val="Heading1"/>
        <w:spacing w:after="180" w:before="360"/>
      </w:pPr>
      <w:r>
        <w:rPr>
          <w:rFonts w:ascii="Palatino Linotype" w:cs="Palatino Linotype" w:eastAsia="Palatino Linotype" w:hAnsi="Palatino Linotype"/>
          <w:b/>
          <w:bCs/>
          <w:color w:val="1B2A4A"/>
          <w:sz w:val="32"/>
          <w:szCs w:val="32"/>
        </w:rPr>
        <w:t xml:space="preserve">1. Overview</w:t>
      </w:r>
    </w:p>
    <w:p>
      <w:pPr>
        <w:spacing w:after="120" w:line="300"/>
      </w:pPr>
      <w:r>
        <w:rPr>
          <w:rFonts w:ascii="Palatino Linotype" w:cs="Palatino Linotype" w:eastAsia="Palatino Linotype" w:hAnsi="Palatino Linotype"/>
          <w:color w:val="2D2D2D"/>
          <w:sz w:val="22"/>
          <w:szCs w:val="22"/>
        </w:rPr>
        <w:t xml:space="preserve">This guide describes the contents of the outputs/seurat folder for ICR Project S34. It is intended for the wet-lab and clinical members of the team who do not run the analyses themselves but need to know where each figure or table lives so they can use them in slide decks, lab meetings, or the manuscript.</w:t>
      </w:r>
    </w:p>
    <w:p>
      <w:pPr>
        <w:spacing w:after="120" w:line="300"/>
      </w:pPr>
      <w:r>
        <w:rPr>
          <w:rFonts w:ascii="Palatino Linotype" w:cs="Palatino Linotype" w:eastAsia="Palatino Linotype" w:hAnsi="Palatino Linotype"/>
          <w:b/>
          <w:bCs/>
          <w:color w:val="1B2A4A"/>
          <w:sz w:val="22"/>
          <w:szCs w:val="22"/>
        </w:rPr>
        <w:t xml:space="preserve">Scope: </w:t>
      </w:r>
      <w:r>
        <w:rPr>
          <w:rFonts w:ascii="Palatino Linotype" w:cs="Palatino Linotype" w:eastAsia="Palatino Linotype" w:hAnsi="Palatino Linotype"/>
          <w:color w:val="2D2D2D"/>
          <w:sz w:val="22"/>
          <w:szCs w:val="22"/>
        </w:rPr>
        <w:t xml:space="preserve">the folder currently contains the complete single-cell analysis of Patient 2 (SRAML10, tubes 11, 12, 15, 16). The same scripts will be re-run on SRAML7 and SRAML13 once their Cell Ranger outputs are processed; additional subfolders with the same naming convention will appear at that point.</w:t>
      </w:r>
    </w:p>
    <w:p>
      <w:pPr>
        <w:pStyle w:val="Heading1"/>
        <w:spacing w:after="180" w:before="360"/>
      </w:pPr>
      <w:r>
        <w:rPr>
          <w:rFonts w:ascii="Palatino Linotype" w:cs="Palatino Linotype" w:eastAsia="Palatino Linotype" w:hAnsi="Palatino Linotype"/>
          <w:b/>
          <w:bCs/>
          <w:color w:val="1B2A4A"/>
          <w:sz w:val="32"/>
          <w:szCs w:val="32"/>
        </w:rPr>
        <w:t xml:space="preserve">2. Folder layout at a glance</w:t>
      </w:r>
    </w:p>
    <w:p>
      <w:pPr>
        <w:spacing w:after="120" w:line="300"/>
      </w:pPr>
      <w:r>
        <w:rPr>
          <w:rFonts w:ascii="Palatino Linotype" w:cs="Palatino Linotype" w:eastAsia="Palatino Linotype" w:hAnsi="Palatino Linotype"/>
          <w:color w:val="2D2D2D"/>
          <w:sz w:val="22"/>
          <w:szCs w:val="22"/>
        </w:rPr>
        <w:t xml:space="preserve">Each numbered subfolder corresponds to one analysis step. The top-level CSV files are the global DE and GSEA outputs that span clusters. Within each subfolder there are three predictable subdirectories: figures (PDFs), tables (TSV/CSV) and logs (session info and run manifests).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Subfolder</w:t>
            </w:r>
          </w:p>
        </w:tc>
        <w:tc>
          <w:tcPr>
            <w:tcW w:type="dxa" w:w="3120"/>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Step</w:t>
            </w:r>
          </w:p>
        </w:tc>
        <w:tc>
          <w:tcPr>
            <w:tcW w:type="dxa" w:w="3120"/>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Headline output</w:t>
            </w:r>
          </w:p>
        </w:tc>
      </w:tr>
      <w:tr>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figures/</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Top-level QC + first-pass UMAPs + DE volcanoes + GSEA bubbles</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01_QC_violins.pdf, 02_UMAP_overview.pdf, 06*_volcano*, 07*_GSEA*</w:t>
            </w:r>
          </w:p>
        </w:tc>
      </w:tr>
      <w:tr>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figures_clonetracker/</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CloneTracker barcode overlays + clonal overlap visuals</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08a_CloneTracker_Confident_Overlay.pdf, 09b_CloneTracker_Alluvial.pdf</w:t>
            </w:r>
          </w:p>
        </w:tc>
      </w:tr>
      <w:tr>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seurat_03/</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Reference annotation (van Galen 2019) + UCell signature scoring</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03d_ucell_heatmap.pdf, vgalen_signature_calls.tsv</w:t>
            </w:r>
          </w:p>
        </w:tc>
      </w:tr>
      <w:tr>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seurat_04/</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inferCNV malignancy assignment</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infercnv/ heatmap, cluster_cnv_summary.tsv</w:t>
            </w:r>
          </w:p>
        </w:tc>
      </w:tr>
      <w:tr>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seurat_04b/</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Final annotation consolidation</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04b_final_umap.pdf, cell_type_final_counts.tsv</w:t>
            </w:r>
          </w:p>
        </w:tc>
      </w:tr>
      <w:tr>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seurat_04c/</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AML compartment subset (HS-5 / B / T / CD16+ removed)</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04c_aml_umap.pdf, AML-only RDS object</w:t>
            </w:r>
          </w:p>
        </w:tc>
      </w:tr>
      <w:tr>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seurat_05/</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Stress signatures + cell-cycle landscape</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05a_stress_violins.pdf, 05_cell_cycle_summary.tsv</w:t>
            </w:r>
          </w:p>
        </w:tc>
      </w:tr>
      <w:tr>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seurat_05_All_Clusters/</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Same as 05, run before the AML subset for comparison</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Pre-subset versions of the 05 figures</w:t>
            </w:r>
          </w:p>
        </w:tc>
      </w:tr>
      <w:tr>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seurat_07/</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Within-patient differential expression</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07_volcano_*_C1-C4.pdf, 07_de_*.tsv, 07_de_summary.tsv</w:t>
            </w:r>
          </w:p>
        </w:tc>
      </w:tr>
      <w:tr>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seurat_08/</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Slingshot trajectory inference</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08a_lineage_umap.pdf, 08_lineage_summary.tsv</w:t>
            </w:r>
          </w:p>
        </w:tc>
      </w:tr>
      <w:tr>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seurat_10/</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Cell–cell communication (LIANA + NicheNet)</w:t>
            </w:r>
          </w:p>
        </w:tc>
        <w:tc>
          <w:tcPr>
            <w:tcW w:type="dxa" w:w="3120"/>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10b_nichenet_*_ligand_activity.pdf, 10_nichenet_top_ligands.tsv</w:t>
            </w:r>
          </w:p>
        </w:tc>
      </w:tr>
    </w:tbl>
    <w:p>
      <w:pPr>
        <w:spacing w:after="120" w:line="300"/>
      </w:pPr>
      <w:r>
        <w:rPr>
          <w:rFonts w:ascii="Palatino Linotype" w:cs="Palatino Linotype" w:eastAsia="Palatino Linotype" w:hAnsi="Palatino Linotype"/>
          <w:color w:val="2D2D2D"/>
          <w:sz w:val="22"/>
          <w:szCs w:val="22"/>
        </w:rPr>
        <w:t xml:space="preserve"/>
      </w:r>
    </w:p>
    <w:p>
      <w:pPr>
        <w:pStyle w:val="Heading1"/>
        <w:spacing w:after="180" w:before="360"/>
      </w:pPr>
      <w:r>
        <w:rPr>
          <w:rFonts w:ascii="Palatino Linotype" w:cs="Palatino Linotype" w:eastAsia="Palatino Linotype" w:hAnsi="Palatino Linotype"/>
          <w:b/>
          <w:bCs/>
          <w:color w:val="1B2A4A"/>
          <w:sz w:val="32"/>
          <w:szCs w:val="32"/>
        </w:rPr>
        <w:t xml:space="preserve">3. What each step produced</w:t>
      </w:r>
    </w:p>
    <w:p>
      <w:pPr>
        <w:pStyle w:val="Heading2"/>
        <w:spacing w:after="120" w:before="240"/>
      </w:pPr>
      <w:r>
        <w:rPr>
          <w:rFonts w:ascii="Palatino Linotype" w:cs="Palatino Linotype" w:eastAsia="Palatino Linotype" w:hAnsi="Palatino Linotype"/>
          <w:b/>
          <w:bCs/>
          <w:color w:val="1B2A4A"/>
          <w:sz w:val="26"/>
          <w:szCs w:val="26"/>
        </w:rPr>
        <w:t xml:space="preserve">3.1 Top-level figures and tables (figures/, *.csv)</w:t>
      </w:r>
    </w:p>
    <w:p>
      <w:pPr>
        <w:spacing w:after="120" w:line="300"/>
      </w:pPr>
      <w:r>
        <w:rPr>
          <w:rFonts w:ascii="Palatino Linotype" w:cs="Palatino Linotype" w:eastAsia="Palatino Linotype" w:hAnsi="Palatino Linotype"/>
          <w:color w:val="2D2D2D"/>
          <w:sz w:val="22"/>
          <w:szCs w:val="22"/>
        </w:rPr>
        <w:t xml:space="preserve">The top of outputs/seurat is where the first-pass and global outputs live. The QC violin PDF gives per-sample distributions of gene count, UMI count and mitochondrial percentage. The UMAP overview PDFs colour cells four ways (cluster, sample, stromal condition, AraC condition); use 02_UMAP_overview.pdf as the headline slide and the lettered variants for explanatory panels. The cluster-marker dot-plot (04_cluster_marker_dotplot.pdf) anchors the first-pass cell-type labels.</w:t>
      </w:r>
    </w:p>
    <w:p>
      <w:pPr>
        <w:spacing w:after="120" w:line="300"/>
      </w:pPr>
      <w:r>
        <w:rPr>
          <w:rFonts w:ascii="Palatino Linotype" w:cs="Palatino Linotype" w:eastAsia="Palatino Linotype" w:hAnsi="Palatino Linotype"/>
          <w:color w:val="2D2D2D"/>
          <w:sz w:val="22"/>
          <w:szCs w:val="22"/>
        </w:rPr>
        <w:t xml:space="preserve">DE_*_effect_*.csv files are the full single-cell differential expression tables from the four design-aligned contrasts (AraC effect with and without stroma; stromal niche effect with and without AraC). 07*_GSEA_*.csv are the corresponding gene-set enrichment results against MSigDB Hallmark, KEGG and GO-BP, with paired bubble-plot PDFs in figures/.</w:t>
      </w:r>
    </w:p>
    <w:p>
      <w:pPr>
        <w:spacing w:after="120" w:line="300"/>
      </w:pPr>
      <w:r>
        <w:rPr>
          <w:rFonts w:ascii="Palatino Linotype" w:cs="Palatino Linotype" w:eastAsia="Palatino Linotype" w:hAnsi="Palatino Linotype"/>
          <w:color w:val="2D2D2D"/>
          <w:sz w:val="22"/>
          <w:szCs w:val="22"/>
        </w:rPr>
        <w:t xml:space="preserve">AML_SRAML10_barcode_recovery_per_sample.csv and the three other AML_SRAML10_*.csv tables are the CloneTracker barcode summaries. cluster_cell_counts.csv and CellType_Counts_per_Sample.csv are the per-sample composition tables — the source numbers for any bar chart that compares cell-type proportions across conditions.</w:t>
      </w:r>
    </w:p>
    <w:p>
      <w:pPr>
        <w:pStyle w:val="Heading2"/>
        <w:spacing w:after="120" w:before="240"/>
      </w:pPr>
      <w:r>
        <w:rPr>
          <w:rFonts w:ascii="Palatino Linotype" w:cs="Palatino Linotype" w:eastAsia="Palatino Linotype" w:hAnsi="Palatino Linotype"/>
          <w:b/>
          <w:bCs/>
          <w:color w:val="1B2A4A"/>
          <w:sz w:val="26"/>
          <w:szCs w:val="26"/>
        </w:rPr>
        <w:t xml:space="preserve">3.2 Reference annotation — seurat_03/</w:t>
      </w:r>
    </w:p>
    <w:p>
      <w:pPr>
        <w:spacing w:after="120" w:line="300"/>
      </w:pPr>
      <w:r>
        <w:rPr>
          <w:rFonts w:ascii="Palatino Linotype" w:cs="Palatino Linotype" w:eastAsia="Palatino Linotype" w:hAnsi="Palatino Linotype"/>
          <w:color w:val="2D2D2D"/>
          <w:sz w:val="22"/>
          <w:szCs w:val="22"/>
        </w:rPr>
        <w:t xml:space="preserve">This step projects each cell onto the van Galen 2019 AML reference (GSE116256) and computes UCell scores for a curated panel of LSC, quiescence, niche, stress and drug-resistance signatures. The per-cluster heatmap (03d_ucell_heatmap.pdf) is the figure to use when the question is what programmes each cluster carries; the confusion matrix (03f) shows how the marker-based clusters relate to the published van Galen taxonomy.</w:t>
      </w:r>
    </w:p>
    <w:p>
      <w:pPr>
        <w:pStyle w:val="Heading2"/>
        <w:spacing w:after="120" w:before="240"/>
      </w:pPr>
      <w:r>
        <w:rPr>
          <w:rFonts w:ascii="Palatino Linotype" w:cs="Palatino Linotype" w:eastAsia="Palatino Linotype" w:hAnsi="Palatino Linotype"/>
          <w:b/>
          <w:bCs/>
          <w:color w:val="1B2A4A"/>
          <w:sz w:val="26"/>
          <w:szCs w:val="26"/>
        </w:rPr>
        <w:t xml:space="preserve">3.3 inferCNV — seurat_04/</w:t>
      </w:r>
    </w:p>
    <w:p>
      <w:pPr>
        <w:spacing w:after="120" w:line="300"/>
      </w:pPr>
      <w:r>
        <w:rPr>
          <w:rFonts w:ascii="Palatino Linotype" w:cs="Palatino Linotype" w:eastAsia="Palatino Linotype" w:hAnsi="Palatino Linotype"/>
          <w:color w:val="2D2D2D"/>
          <w:sz w:val="22"/>
          <w:szCs w:val="22"/>
        </w:rPr>
        <w:t xml:space="preserve">inferCNV uses the B and T cells in the same library as the diploid reference and estimates per-cell copy-number burden. The chromosome heatmap is in seurat_04/infercnv/. The per-cluster summary table is used to call CD16+ Mono/macrophage as Normal-like (it sits at the diploid baseline), and ABCB5+ resistant cells as carrying the highest CNV burden among AML clusters.</w:t>
      </w:r>
    </w:p>
    <w:p>
      <w:pPr>
        <w:pStyle w:val="Heading2"/>
        <w:spacing w:after="120" w:before="240"/>
      </w:pPr>
      <w:r>
        <w:rPr>
          <w:rFonts w:ascii="Palatino Linotype" w:cs="Palatino Linotype" w:eastAsia="Palatino Linotype" w:hAnsi="Palatino Linotype"/>
          <w:b/>
          <w:bCs/>
          <w:color w:val="1B2A4A"/>
          <w:sz w:val="26"/>
          <w:szCs w:val="26"/>
        </w:rPr>
        <w:t xml:space="preserve">3.4 Annotation finalisation — seurat_04b/</w:t>
      </w:r>
    </w:p>
    <w:p>
      <w:pPr>
        <w:spacing w:after="120" w:line="300"/>
      </w:pPr>
      <w:r>
        <w:rPr>
          <w:rFonts w:ascii="Palatino Linotype" w:cs="Palatino Linotype" w:eastAsia="Palatino Linotype" w:hAnsi="Palatino Linotype"/>
          <w:color w:val="2D2D2D"/>
          <w:sz w:val="22"/>
          <w:szCs w:val="22"/>
        </w:rPr>
        <w:t xml:space="preserve">Steps 03 and 04 are consolidated into a single cell_type_final label and an is_aml_category flag (AML, Normal, CellLine, Uncertain). The mapping table (cell_type_final_mapping.tsv) is the file to cite if a reviewer asks how the AML / non-AML split was made. The final UMAP (04b_final_umap.pdf) and the signature heatmap (04b_final_signature_heatmap.pdf) are the publication-ready versions of the cell-type panel.</w:t>
      </w:r>
    </w:p>
    <w:p>
      <w:pPr>
        <w:pStyle w:val="Heading2"/>
        <w:spacing w:after="120" w:before="240"/>
      </w:pPr>
      <w:r>
        <w:rPr>
          <w:rFonts w:ascii="Palatino Linotype" w:cs="Palatino Linotype" w:eastAsia="Palatino Linotype" w:hAnsi="Palatino Linotype"/>
          <w:b/>
          <w:bCs/>
          <w:color w:val="1B2A4A"/>
          <w:sz w:val="26"/>
          <w:szCs w:val="26"/>
        </w:rPr>
        <w:t xml:space="preserve">3.5 AML compartment — seurat_04c/</w:t>
      </w:r>
    </w:p>
    <w:p>
      <w:pPr>
        <w:spacing w:after="120" w:line="300"/>
      </w:pPr>
      <w:r>
        <w:rPr>
          <w:rFonts w:ascii="Palatino Linotype" w:cs="Palatino Linotype" w:eastAsia="Palatino Linotype" w:hAnsi="Palatino Linotype"/>
          <w:color w:val="2D2D2D"/>
          <w:sz w:val="22"/>
          <w:szCs w:val="22"/>
        </w:rPr>
        <w:t xml:space="preserve">All downstream analyses use AML cells only (HS-5, B, T, CD16+ monocytes and eosinophils removed). The compartment is re-embedded so the new UMAP reflects AML-internal variance. The companion panels colour the AML-only UMAP by condition, by AraC and by CNV burden — useful as a three-panel figure showing where the conditions sit on the AML map.</w:t>
      </w:r>
    </w:p>
    <w:p>
      <w:pPr>
        <w:pStyle w:val="Heading2"/>
        <w:spacing w:after="120" w:before="240"/>
      </w:pPr>
      <w:r>
        <w:rPr>
          <w:rFonts w:ascii="Palatino Linotype" w:cs="Palatino Linotype" w:eastAsia="Palatino Linotype" w:hAnsi="Palatino Linotype"/>
          <w:b/>
          <w:bCs/>
          <w:color w:val="1B2A4A"/>
          <w:sz w:val="26"/>
          <w:szCs w:val="26"/>
        </w:rPr>
        <w:t xml:space="preserve">3.6 Stress and cell cycle — seurat_05/</w:t>
      </w:r>
    </w:p>
    <w:p>
      <w:pPr>
        <w:spacing w:after="120" w:line="300"/>
      </w:pPr>
      <w:r>
        <w:rPr>
          <w:rFonts w:ascii="Palatino Linotype" w:cs="Palatino Linotype" w:eastAsia="Palatino Linotype" w:hAnsi="Palatino Linotype"/>
          <w:color w:val="2D2D2D"/>
          <w:sz w:val="22"/>
          <w:szCs w:val="22"/>
        </w:rPr>
        <w:t xml:space="preserve">Per-cluster stress and niche signatures (Hallmark stress, ATF4 ISR, dissociation, Baryawno/Tikhonova niche) and Tirosh cell-cycle scores. The headline figures are 05a_stress_violins.pdf (stress per cluster, conv vs co-culture), 05d_cellcycle_phase_proportions.pdf (G1/S/G2M per cluster per condition) and 05e_effect_size_heatmap.pdf (a single heatmap summarising the stress effects across clusters). Statistical summaries are in 05_*_stats.tsv.</w:t>
      </w:r>
    </w:p>
    <w:p>
      <w:pPr>
        <w:pStyle w:val="Heading2"/>
        <w:spacing w:after="120" w:before="240"/>
      </w:pPr>
      <w:r>
        <w:rPr>
          <w:rFonts w:ascii="Palatino Linotype" w:cs="Palatino Linotype" w:eastAsia="Palatino Linotype" w:hAnsi="Palatino Linotype"/>
          <w:b/>
          <w:bCs/>
          <w:color w:val="1B2A4A"/>
          <w:sz w:val="26"/>
          <w:szCs w:val="26"/>
        </w:rPr>
        <w:t xml:space="preserve">3.7 Within-patient differential expression — seurat_07/</w:t>
      </w:r>
    </w:p>
    <w:p>
      <w:pPr>
        <w:spacing w:after="120" w:line="300"/>
      </w:pPr>
      <w:r>
        <w:rPr>
          <w:rFonts w:ascii="Palatino Linotype" w:cs="Palatino Linotype" w:eastAsia="Palatino Linotype" w:hAnsi="Palatino Linotype"/>
          <w:color w:val="2D2D2D"/>
          <w:sz w:val="22"/>
          <w:szCs w:val="22"/>
        </w:rPr>
        <w:t xml:space="preserve">Per-cluster Wilcoxon DE for four design contrasts (Coc_Unt vs Conv_Unt, Coc_AraC vs Conv_AraC, Conv_AraC vs Conv_Unt, Coc_AraC vs Coc_Unt) plus two special cluster-vs-cluster contrasts. Files are named 07_de_&lt;cluster&gt;_C1.tsv etc., with matching volcano PDFs. The summary table (07_de_summary.tsv) lists, for every contrast, the number of significant genes and the top up- and down-regulated genes — use this as the quick lookup when drafting figure legends.</w:t>
      </w:r>
    </w:p>
    <w:p>
      <w:pPr>
        <w:pStyle w:val="Heading2"/>
        <w:spacing w:after="120" w:before="240"/>
      </w:pPr>
      <w:r>
        <w:rPr>
          <w:rFonts w:ascii="Palatino Linotype" w:cs="Palatino Linotype" w:eastAsia="Palatino Linotype" w:hAnsi="Palatino Linotype"/>
          <w:b/>
          <w:bCs/>
          <w:color w:val="1B2A4A"/>
          <w:sz w:val="26"/>
          <w:szCs w:val="26"/>
        </w:rPr>
        <w:t xml:space="preserve">3.8 Trajectory — seurat_08/</w:t>
      </w:r>
    </w:p>
    <w:p>
      <w:pPr>
        <w:spacing w:after="120" w:line="300"/>
      </w:pPr>
      <w:r>
        <w:rPr>
          <w:rFonts w:ascii="Palatino Linotype" w:cs="Palatino Linotype" w:eastAsia="Palatino Linotype" w:hAnsi="Palatino Linotype"/>
          <w:color w:val="2D2D2D"/>
          <w:sz w:val="22"/>
          <w:szCs w:val="22"/>
        </w:rPr>
        <w:t xml:space="preserve">Slingshot was fit on the AML-only PCA, rooted on ABCB5+ resistant LSC AML. Three lineages emerge (08_lineage_summary.tsv). The condition split (08f_conv_vs_coc_split.pdf) and the pseudotime comparison (08_conv_vs_coc_pseudotime.tsv) are the figures showing that HS-5 selectively populates the Promono-quiescent terminal branch.</w:t>
      </w:r>
    </w:p>
    <w:p>
      <w:pPr>
        <w:pStyle w:val="Heading2"/>
        <w:spacing w:after="120" w:before="240"/>
      </w:pPr>
      <w:r>
        <w:rPr>
          <w:rFonts w:ascii="Palatino Linotype" w:cs="Palatino Linotype" w:eastAsia="Palatino Linotype" w:hAnsi="Palatino Linotype"/>
          <w:b/>
          <w:bCs/>
          <w:color w:val="1B2A4A"/>
          <w:sz w:val="26"/>
          <w:szCs w:val="26"/>
        </w:rPr>
        <w:t xml:space="preserve">3.9 Cell–cell communication — seurat_10/</w:t>
      </w:r>
    </w:p>
    <w:p>
      <w:pPr>
        <w:spacing w:after="120" w:line="300"/>
      </w:pPr>
      <w:r>
        <w:rPr>
          <w:rFonts w:ascii="Palatino Linotype" w:cs="Palatino Linotype" w:eastAsia="Palatino Linotype" w:hAnsi="Palatino Linotype"/>
          <w:color w:val="2D2D2D"/>
          <w:sz w:val="22"/>
          <w:szCs w:val="22"/>
        </w:rPr>
        <w:t xml:space="preserve">LIANA + NicheNet on co-culture wells with HS-5 retained as the ligand source. The union top-15 ligand table (10_nichenet_top_ligands.tsv) and the per-cluster ligand-activity PDFs (10b_nichenet_*_ligand_activity.pdf) name the HS-5 ligands most likely to drive each AML cluster's transcriptional response. IL6, IL24, IL1A/B, JAM2, DKK1 and TIMP1 sit at the top across multiple receivers and are the natural candidates for follow-up validation.</w:t>
      </w:r>
    </w:p>
    <w:p>
      <w:pPr>
        <w:pStyle w:val="Heading1"/>
        <w:spacing w:after="180" w:before="360"/>
      </w:pPr>
      <w:r>
        <w:rPr>
          <w:rFonts w:ascii="Palatino Linotype" w:cs="Palatino Linotype" w:eastAsia="Palatino Linotype" w:hAnsi="Palatino Linotype"/>
          <w:b/>
          <w:bCs/>
          <w:color w:val="1B2A4A"/>
          <w:sz w:val="32"/>
          <w:szCs w:val="32"/>
        </w:rPr>
        <w:t xml:space="preserve">4. How to use these files</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For slides. </w:t>
      </w:r>
      <w:r>
        <w:rPr>
          <w:rFonts w:ascii="Palatino Linotype" w:cs="Palatino Linotype" w:eastAsia="Palatino Linotype" w:hAnsi="Palatino Linotype"/>
          <w:color w:val="2D2D2D"/>
          <w:sz w:val="22"/>
          <w:szCs w:val="22"/>
        </w:rPr>
        <w:t xml:space="preserve">PDFs in figures/ and figures_clonetracker/ are vector and re-scale without quality loss. Drop them into the Bruna-style PPT template at full size; the colour palette already matches.</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For the manuscript figure 1. </w:t>
      </w:r>
      <w:r>
        <w:rPr>
          <w:rFonts w:ascii="Palatino Linotype" w:cs="Palatino Linotype" w:eastAsia="Palatino Linotype" w:hAnsi="Palatino Linotype"/>
          <w:color w:val="2D2D2D"/>
          <w:sz w:val="22"/>
          <w:szCs w:val="22"/>
        </w:rPr>
        <w:t xml:space="preserve">Use 02_UMAP_overview.pdf, 04b_final_umap.pdf, 04c_aml_umap.pdf and 05d_cellcycle_phase_proportions.pdf as the four-panel composition / annotation figure.</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For the manuscript figure 2. </w:t>
      </w:r>
      <w:r>
        <w:rPr>
          <w:rFonts w:ascii="Palatino Linotype" w:cs="Palatino Linotype" w:eastAsia="Palatino Linotype" w:hAnsi="Palatino Linotype"/>
          <w:color w:val="2D2D2D"/>
          <w:sz w:val="22"/>
          <w:szCs w:val="22"/>
        </w:rPr>
        <w:t xml:space="preserve">Use the 07*_GSEA_*.pdf bubble plots and the 07_volcano_*_C2.pdf files — they tell the niche-protected residual-disease story.</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For the manuscript figure 3. </w:t>
      </w:r>
      <w:r>
        <w:rPr>
          <w:rFonts w:ascii="Palatino Linotype" w:cs="Palatino Linotype" w:eastAsia="Palatino Linotype" w:hAnsi="Palatino Linotype"/>
          <w:color w:val="2D2D2D"/>
          <w:sz w:val="22"/>
          <w:szCs w:val="22"/>
        </w:rPr>
        <w:t xml:space="preserve">Use 08a_lineage_umap.pdf, 08f_conv_vs_coc_split.pdf and 10b_nichenet_Promono_quiescent_AML_ligand_activity.pdf as the trajectory + communication panel.</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For supplementary tables. </w:t>
      </w:r>
      <w:r>
        <w:rPr>
          <w:rFonts w:ascii="Palatino Linotype" w:cs="Palatino Linotype" w:eastAsia="Palatino Linotype" w:hAnsi="Palatino Linotype"/>
          <w:color w:val="2D2D2D"/>
          <w:sz w:val="22"/>
          <w:szCs w:val="22"/>
        </w:rPr>
        <w:t xml:space="preserve">All *.tsv and *.csv files are formatted for direct upload as supplementary tables; 07_de_summary.tsv, cell_type_final_counts.tsv and 10_nichenet_top_ligands.tsv are the most useful for the main text.</w:t>
      </w:r>
    </w:p>
    <w:p>
      <w:pPr>
        <w:pStyle w:val="Heading1"/>
        <w:spacing w:after="180" w:before="360"/>
      </w:pPr>
      <w:r>
        <w:rPr>
          <w:rFonts w:ascii="Palatino Linotype" w:cs="Palatino Linotype" w:eastAsia="Palatino Linotype" w:hAnsi="Palatino Linotype"/>
          <w:b/>
          <w:bCs/>
          <w:color w:val="1B2A4A"/>
          <w:sz w:val="32"/>
          <w:szCs w:val="32"/>
        </w:rPr>
        <w:t xml:space="preserve">5. Limitations of the current folder contents</w:t>
      </w:r>
    </w:p>
    <w:p>
      <w:pPr>
        <w:pStyle w:val="ListParagraph"/>
        <w:numPr>
          <w:ilvl w:val="0"/>
          <w:numId w:val="2"/>
        </w:numPr>
        <w:spacing w:after="80" w:line="280"/>
      </w:pPr>
      <w:r>
        <w:rPr>
          <w:rFonts w:ascii="Palatino Linotype" w:cs="Palatino Linotype" w:eastAsia="Palatino Linotype" w:hAnsi="Palatino Linotype"/>
          <w:color w:val="2D2D2D"/>
          <w:sz w:val="22"/>
          <w:szCs w:val="22"/>
        </w:rPr>
        <w:t xml:space="preserve">All numbers in this folder describe SRAML10 only. SRAML7 and SRAML13 will populate matching subfolders once their downstream Seurat objects are built.</w:t>
      </w:r>
    </w:p>
    <w:p>
      <w:pPr>
        <w:pStyle w:val="ListParagraph"/>
        <w:numPr>
          <w:ilvl w:val="0"/>
          <w:numId w:val="2"/>
        </w:numPr>
        <w:spacing w:after="80" w:line="280"/>
      </w:pPr>
      <w:r>
        <w:rPr>
          <w:rFonts w:ascii="Palatino Linotype" w:cs="Palatino Linotype" w:eastAsia="Palatino Linotype" w:hAnsi="Palatino Linotype"/>
          <w:color w:val="2D2D2D"/>
          <w:sz w:val="22"/>
          <w:szCs w:val="22"/>
        </w:rPr>
        <w:t xml:space="preserve">Within-patient DE p-values reflect cell-level variability and are hypothesis-generating, not biologically replicated. The pseudobulk DE script (seurat_07b) is in place and will run once the cohort expands.</w:t>
      </w:r>
    </w:p>
    <w:p>
      <w:pPr>
        <w:pStyle w:val="ListParagraph"/>
        <w:numPr>
          <w:ilvl w:val="0"/>
          <w:numId w:val="2"/>
        </w:numPr>
        <w:spacing w:after="80" w:line="280"/>
      </w:pPr>
      <w:r>
        <w:rPr>
          <w:rFonts w:ascii="Palatino Linotype" w:cs="Palatino Linotype" w:eastAsia="Palatino Linotype" w:hAnsi="Palatino Linotype"/>
          <w:color w:val="2D2D2D"/>
          <w:sz w:val="22"/>
          <w:szCs w:val="22"/>
        </w:rPr>
        <w:t xml:space="preserve">CloneTracker recovery (AML_SRAML10_barcode_*.csv) is below 1 percent of cells per sample. The clonal overlay figures should be presented as proof-of-principle, not as a quantitative clonal readout. Targeted amplicon-seq is required for per-clone analyses.</w:t>
      </w:r>
    </w:p>
    <w:p>
      <w:pPr>
        <w:pStyle w:val="ListParagraph"/>
        <w:numPr>
          <w:ilvl w:val="0"/>
          <w:numId w:val="2"/>
        </w:numPr>
        <w:spacing w:after="80" w:line="280"/>
      </w:pPr>
      <w:r>
        <w:rPr>
          <w:rFonts w:ascii="Palatino Linotype" w:cs="Palatino Linotype" w:eastAsia="Palatino Linotype" w:hAnsi="Palatino Linotype"/>
          <w:color w:val="2D2D2D"/>
          <w:sz w:val="22"/>
          <w:szCs w:val="22"/>
        </w:rPr>
        <w:t xml:space="preserve">The CD16+ Mono/macrophage “Normal-like” call rests on CNV burden alone (cd16_classification.tsv). Confirmation with mutation-based deconvolution (Vartrix) is recommended for the paper.</w:t>
      </w:r>
    </w:p>
    <w:p>
      <w:pPr>
        <w:pStyle w:val="Heading1"/>
        <w:spacing w:after="180" w:before="360"/>
      </w:pPr>
      <w:r>
        <w:rPr>
          <w:rFonts w:ascii="Palatino Linotype" w:cs="Palatino Linotype" w:eastAsia="Palatino Linotype" w:hAnsi="Palatino Linotype"/>
          <w:b/>
          <w:bCs/>
          <w:color w:val="1B2A4A"/>
          <w:sz w:val="32"/>
          <w:szCs w:val="32"/>
        </w:rPr>
        <w:t xml:space="preserve">6. Conclusions</w:t>
      </w:r>
    </w:p>
    <w:p>
      <w:pPr>
        <w:spacing w:after="120" w:line="300"/>
      </w:pPr>
      <w:r>
        <w:rPr>
          <w:rFonts w:ascii="Palatino Linotype" w:cs="Palatino Linotype" w:eastAsia="Palatino Linotype" w:hAnsi="Palatino Linotype"/>
          <w:color w:val="2D2D2D"/>
          <w:sz w:val="22"/>
          <w:szCs w:val="22"/>
        </w:rPr>
        <w:t xml:space="preserve">The seurat folder is organised so that each numbered subfolder maps to one analysis step, and the tables and figures inside each subfolder are immediately re-usable in slide decks and the manuscript.</w:t>
      </w:r>
    </w:p>
    <w:p>
      <w:pPr>
        <w:spacing w:after="120" w:line="300"/>
      </w:pPr>
      <w:r>
        <w:rPr>
          <w:rFonts w:ascii="Palatino Linotype" w:cs="Palatino Linotype" w:eastAsia="Palatino Linotype" w:hAnsi="Palatino Linotype"/>
          <w:color w:val="2D2D2D"/>
          <w:sz w:val="22"/>
          <w:szCs w:val="22"/>
        </w:rPr>
        <w:t xml:space="preserve">The single-patient scope is the principal limitation: every figure here describes SRAML10. SRAML7 and SRAML13 will slot into the same folder shape without renaming once their downstream objects exist.</w:t>
      </w:r>
    </w:p>
    <w:p>
      <w:pPr>
        <w:spacing w:after="120" w:line="300"/>
      </w:pPr>
      <w:r>
        <w:rPr>
          <w:rFonts w:ascii="Palatino Linotype" w:cs="Palatino Linotype" w:eastAsia="Palatino Linotype" w:hAnsi="Palatino Linotype"/>
          <w:color w:val="2D2D2D"/>
          <w:sz w:val="22"/>
          <w:szCs w:val="22"/>
        </w:rPr>
        <w:t xml:space="preserve">The most valuable single follow-up is a targeted CloneTracker amplicon-seq run — it would convert the current illustrative barcode figures into a quantitative clonal-dynamics dataset.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alatino Linotype" w:cs="Palatino Linotype" w:eastAsia="Palatino Linotype" w:hAnsi="Palatino Linotype"/>
        <w:color w:val="3D5A80"/>
        <w:sz w:val="18"/>
        <w:szCs w:val="18"/>
      </w:rPr>
      <w:t xml:space="preserve">AML_Cellecta S34 — Seurat folder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Seurat outputs folder guide</dc:title>
  <dc:creator>Seurat outputs folder guide</dc:creator>
  <cp:lastModifiedBy>Un-named</cp:lastModifiedBy>
  <cp:revision>1</cp:revision>
  <dcterms:created xsi:type="dcterms:W3CDTF">2026-05-27T17:41:06.342Z</dcterms:created>
  <dcterms:modified xsi:type="dcterms:W3CDTF">2026-05-27T17:41:06.342Z</dcterms:modified>
</cp:coreProperties>
</file>

<file path=docProps/custom.xml><?xml version="1.0" encoding="utf-8"?>
<Properties xmlns="http://schemas.openxmlformats.org/officeDocument/2006/custom-properties" xmlns:vt="http://schemas.openxmlformats.org/officeDocument/2006/docPropsVTypes"/>
</file>