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Palatino Linotype" w:cs="Palatino Linotype" w:eastAsia="Palatino Linotype" w:hAnsi="Palatino Linotype"/>
          <w:b/>
          <w:bCs/>
          <w:color w:val="1B2A4A"/>
          <w:sz w:val="44"/>
          <w:szCs w:val="44"/>
        </w:rPr>
        <w:t xml:space="preserve">AML_Cellecta — Annotation Validation</w:t>
      </w:r>
    </w:p>
    <w:p>
      <w:pPr>
        <w:spacing w:after="80"/>
      </w:pPr>
      <w:r>
        <w:rPr>
          <w:rFonts w:ascii="Palatino Linotype" w:cs="Palatino Linotype" w:eastAsia="Palatino Linotype" w:hAnsi="Palatino Linotype"/>
          <w:color w:val="3D5A80"/>
          <w:sz w:val="26"/>
          <w:szCs w:val="26"/>
        </w:rPr>
        <w:t xml:space="preserve">Reference-based annotation + inferCNV cross-validation (Part-3 Steps 1 &amp; 2)</w:t>
      </w:r>
    </w:p>
    <w:p>
      <w:pPr>
        <w:spacing w:after="360"/>
      </w:pPr>
      <w:r>
        <w:rPr>
          <w:rFonts w:ascii="Palatino Linotype" w:cs="Palatino Linotype" w:eastAsia="Palatino Linotype" w:hAnsi="Palatino Linotype"/>
          <w:color w:val="3D5A80"/>
          <w:sz w:val="22"/>
          <w:szCs w:val="22"/>
        </w:rPr>
        <w:t xml:space="preserve">ICR Project S34 · 12 AML samples · CloneTracker XP · conventional vs HS-5 co-culture · 2026-05-24</w:t>
      </w:r>
    </w:p>
    <w:p>
      <w:pPr>
        <w:pBdr>
          <w:bottom w:val="single" w:color="1B2A4A" w:sz="6" w:space="4"/>
        </w:pBdr>
        <w:spacing w:after="240"/>
      </w:pPr>
      <w:r>
        <w:rPr>
          <w:rFonts w:ascii="Palatino Linotype" w:cs="Palatino Linotype" w:eastAsia="Palatino Linotype" w:hAnsi="Palatino Linotype"/>
          <w:color w:val="555555"/>
          <w:sz w:val="22"/>
          <w:szCs w:val="22"/>
        </w:rPr>
        <w:t xml:space="preserve">Ayeh Sadr  ·  Tonks Lab, Cardiff University  ·  Project S34 (ICR collaboration)</w:t>
      </w:r>
    </w:p>
    <w:p>
      <w:pPr>
        <w:pStyle w:val="Heading1"/>
        <w:spacing w:after="180" w:before="360"/>
      </w:pPr>
      <w:r>
        <w:rPr>
          <w:rFonts w:ascii="Palatino Linotype" w:cs="Palatino Linotype" w:eastAsia="Palatino Linotype" w:hAnsi="Palatino Linotype"/>
          <w:b/>
          <w:bCs/>
          <w:color w:val="1B2A4A"/>
          <w:sz w:val="32"/>
          <w:szCs w:val="32"/>
        </w:rPr>
        <w:t xml:space="preserve">Abstract</w:t>
      </w:r>
    </w:p>
    <w:p>
      <w:pPr>
        <w:spacing w:after="120" w:line="300"/>
      </w:pPr>
      <w:r>
        <w:rPr>
          <w:rFonts w:ascii="Palatino Linotype" w:cs="Palatino Linotype" w:eastAsia="Palatino Linotype" w:hAnsi="Palatino Linotype"/>
          <w:b/>
          <w:bCs/>
          <w:color w:val="1B2A4A"/>
          <w:sz w:val="22"/>
          <w:szCs w:val="22"/>
        </w:rPr>
        <w:t xml:space="preserve">Microenvironment-driven chemoresistance in AML operates through two parallel routes — pre-existing clonal selection and inflammatory-cytokine-induced quiescence. </w:t>
      </w:r>
      <w:r>
        <w:rPr>
          <w:rFonts w:ascii="Palatino Linotype" w:cs="Palatino Linotype" w:eastAsia="Palatino Linotype" w:hAnsi="Palatino Linotype"/>
          <w:color w:val="2D2D2D"/>
          <w:sz w:val="22"/>
          <w:szCs w:val="22"/>
        </w:rPr>
        <w:t xml:space="preserve">Acute myeloid leukaemia cells in the bone marrow stromal niche are protected from cytarabine (Ara-C) cytotoxicity by mechanisms that are incompletely characterised at single-cell resolution. We performed scRNA-seq with Cellecta CloneTracker XP barcoding on AML blasts from one patient (SRAML10) cultured in four conditions — conventional vs HS-5 stromal co-culture, with and without Ara-C. Cluster identity was validated by reference-based annotation (van Galen 2019, Azimuth bone-marrow CITE-seq) and per-cell CNV inference (inferCNV), yielding seven transcriptionally and karyotypically distinct AML populations including a rare ABCB5+ resistant LSC-like clone. AML-only re-embedding, single-cell differential expression, Slingshot trajectory inference, and NicheNet ligand-activity prediction together reveal that the niche reshapes — rather than uniformly dampens — leukaemic response to chemotherapy. In conventional culture, Ara-C drove a 33-fold clonal expansion of the pre-existing ABCB5+ LSC population (14 → 462 cells), which became co-dominant with a stress-response cluster as the residual disease. This clonal-selection route was essentially abolished in co-culture (ABCB5+ 2 → 10 cells), where survival instead operated through niche-induced expansion of a transcriptionally stable Promono-like quiescent state (25 → 429 → 617 cells). Trajectory analysis placed Promono as a terminal quiescent fate, and conditional fits showed the co-culture compartment had lost the primitive end of the differentiation hierarchy entirely, structurally reshaping rather than re-weighting the trajectory backbone. NicheNet predicted that the niche-imprint gene programme — iron handling (FTH1, FTL), NAD salvage (NAMPT), redox sensing (TXNIP), and interferon-induced membrane proteins (IFITM3, B2M) — is most strongly driven by HS-5-derived </w:t>
      </w:r>
      <w:r>
        <w:rPr>
          <w:rFonts w:ascii="Palatino Linotype" w:cs="Palatino Linotype" w:eastAsia="Palatino Linotype" w:hAnsi="Palatino Linotype"/>
          <w:b/>
          <w:bCs/>
          <w:color w:val="2D2D2D"/>
          <w:sz w:val="22"/>
          <w:szCs w:val="22"/>
        </w:rPr>
        <w:t xml:space="preserve">IL6, IL1B, and TGFB1</w:t>
      </w:r>
      <w:r>
        <w:rPr>
          <w:rFonts w:ascii="Palatino Linotype" w:cs="Palatino Linotype" w:eastAsia="Palatino Linotype" w:hAnsi="Palatino Linotype"/>
          <w:color w:val="2D2D2D"/>
          <w:sz w:val="22"/>
          <w:szCs w:val="22"/>
        </w:rPr>
        <w:t xml:space="preserve">, all of which have clinically approved or trialled blockers. These findings nominate inflammatory-cytokine signalling, not the classical CXCL12 / KITLG axis, as the actionable niche driver of chemoresistance in this patient and provide testable mechanistic hypotheses for niche disruption. Cross-patient validation and clonal-barcode tracking across condition boundaries are in progress.</w:t>
      </w:r>
    </w:p>
    <w:p>
      <w:pPr>
        <w:pStyle w:val="Heading1"/>
        <w:spacing w:after="180" w:before="360"/>
      </w:pPr>
      <w:r>
        <w:rPr>
          <w:rFonts w:ascii="Palatino Linotype" w:cs="Palatino Linotype" w:eastAsia="Palatino Linotype" w:hAnsi="Palatino Linotype"/>
          <w:b/>
          <w:bCs/>
          <w:color w:val="1B2A4A"/>
          <w:sz w:val="32"/>
          <w:szCs w:val="32"/>
        </w:rPr>
        <w:t xml:space="preserve">1. Overview</w:t>
      </w:r>
    </w:p>
    <w:p>
      <w:pPr>
        <w:spacing w:after="120" w:line="300"/>
      </w:pPr>
      <w:r>
        <w:rPr>
          <w:rFonts w:ascii="Palatino Linotype" w:cs="Palatino Linotype" w:eastAsia="Palatino Linotype" w:hAnsi="Palatino Linotype"/>
          <w:color w:val="2D2D2D"/>
          <w:sz w:val="22"/>
          <w:szCs w:val="22"/>
        </w:rPr>
        <w:t xml:space="preserve">This document summarises the cluster annotation work for the AML_Cellecta single-cell experiment (12 AML patients, conventional vs HS-5 stromal co-culture, with and without Ara-C). The starting point was a Seurat object of 13 clusters from our merged dataset, labelled by marker-gene inspection. The purpose of this analysis was to confirm, for each cluster, whether it represents genuine AML cells, contaminating normal cells, or a technical artefact — before we use these labels for any downstream interpretation of the conventional-versus-co-culture comparison.</w:t>
      </w:r>
    </w:p>
    <w:p>
      <w:pPr>
        <w:spacing w:after="120" w:line="300"/>
      </w:pPr>
      <w:r>
        <w:rPr>
          <w:rFonts w:ascii="Palatino Linotype" w:cs="Palatino Linotype" w:eastAsia="Palatino Linotype" w:hAnsi="Palatino Linotype"/>
          <w:b/>
          <w:bCs/>
          <w:color w:val="1B2A4A"/>
          <w:sz w:val="22"/>
          <w:szCs w:val="22"/>
        </w:rPr>
        <w:t xml:space="preserve">Headline finding. </w:t>
      </w:r>
      <w:r>
        <w:rPr>
          <w:rFonts w:ascii="Palatino Linotype" w:cs="Palatino Linotype" w:eastAsia="Palatino Linotype" w:hAnsi="Palatino Linotype"/>
          <w:color w:val="2D2D2D"/>
          <w:sz w:val="22"/>
          <w:szCs w:val="22"/>
        </w:rPr>
        <w:t xml:space="preserve">Of the 13 clusters, six are AML blasts (a primitive HSC/LSC-like fraction, an ABCB5+ resistant LSC-like clone, a GMP-like blast population, two myeloid-leaning populations, and a stress-responding fraction), one is a niche-engaged primitive state that is dying in the conventional arm, and the remainder are normal lymphoid / stromal / endothelial cells or technical residuals to exclude from downstream AML-specific analyses. The CD16+ Mono / macrophage cluster, which marker-only annotation could not resolve, is normal monocyte contamination by orthogonal genomic evidence.</w:t>
      </w:r>
    </w:p>
    <w:p>
      <w:pPr>
        <w:spacing w:after="120" w:line="300"/>
      </w:pPr>
      <w:r>
        <w:rPr>
          <w:rFonts w:ascii="Palatino Linotype" w:cs="Palatino Linotype" w:eastAsia="Palatino Linotype" w:hAnsi="Palatino Linotype"/>
          <w:b/>
          <w:bCs/>
          <w:color w:val="1B2A4A"/>
          <w:sz w:val="22"/>
          <w:szCs w:val="22"/>
        </w:rPr>
        <w:t xml:space="preserve">Why this matters. </w:t>
      </w:r>
      <w:r>
        <w:rPr>
          <w:rFonts w:ascii="Palatino Linotype" w:cs="Palatino Linotype" w:eastAsia="Palatino Linotype" w:hAnsi="Palatino Linotype"/>
          <w:color w:val="2D2D2D"/>
          <w:sz w:val="22"/>
          <w:szCs w:val="22"/>
        </w:rPr>
        <w:t xml:space="preserve">Several downstream analyses in the Part-3 plan — differential expression between conditions, trajectory inference, niche-blast communication — depend on having clean AML-only clusters. Mis-classifying a normal contaminant as AML would inject normal-cell biology into the conventional-vs-co-culture comparison and weaken every conclusion. The two-step validation below (transcriptomic reference mapping + genomic CNV inference) gives us a defensible per-cluster call.</w:t>
      </w:r>
    </w:p>
    <w:p>
      <w:pPr>
        <w:pStyle w:val="Heading1"/>
        <w:spacing w:after="180" w:before="360"/>
      </w:pPr>
      <w:r>
        <w:rPr>
          <w:rFonts w:ascii="Palatino Linotype" w:cs="Palatino Linotype" w:eastAsia="Palatino Linotype" w:hAnsi="Palatino Linotype"/>
          <w:b/>
          <w:bCs/>
          <w:color w:val="1B2A4A"/>
          <w:sz w:val="32"/>
          <w:szCs w:val="32"/>
        </w:rPr>
        <w:t xml:space="preserve">2. Pipeline</w:t>
      </w:r>
    </w:p>
    <w:p>
      <w:pPr>
        <w:spacing w:after="120" w:line="300"/>
      </w:pPr>
      <w:r>
        <w:rPr>
          <w:rFonts w:ascii="Palatino Linotype" w:cs="Palatino Linotype" w:eastAsia="Palatino Linotype" w:hAnsi="Palatino Linotype"/>
          <w:color w:val="2D2D2D"/>
          <w:sz w:val="22"/>
          <w:szCs w:val="22"/>
        </w:rPr>
        <w:t xml:space="preserve">Annotation was approached in two complementary steps: a transcriptomic step that asks “does this cell look like a published AML cell type?”, and a genomic step that asks “does this cell carry the kind of large-scale chromosomal gains/losses that only AML cells have?”. A cluster is only declared AML if both lines of evidence agree.</w:t>
      </w:r>
    </w:p>
    <w:p>
      <w:pPr>
        <w:pStyle w:val="Heading2"/>
        <w:spacing w:after="120" w:before="240"/>
      </w:pPr>
      <w:r>
        <w:rPr>
          <w:rFonts w:ascii="Palatino Linotype" w:cs="Palatino Linotype" w:eastAsia="Palatino Linotype" w:hAnsi="Palatino Linotype"/>
          <w:b/>
          <w:bCs/>
          <w:color w:val="1B2A4A"/>
          <w:sz w:val="26"/>
          <w:szCs w:val="26"/>
        </w:rPr>
        <w:t xml:space="preserve">2.1 Existing marker-based annotation (input)</w:t>
      </w:r>
    </w:p>
    <w:p>
      <w:pPr>
        <w:spacing w:after="120" w:line="300"/>
      </w:pPr>
      <w:r>
        <w:rPr>
          <w:rFonts w:ascii="Palatino Linotype" w:cs="Palatino Linotype" w:eastAsia="Palatino Linotype" w:hAnsi="Palatino Linotype"/>
          <w:color w:val="2D2D2D"/>
          <w:sz w:val="22"/>
          <w:szCs w:val="22"/>
        </w:rPr>
        <w:t xml:space="preserve">The 13 clusters and their first-pass labels (HSPC/LSC-like blasts, GMP-like AML blasts, ABCB5+ resistant primitive AML, Mono-like AML, Promono-like / quiescent myeloid, CD16+ Mono / macrophage, Stress-response myeloid, Unclassified niche-related, Unclassified low-quality, B cells, T cells, BM endothelial, HS-5 stromal / MSC, Eosinophils / basophils) were assigned previously by marker gene inspection (CD34, MPO, CD68, CD16, etc.). This step gets the broad cell identities right but leaves several questions open — most importantly whether the CD16+ population, the unclassified clusters and the stress-response cluster are AML or normal.</w:t>
      </w:r>
    </w:p>
    <w:p>
      <w:pPr>
        <w:pStyle w:val="Heading2"/>
        <w:spacing w:after="120" w:before="240"/>
      </w:pPr>
      <w:r>
        <w:rPr>
          <w:rFonts w:ascii="Palatino Linotype" w:cs="Palatino Linotype" w:eastAsia="Palatino Linotype" w:hAnsi="Palatino Linotype"/>
          <w:b/>
          <w:bCs/>
          <w:color w:val="1B2A4A"/>
          <w:sz w:val="26"/>
          <w:szCs w:val="26"/>
        </w:rPr>
        <w:t xml:space="preserve">2.2 Reference-based annotation — Step 1 (script: seurat_03_annotate_reference.R)</w:t>
      </w:r>
    </w:p>
    <w:p>
      <w:pPr>
        <w:spacing w:after="120" w:line="300"/>
      </w:pPr>
      <w:r>
        <w:rPr>
          <w:rFonts w:ascii="Palatino Linotype" w:cs="Palatino Linotype" w:eastAsia="Palatino Linotype" w:hAnsi="Palatino Linotype"/>
          <w:color w:val="2D2D2D"/>
          <w:sz w:val="22"/>
          <w:szCs w:val="22"/>
        </w:rPr>
        <w:t xml:space="preserve">Each cell was compared against published AML and normal bone-marrow references. Two complementary tools were used:</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SingleR. </w:t>
      </w:r>
      <w:r>
        <w:rPr>
          <w:rFonts w:ascii="Palatino Linotype" w:cs="Palatino Linotype" w:eastAsia="Palatino Linotype" w:hAnsi="Palatino Linotype"/>
          <w:color w:val="2D2D2D"/>
          <w:sz w:val="22"/>
          <w:szCs w:val="22"/>
        </w:rPr>
        <w:t xml:space="preserve">Per-cell Spearman correlation against the van Galen et al. 2019 AML reference (38,410 cells with genotype-confirmed cell-type labels) and the HumanPrimaryCellAtlas, yielding a continuous “most-similar reference label” for every cell.</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UCell signature scoring. </w:t>
      </w:r>
      <w:r>
        <w:rPr>
          <w:rFonts w:ascii="Palatino Linotype" w:cs="Palatino Linotype" w:eastAsia="Palatino Linotype" w:hAnsi="Palatino Linotype"/>
          <w:color w:val="2D2D2D"/>
          <w:sz w:val="22"/>
          <w:szCs w:val="22"/>
        </w:rPr>
        <w:t xml:space="preserve">Per-cell scoring of curated gene signatures grouped by theme: leukaemic stemness (LSC17, Eppert HSC, van Galen HSC/GMP/Promono lists), quiescence/dormancy (Cheung-Rando, Laurenti), stress / integrated stress response (van den Brink dissociation, ATF4 targets), bone-marrow niche signalling (Baryawno, Tikhonova), drug resistance (Ara-C metabolism, MDR efflux pumps, ALDH), and apoptosis (BCL2 family).</w:t>
      </w:r>
    </w:p>
    <w:p>
      <w:pPr>
        <w:spacing w:after="120" w:line="300"/>
      </w:pPr>
      <w:r>
        <w:rPr>
          <w:rFonts w:ascii="Palatino Linotype" w:cs="Palatino Linotype" w:eastAsia="Palatino Linotype" w:hAnsi="Palatino Linotype"/>
          <w:color w:val="2D2D2D"/>
          <w:sz w:val="22"/>
          <w:szCs w:val="22"/>
        </w:rPr>
        <w:t xml:space="preserve">A 3-class “van Galen signature class” call (HSC-like / GMP-like / Myeloid-like / Unassigned) was derived for each cell from the van Galen Table S4A correlation-specific gene lists. Cells whose top signature score did not exceed a 0.5 standard-deviation threshold were left Unassigned rather than force-called into a myeloid class — this prevents stromal and lymphocyte clusters from being mis-classified by default.</w:t>
      </w:r>
    </w:p>
    <w:p>
      <w:pPr>
        <w:pStyle w:val="Heading2"/>
        <w:spacing w:after="120" w:before="240"/>
      </w:pPr>
      <w:r>
        <w:rPr>
          <w:rFonts w:ascii="Palatino Linotype" w:cs="Palatino Linotype" w:eastAsia="Palatino Linotype" w:hAnsi="Palatino Linotype"/>
          <w:b/>
          <w:bCs/>
          <w:color w:val="1B2A4A"/>
          <w:sz w:val="26"/>
          <w:szCs w:val="26"/>
        </w:rPr>
        <w:t xml:space="preserve">2.3 Inferred copy-number variation — Step 2 (script: seurat_04_infer_cnv.R)</w:t>
      </w:r>
    </w:p>
    <w:p>
      <w:pPr>
        <w:spacing w:after="120" w:line="300"/>
      </w:pPr>
      <w:r>
        <w:rPr>
          <w:rFonts w:ascii="Palatino Linotype" w:cs="Palatino Linotype" w:eastAsia="Palatino Linotype" w:hAnsi="Palatino Linotype"/>
          <w:color w:val="2D2D2D"/>
          <w:sz w:val="22"/>
          <w:szCs w:val="22"/>
        </w:rPr>
        <w:t xml:space="preserve">Bone-marrow B and T cells from the same samples were used as a diploid reference. inferCNV compares the average expression of all consecutive genes along each chromosome in every test cell against this reference. AML cells, which typically carry gains or losses of large chromosomal segments (trisomy 8, del(5q), trisomy 4, etc.), show coherent red/blue stripes along whole chromosome arms; normal cells show flat, white-noise patterns matching the reference. A summary per-cell “CNV burden” score (mean squared deviation from baseline) was computed for ranking clusters.</w:t>
      </w:r>
    </w:p>
    <w:p>
      <w:pPr>
        <w:spacing w:after="120" w:line="300"/>
      </w:pPr>
      <w:r>
        <w:rPr>
          <w:rFonts w:ascii="Palatino Linotype" w:cs="Palatino Linotype" w:eastAsia="Palatino Linotype" w:hAnsi="Palatino Linotype"/>
          <w:color w:val="2D2D2D"/>
          <w:sz w:val="22"/>
          <w:szCs w:val="22"/>
        </w:rPr>
        <w:t xml:space="preserve">The HS-5 stromal cell line was deliberately excluded from inferCNV because it is non-haematopoietic and would otherwise behave as a contaminating outlier. All other clusters were included; cluster downsampling was applied (3,000 cells per cluster) so that the more abundant populations did not dominate the run.</w:t>
      </w:r>
    </w:p>
    <w:p>
      <w:pPr>
        <w:pStyle w:val="Heading1"/>
        <w:spacing w:after="180" w:before="360"/>
      </w:pPr>
      <w:r>
        <w:rPr>
          <w:rFonts w:ascii="Palatino Linotype" w:cs="Palatino Linotype" w:eastAsia="Palatino Linotype" w:hAnsi="Palatino Linotype"/>
          <w:b/>
          <w:bCs/>
          <w:color w:val="1B2A4A"/>
          <w:sz w:val="32"/>
          <w:szCs w:val="32"/>
        </w:rPr>
        <w:t xml:space="preserve">3. Validation logic — why combine transcriptomics and genomics</w:t>
      </w:r>
    </w:p>
    <w:p>
      <w:pPr>
        <w:spacing w:after="120" w:line="300"/>
      </w:pPr>
      <w:r>
        <w:rPr>
          <w:rFonts w:ascii="Palatino Linotype" w:cs="Palatino Linotype" w:eastAsia="Palatino Linotype" w:hAnsi="Palatino Linotype"/>
          <w:color w:val="2D2D2D"/>
          <w:sz w:val="22"/>
          <w:szCs w:val="22"/>
        </w:rPr>
        <w:t xml:space="preserve">Each step alone leaves a blind spot.</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Transcriptomic similarity is not proof of AML. </w:t>
      </w:r>
      <w:r>
        <w:rPr>
          <w:rFonts w:ascii="Palatino Linotype" w:cs="Palatino Linotype" w:eastAsia="Palatino Linotype" w:hAnsi="Palatino Linotype"/>
          <w:color w:val="2D2D2D"/>
          <w:sz w:val="22"/>
          <w:szCs w:val="22"/>
        </w:rPr>
        <w:t xml:space="preserve">A cell that looks like a “Mono-like AML” cell from van Galen could equally be a normal monocyte from this patient — they share gene expression. Reference mapping cannot distinguish AML cells from normal cells in the same lineage.</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CNV inference is not proof of identity. </w:t>
      </w:r>
      <w:r>
        <w:rPr>
          <w:rFonts w:ascii="Palatino Linotype" w:cs="Palatino Linotype" w:eastAsia="Palatino Linotype" w:hAnsi="Palatino Linotype"/>
          <w:color w:val="2D2D2D"/>
          <w:sz w:val="22"/>
          <w:szCs w:val="22"/>
        </w:rPr>
        <w:t xml:space="preserve">A cell with elevated CNV burden could be any AML cell — the inferCNV signal does not tell us which differentiation state the cell is in, only that it carries copy number abnormalities.</w:t>
      </w:r>
    </w:p>
    <w:p>
      <w:pPr>
        <w:spacing w:after="120" w:line="300"/>
      </w:pPr>
      <w:r>
        <w:rPr>
          <w:rFonts w:ascii="Palatino Linotype" w:cs="Palatino Linotype" w:eastAsia="Palatino Linotype" w:hAnsi="Palatino Linotype"/>
          <w:b/>
          <w:bCs/>
          <w:color w:val="1B2A4A"/>
          <w:sz w:val="22"/>
          <w:szCs w:val="22"/>
        </w:rPr>
        <w:t xml:space="preserve">Combining the two gives a defensible call: </w:t>
      </w:r>
      <w:r>
        <w:rPr>
          <w:rFonts w:ascii="Palatino Linotype" w:cs="Palatino Linotype" w:eastAsia="Palatino Linotype" w:hAnsi="Palatino Linotype"/>
          <w:color w:val="2D2D2D"/>
          <w:sz w:val="22"/>
          <w:szCs w:val="22"/>
        </w:rPr>
        <w:t xml:space="preserve">a cluster is AML only if it both (a) has a coherent leukaemic-lineage transcriptomic profile and (b) shows elevated CNV burden against the lymphocyte reference. A cluster is non-AML if it lacks both. Disagreements between the two lines of evidence are themselves informative — they flag clusters whose biology is more subtle (e.g. AML cells in a stress state that masks lineage markers).</w:t>
      </w:r>
    </w:p>
    <w:p>
      <w:pPr>
        <w:pStyle w:val="Heading1"/>
        <w:spacing w:after="180" w:before="360"/>
      </w:pPr>
      <w:r>
        <w:rPr>
          <w:rFonts w:ascii="Palatino Linotype" w:cs="Palatino Linotype" w:eastAsia="Palatino Linotype" w:hAnsi="Palatino Linotype"/>
          <w:b/>
          <w:bCs/>
          <w:color w:val="1B2A4A"/>
          <w:sz w:val="32"/>
          <w:szCs w:val="32"/>
        </w:rPr>
        <w:t xml:space="preserve">4. Findings</w:t>
      </w:r>
    </w:p>
    <w:p>
      <w:pPr>
        <w:pStyle w:val="Heading2"/>
        <w:spacing w:after="120" w:before="240"/>
      </w:pPr>
      <w:r>
        <w:rPr>
          <w:rFonts w:ascii="Palatino Linotype" w:cs="Palatino Linotype" w:eastAsia="Palatino Linotype" w:hAnsi="Palatino Linotype"/>
          <w:b/>
          <w:bCs/>
          <w:color w:val="1B2A4A"/>
          <w:sz w:val="26"/>
          <w:szCs w:val="26"/>
        </w:rPr>
        <w:t xml:space="preserve">4.1 Final cluster table</w:t>
      </w:r>
    </w:p>
    <w:p>
      <w:pPr>
        <w:spacing w:after="120" w:line="300"/>
      </w:pPr>
      <w:r>
        <w:rPr>
          <w:rFonts w:ascii="Palatino Linotype" w:cs="Palatino Linotype" w:eastAsia="Palatino Linotype" w:hAnsi="Palatino Linotype"/>
          <w:color w:val="2D2D2D"/>
          <w:sz w:val="22"/>
          <w:szCs w:val="22"/>
        </w:rPr>
        <w:t xml:space="preserve">The table below shows the final per-cluster call. “Transcriptomic” summarises the Step 1 signature evidence; “CNV” summarises the Step 2 burden rank (the violin plot ordered clusters from lowest to highest median CNV burden); “Final call” combines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995"/>
        <w:gridCol w:w="2059"/>
        <w:gridCol w:w="2246"/>
      </w:tblGrid>
      <w:tr>
        <w:tc>
          <w:tcPr>
            <w:tcW w:type="dxa" w:w="2059"/>
            <w:tcBorders>
              <w:top w:val="single" w:color="D4D4D4" w:sz="4"/>
              <w:left w:val="single" w:color="D4D4D4" w:sz="4"/>
              <w:bottom w:val="single" w:color="D4D4D4" w:sz="4"/>
              <w:right w:val="single" w:color="D4D4D4" w:sz="4"/>
            </w:tcBorders>
            <w:shd w:fill="1B2A4A"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20"/>
                <w:szCs w:val="20"/>
              </w:rPr>
              <w:t xml:space="preserve">Original cluster</w:t>
            </w:r>
          </w:p>
        </w:tc>
        <w:tc>
          <w:tcPr>
            <w:tcW w:type="dxa" w:w="2995"/>
            <w:tcBorders>
              <w:top w:val="single" w:color="D4D4D4" w:sz="4"/>
              <w:left w:val="single" w:color="D4D4D4" w:sz="4"/>
              <w:bottom w:val="single" w:color="D4D4D4" w:sz="4"/>
              <w:right w:val="single" w:color="D4D4D4" w:sz="4"/>
            </w:tcBorders>
            <w:shd w:fill="1B2A4A"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20"/>
                <w:szCs w:val="20"/>
              </w:rPr>
              <w:t xml:space="preserve">Transcriptomic profile (Step 1)</w:t>
            </w:r>
          </w:p>
        </w:tc>
        <w:tc>
          <w:tcPr>
            <w:tcW w:type="dxa" w:w="2059"/>
            <w:tcBorders>
              <w:top w:val="single" w:color="D4D4D4" w:sz="4"/>
              <w:left w:val="single" w:color="D4D4D4" w:sz="4"/>
              <w:bottom w:val="single" w:color="D4D4D4" w:sz="4"/>
              <w:right w:val="single" w:color="D4D4D4" w:sz="4"/>
            </w:tcBorders>
            <w:shd w:fill="1B2A4A"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20"/>
                <w:szCs w:val="20"/>
              </w:rPr>
              <w:t xml:space="preserve">CNV burden (Step 2)</w:t>
            </w:r>
          </w:p>
        </w:tc>
        <w:tc>
          <w:tcPr>
            <w:tcW w:type="dxa" w:w="2246"/>
            <w:tcBorders>
              <w:top w:val="single" w:color="D4D4D4" w:sz="4"/>
              <w:left w:val="single" w:color="D4D4D4" w:sz="4"/>
              <w:bottom w:val="single" w:color="D4D4D4" w:sz="4"/>
              <w:right w:val="single" w:color="D4D4D4" w:sz="4"/>
            </w:tcBorders>
            <w:shd w:fill="1B2A4A"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20"/>
                <w:szCs w:val="20"/>
              </w:rPr>
              <w:t xml:space="preserve">Final call</w:t>
            </w:r>
          </w:p>
        </w:tc>
      </w:tr>
      <w:tr>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GMP-like AML blasts</w:t>
            </w:r>
          </w:p>
        </w:tc>
        <w:tc>
          <w:tcPr>
            <w:tcW w:type="dxa" w:w="2995"/>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van Galen GMP signature + LSC17 + resistance</w:t>
            </w:r>
          </w:p>
        </w:tc>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Elevated, with subclonal outliers</w:t>
            </w:r>
          </w:p>
        </w:tc>
        <w:tc>
          <w:tcPr>
            <w:tcW w:type="dxa" w:w="224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AML — GMP-like blasts</w:t>
            </w:r>
          </w:p>
        </w:tc>
      </w:tr>
      <w:tr>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HSPC / LSC-like blasts</w:t>
            </w:r>
          </w:p>
        </w:tc>
        <w:tc>
          <w:tcPr>
            <w:tcW w:type="dxa" w:w="2995"/>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van Galen HSC + Eppert HSC + LSC17</w:t>
            </w:r>
          </w:p>
        </w:tc>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Elevated</w:t>
            </w:r>
          </w:p>
        </w:tc>
        <w:tc>
          <w:tcPr>
            <w:tcW w:type="dxa" w:w="224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AML — primitive HSC/LSC-like</w:t>
            </w:r>
          </w:p>
        </w:tc>
      </w:tr>
      <w:tr>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ABCB5+ resistant primitive AML</w:t>
            </w:r>
          </w:p>
        </w:tc>
        <w:tc>
          <w:tcPr>
            <w:tcW w:type="dxa" w:w="2995"/>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Primitive + coherent Ara-C metabolism / MDR / ALDH programme</w:t>
            </w:r>
          </w:p>
        </w:tc>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Highest in cohort</w:t>
            </w:r>
          </w:p>
        </w:tc>
        <w:tc>
          <w:tcPr>
            <w:tcW w:type="dxa" w:w="224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AML — resistant LSC-like clone</w:t>
            </w:r>
          </w:p>
        </w:tc>
      </w:tr>
      <w:tr>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Mono-like AML</w:t>
            </w:r>
          </w:p>
        </w:tc>
        <w:tc>
          <w:tcPr>
            <w:tcW w:type="dxa" w:w="2995"/>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van Galen Promono / Myeloid signatures</w:t>
            </w:r>
          </w:p>
        </w:tc>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Elevated</w:t>
            </w:r>
          </w:p>
        </w:tc>
        <w:tc>
          <w:tcPr>
            <w:tcW w:type="dxa" w:w="224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AML — mature monocytic</w:t>
            </w:r>
          </w:p>
        </w:tc>
      </w:tr>
      <w:tr>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Promono-like / quiescent myeloid</w:t>
            </w:r>
          </w:p>
        </w:tc>
        <w:tc>
          <w:tcPr>
            <w:tcW w:type="dxa" w:w="2995"/>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Laurenti quiescence + ATF4 stress + MSC-response + ALDH together</w:t>
            </w:r>
          </w:p>
        </w:tc>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Elevated</w:t>
            </w:r>
          </w:p>
        </w:tc>
        <w:tc>
          <w:tcPr>
            <w:tcW w:type="dxa" w:w="224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AML — niche-induced quiescent state</w:t>
            </w:r>
          </w:p>
        </w:tc>
      </w:tr>
      <w:tr>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Stress-response myeloid</w:t>
            </w:r>
          </w:p>
        </w:tc>
        <w:tc>
          <w:tcPr>
            <w:tcW w:type="dxa" w:w="2995"/>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Dissociation-stress and ATF4 high; ambiguous lineage on signatures alone</w:t>
            </w:r>
          </w:p>
        </w:tc>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Elevated (high)</w:t>
            </w:r>
          </w:p>
        </w:tc>
        <w:tc>
          <w:tcPr>
            <w:tcW w:type="dxa" w:w="224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AML — stressed AML, not contamination</w:t>
            </w:r>
          </w:p>
        </w:tc>
      </w:tr>
      <w:tr>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Unclassified niche-related</w:t>
            </w:r>
          </w:p>
        </w:tc>
        <w:tc>
          <w:tcPr>
            <w:tcW w:type="dxa" w:w="2995"/>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Stressed primitive AML, pro-apoptotic BCL2-family balance</w:t>
            </w:r>
          </w:p>
        </w:tc>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Elevated</w:t>
            </w:r>
          </w:p>
        </w:tc>
        <w:tc>
          <w:tcPr>
            <w:tcW w:type="dxa" w:w="224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AML — stressed/dying primitive (H3b)</w:t>
            </w:r>
          </w:p>
        </w:tc>
      </w:tr>
      <w:tr>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CD16+ Mono / macrophage</w:t>
            </w:r>
          </w:p>
        </w:tc>
        <w:tc>
          <w:tcPr>
            <w:tcW w:type="dxa" w:w="2995"/>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Mature monocyte signatures, MSC-response engaged</w:t>
            </w:r>
          </w:p>
        </w:tc>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Reference band — matches T cells</w:t>
            </w:r>
          </w:p>
        </w:tc>
        <w:tc>
          <w:tcPr>
            <w:tcW w:type="dxa" w:w="224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Normal monocyte contamination — exclude</w:t>
            </w:r>
          </w:p>
        </w:tc>
      </w:tr>
      <w:tr>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Eosinophils / basophils</w:t>
            </w:r>
          </w:p>
        </w:tc>
        <w:tc>
          <w:tcPr>
            <w:tcW w:type="dxa" w:w="2995"/>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Distinct granulocyte profile, low across most AML signatures</w:t>
            </w:r>
          </w:p>
        </w:tc>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Slightly above reference band</w:t>
            </w:r>
          </w:p>
        </w:tc>
        <w:tc>
          <w:tcPr>
            <w:tcW w:type="dxa" w:w="224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Uncertain — small n; re-examine</w:t>
            </w:r>
          </w:p>
        </w:tc>
      </w:tr>
      <w:tr>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Unclassified (low-quality?)</w:t>
            </w:r>
          </w:p>
        </w:tc>
        <w:tc>
          <w:tcPr>
            <w:tcW w:type="dxa" w:w="2995"/>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Low signal across nearly all signatures</w:t>
            </w:r>
          </w:p>
        </w:tc>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Reference band</w:t>
            </w:r>
          </w:p>
        </w:tc>
        <w:tc>
          <w:tcPr>
            <w:tcW w:type="dxa" w:w="224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Normal-like or debris — exclude</w:t>
            </w:r>
          </w:p>
        </w:tc>
      </w:tr>
      <w:tr>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B cells</w:t>
            </w:r>
          </w:p>
        </w:tc>
        <w:tc>
          <w:tcPr>
            <w:tcW w:type="dxa" w:w="2995"/>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Normal B-cell markers</w:t>
            </w:r>
          </w:p>
        </w:tc>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Reference (baseline)</w:t>
            </w:r>
          </w:p>
        </w:tc>
        <w:tc>
          <w:tcPr>
            <w:tcW w:type="dxa" w:w="224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Normal — diploid reference</w:t>
            </w:r>
          </w:p>
        </w:tc>
      </w:tr>
      <w:tr>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T cells</w:t>
            </w:r>
          </w:p>
        </w:tc>
        <w:tc>
          <w:tcPr>
            <w:tcW w:type="dxa" w:w="2995"/>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Normal T-cell markers</w:t>
            </w:r>
          </w:p>
        </w:tc>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Reference (baseline)</w:t>
            </w:r>
          </w:p>
        </w:tc>
        <w:tc>
          <w:tcPr>
            <w:tcW w:type="dxa" w:w="224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Normal — diploid reference</w:t>
            </w:r>
          </w:p>
        </w:tc>
      </w:tr>
      <w:tr>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BM endothelial</w:t>
            </w:r>
          </w:p>
        </w:tc>
        <w:tc>
          <w:tcPr>
            <w:tcW w:type="dxa" w:w="2995"/>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Niche signalling vocabulary, no leukaemic stemness</w:t>
            </w:r>
          </w:p>
        </w:tc>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Reference band</w:t>
            </w:r>
          </w:p>
        </w:tc>
        <w:tc>
          <w:tcPr>
            <w:tcW w:type="dxa" w:w="224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Normal endothelial</w:t>
            </w:r>
          </w:p>
        </w:tc>
      </w:tr>
      <w:tr>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HS-5 stromal / MSC</w:t>
            </w:r>
          </w:p>
        </w:tc>
        <w:tc>
          <w:tcPr>
            <w:tcW w:type="dxa" w:w="2995"/>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Niche-signalling + quiescence (cell-line expected)</w:t>
            </w:r>
          </w:p>
        </w:tc>
        <w:tc>
          <w:tcPr>
            <w:tcW w:type="dxa" w:w="2059"/>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Not measured (excluded a priori)</w:t>
            </w:r>
          </w:p>
        </w:tc>
        <w:tc>
          <w:tcPr>
            <w:tcW w:type="dxa" w:w="224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Cell line — drop from AML analyses</w:t>
            </w:r>
          </w:p>
        </w:tc>
      </w:tr>
    </w:tbl>
    <w:p>
      <w:pPr>
        <w:spacing w:after="120" w:line="300"/>
      </w:pPr>
      <w:r>
        <w:rPr>
          <w:rFonts w:ascii="Palatino Linotype" w:cs="Palatino Linotype" w:eastAsia="Palatino Linotype" w:hAnsi="Palatino Linotype"/>
          <w:color w:val="2D2D2D"/>
          <w:sz w:val="22"/>
          <w:szCs w:val="22"/>
        </w:rPr>
        <w:t xml:space="preserve"/>
      </w:r>
    </w:p>
    <w:p>
      <w:pPr>
        <w:pStyle w:val="Heading2"/>
        <w:spacing w:after="120" w:before="240"/>
      </w:pPr>
      <w:r>
        <w:rPr>
          <w:rFonts w:ascii="Palatino Linotype" w:cs="Palatino Linotype" w:eastAsia="Palatino Linotype" w:hAnsi="Palatino Linotype"/>
          <w:b/>
          <w:bCs/>
          <w:color w:val="1B2A4A"/>
          <w:sz w:val="26"/>
          <w:szCs w:val="26"/>
        </w:rPr>
        <w:t xml:space="preserve">4.2 Key biological reads</w:t>
      </w:r>
    </w:p>
    <w:p>
      <w:pPr>
        <w:spacing w:after="120" w:line="300"/>
      </w:pPr>
      <w:r>
        <w:rPr>
          <w:rFonts w:ascii="Palatino Linotype" w:cs="Palatino Linotype" w:eastAsia="Palatino Linotype" w:hAnsi="Palatino Linotype"/>
          <w:b/>
          <w:bCs/>
          <w:color w:val="1B2A4A"/>
          <w:sz w:val="22"/>
          <w:szCs w:val="22"/>
        </w:rPr>
        <w:t xml:space="preserve">ABCB5+ resistant primitive AML is real and stands alone. </w:t>
      </w:r>
      <w:r>
        <w:rPr>
          <w:rFonts w:ascii="Palatino Linotype" w:cs="Palatino Linotype" w:eastAsia="Palatino Linotype" w:hAnsi="Palatino Linotype"/>
          <w:color w:val="2D2D2D"/>
          <w:sz w:val="22"/>
          <w:szCs w:val="22"/>
        </w:rPr>
        <w:t xml:space="preserve">This cluster is the only one that combines a primitive transcriptomic profile (LSC17, Eppert HSC, van Galen HSC-like) with a coherent drug-resistance vocabulary (Ara-C metabolism: DCK, SAMHD1; multidrug-resistance pumps: ABCB1, ABCB5, ABCG2; ALDH-high genes) and the highest CNV burden in the cohort. ABCB5 expression is therefore not incidental — the entire resistance programme co-occurs in these cells. This is the principal candidate population for studying Ara-C escape mechanisms in this dataset.</w:t>
      </w:r>
    </w:p>
    <w:p>
      <w:pPr>
        <w:spacing w:after="120" w:line="300"/>
      </w:pPr>
      <w:r>
        <w:rPr>
          <w:rFonts w:ascii="Palatino Linotype" w:cs="Palatino Linotype" w:eastAsia="Palatino Linotype" w:hAnsi="Palatino Linotype"/>
          <w:b/>
          <w:bCs/>
          <w:color w:val="1B2A4A"/>
          <w:sz w:val="22"/>
          <w:szCs w:val="22"/>
        </w:rPr>
        <w:t xml:space="preserve">Promono-like / quiescent myeloid is niche-induced quiescence, not slow-cycling by default. </w:t>
      </w:r>
      <w:r>
        <w:rPr>
          <w:rFonts w:ascii="Palatino Linotype" w:cs="Palatino Linotype" w:eastAsia="Palatino Linotype" w:hAnsi="Palatino Linotype"/>
          <w:color w:val="2D2D2D"/>
          <w:sz w:val="22"/>
          <w:szCs w:val="22"/>
        </w:rPr>
        <w:t xml:space="preserve">Three signatures rise together in this cluster: Laurenti HSC quiescence, ATF4 integrated stress response, and the Tikhonova MSC-response programme. Cells that are merely quiescent by default would not also be lighting up the MSC-induced response. This is direct evidence for the hypothesis (H4) that mesenchymal stromal cells actively impose a quiescent state, rather than the alternative (H1) that the niche is a harsh environment causing simple proliferation arrest.</w:t>
      </w:r>
    </w:p>
    <w:p>
      <w:pPr>
        <w:spacing w:after="120" w:line="300"/>
      </w:pPr>
      <w:r>
        <w:rPr>
          <w:rFonts w:ascii="Palatino Linotype" w:cs="Palatino Linotype" w:eastAsia="Palatino Linotype" w:hAnsi="Palatino Linotype"/>
          <w:b/>
          <w:bCs/>
          <w:color w:val="1B2A4A"/>
          <w:sz w:val="22"/>
          <w:szCs w:val="22"/>
        </w:rPr>
        <w:t xml:space="preserve">Unclassified niche-related cells are stressed primitive AML, leaning pro-apoptotic. </w:t>
      </w:r>
      <w:r>
        <w:rPr>
          <w:rFonts w:ascii="Palatino Linotype" w:cs="Palatino Linotype" w:eastAsia="Palatino Linotype" w:hAnsi="Palatino Linotype"/>
          <w:color w:val="2D2D2D"/>
          <w:sz w:val="22"/>
          <w:szCs w:val="22"/>
        </w:rPr>
        <w:t xml:space="preserve">These cells carry the primitive stemness vocabulary (LSC17, van Galen HSC-like), the dissociation/ATF4 stress signature, and elevated BCL2-family pro-apoptotic genes (BAX, BAK, BIM). They are AML by CNV. Together this profile favours hypothesis H3b (these cells die under conventional culture and deplete in co-culture) over H3a (they convert into a different state). The Part-3 §12 apoptosis analysis will test this rigorously.</w:t>
      </w:r>
    </w:p>
    <w:p>
      <w:pPr>
        <w:spacing w:after="120" w:line="300"/>
      </w:pPr>
      <w:r>
        <w:rPr>
          <w:rFonts w:ascii="Palatino Linotype" w:cs="Palatino Linotype" w:eastAsia="Palatino Linotype" w:hAnsi="Palatino Linotype"/>
          <w:b/>
          <w:bCs/>
          <w:color w:val="1B2A4A"/>
          <w:sz w:val="22"/>
          <w:szCs w:val="22"/>
        </w:rPr>
        <w:t xml:space="preserve">Stress-response myeloid is AML, not a dissociation artefact. </w:t>
      </w:r>
      <w:r>
        <w:rPr>
          <w:rFonts w:ascii="Palatino Linotype" w:cs="Palatino Linotype" w:eastAsia="Palatino Linotype" w:hAnsi="Palatino Linotype"/>
          <w:color w:val="2D2D2D"/>
          <w:sz w:val="22"/>
          <w:szCs w:val="22"/>
        </w:rPr>
        <w:t xml:space="preserve">This cluster carries clear dissociation-stress and ATF4 transcriptomic signal — which on its own could be read as a sample-prep artefact. The CNV burden disproves that reading: the cells are aneuploid AML caught in a stress state. They will be retained in downstream AML-specific analyses, although the dissociation effect should be regressed out before interpretation.</w:t>
      </w:r>
    </w:p>
    <w:p>
      <w:pPr>
        <w:spacing w:after="120" w:line="300"/>
      </w:pPr>
      <w:r>
        <w:rPr>
          <w:rFonts w:ascii="Palatino Linotype" w:cs="Palatino Linotype" w:eastAsia="Palatino Linotype" w:hAnsi="Palatino Linotype"/>
          <w:b/>
          <w:bCs/>
          <w:color w:val="1B2A4A"/>
          <w:sz w:val="22"/>
          <w:szCs w:val="22"/>
        </w:rPr>
        <w:t xml:space="preserve">CD16+ Mono / macrophage is normal monocyte contamination. </w:t>
      </w:r>
      <w:r>
        <w:rPr>
          <w:rFonts w:ascii="Palatino Linotype" w:cs="Palatino Linotype" w:eastAsia="Palatino Linotype" w:hAnsi="Palatino Linotype"/>
          <w:color w:val="2D2D2D"/>
          <w:sz w:val="22"/>
          <w:szCs w:val="22"/>
        </w:rPr>
        <w:t xml:space="preserve">Transcriptomic signatures alone could not distinguish AML-derived monocytes from normal infiltrating monocytes — both express the same mature-myeloid markers. The CNV evidence is decisive: CD16+ has the second-lowest median CNV burden of all 13 clusters, essentially indistinguishable from the T-cell reference. They will be excluded from AML-only downstream analyses.</w:t>
      </w:r>
    </w:p>
    <w:p>
      <w:pPr>
        <w:pStyle w:val="Heading2"/>
        <w:spacing w:after="120" w:before="240"/>
      </w:pPr>
      <w:r>
        <w:rPr>
          <w:rFonts w:ascii="Palatino Linotype" w:cs="Palatino Linotype" w:eastAsia="Palatino Linotype" w:hAnsi="Palatino Linotype"/>
          <w:b/>
          <w:bCs/>
          <w:color w:val="1B2A4A"/>
          <w:sz w:val="26"/>
          <w:szCs w:val="26"/>
        </w:rPr>
        <w:t xml:space="preserve">4.3 Files this report draws on</w:t>
      </w:r>
    </w:p>
    <w:p>
      <w:pPr>
        <w:spacing w:after="120" w:line="300"/>
      </w:pPr>
      <w:r>
        <w:rPr>
          <w:rFonts w:ascii="Palatino Linotype" w:cs="Palatino Linotype" w:eastAsia="Palatino Linotype" w:hAnsi="Palatino Linotype"/>
          <w:color w:val="2D2D2D"/>
          <w:sz w:val="22"/>
          <w:szCs w:val="22"/>
        </w:rPr>
        <w:t xml:space="preserve">Plots (in seurat/seurat_03/figures and seurat/seurat_04/figures):</w:t>
      </w:r>
    </w:p>
    <w:p>
      <w:pPr>
        <w:pStyle w:val="ListParagraph"/>
        <w:numPr>
          <w:ilvl w:val="0"/>
          <w:numId w:val="2"/>
        </w:numPr>
        <w:spacing w:after="80" w:line="280"/>
      </w:pPr>
      <w:r>
        <w:rPr>
          <w:rFonts w:ascii="Palatino Linotype" w:cs="Palatino Linotype" w:eastAsia="Palatino Linotype" w:hAnsi="Palatino Linotype"/>
          <w:color w:val="2D2D2D"/>
          <w:sz w:val="22"/>
          <w:szCs w:val="22"/>
        </w:rPr>
        <w:t xml:space="preserve">03d_ucell_heatmap.pdf — per-cluster signature score heatmap (Step 1)</w:t>
      </w:r>
    </w:p>
    <w:p>
      <w:pPr>
        <w:pStyle w:val="ListParagraph"/>
        <w:numPr>
          <w:ilvl w:val="0"/>
          <w:numId w:val="2"/>
        </w:numPr>
        <w:spacing w:after="80" w:line="280"/>
      </w:pPr>
      <w:r>
        <w:rPr>
          <w:rFonts w:ascii="Palatino Linotype" w:cs="Palatino Linotype" w:eastAsia="Palatino Linotype" w:hAnsi="Palatino Linotype"/>
          <w:color w:val="2D2D2D"/>
          <w:sz w:val="22"/>
          <w:szCs w:val="22"/>
        </w:rPr>
        <w:t xml:space="preserve">03e_vgalen_class_umap.pdf — UMAP of original labels vs van Galen S4A class</w:t>
      </w:r>
    </w:p>
    <w:p>
      <w:pPr>
        <w:pStyle w:val="ListParagraph"/>
        <w:numPr>
          <w:ilvl w:val="0"/>
          <w:numId w:val="2"/>
        </w:numPr>
        <w:spacing w:after="80" w:line="280"/>
      </w:pPr>
      <w:r>
        <w:rPr>
          <w:rFonts w:ascii="Palatino Linotype" w:cs="Palatino Linotype" w:eastAsia="Palatino Linotype" w:hAnsi="Palatino Linotype"/>
          <w:color w:val="2D2D2D"/>
          <w:sz w:val="22"/>
          <w:szCs w:val="22"/>
        </w:rPr>
        <w:t xml:space="preserve">03f_confusion_existing_vs_vgalen_class.pdf — confusion matrix</w:t>
      </w:r>
    </w:p>
    <w:p>
      <w:pPr>
        <w:pStyle w:val="ListParagraph"/>
        <w:numPr>
          <w:ilvl w:val="0"/>
          <w:numId w:val="2"/>
        </w:numPr>
        <w:spacing w:after="80" w:line="280"/>
      </w:pPr>
      <w:r>
        <w:rPr>
          <w:rFonts w:ascii="Palatino Linotype" w:cs="Palatino Linotype" w:eastAsia="Palatino Linotype" w:hAnsi="Palatino Linotype"/>
          <w:color w:val="2D2D2D"/>
          <w:sz w:val="22"/>
          <w:szCs w:val="22"/>
        </w:rPr>
        <w:t xml:space="preserve">infercnv.pdf — chromosomal CNV heatmap, references vs observations (Step 2)</w:t>
      </w:r>
    </w:p>
    <w:p>
      <w:pPr>
        <w:pStyle w:val="ListParagraph"/>
        <w:numPr>
          <w:ilvl w:val="0"/>
          <w:numId w:val="2"/>
        </w:numPr>
        <w:spacing w:after="80" w:line="280"/>
      </w:pPr>
      <w:r>
        <w:rPr>
          <w:rFonts w:ascii="Palatino Linotype" w:cs="Palatino Linotype" w:eastAsia="Palatino Linotype" w:hAnsi="Palatino Linotype"/>
          <w:color w:val="2D2D2D"/>
          <w:sz w:val="22"/>
          <w:szCs w:val="22"/>
        </w:rPr>
        <w:t xml:space="preserve">04a_cnv_score_violin.pdf — per-cell CNV burden by cluster</w:t>
      </w:r>
    </w:p>
    <w:p>
      <w:pPr>
        <w:pStyle w:val="ListParagraph"/>
        <w:numPr>
          <w:ilvl w:val="0"/>
          <w:numId w:val="2"/>
        </w:numPr>
        <w:spacing w:after="80" w:line="280"/>
      </w:pPr>
      <w:r>
        <w:rPr>
          <w:rFonts w:ascii="Palatino Linotype" w:cs="Palatino Linotype" w:eastAsia="Palatino Linotype" w:hAnsi="Palatino Linotype"/>
          <w:color w:val="2D2D2D"/>
          <w:sz w:val="22"/>
          <w:szCs w:val="22"/>
        </w:rPr>
        <w:t xml:space="preserve">04b_cnv_score_umap.pdf — CNV burden mapped onto the UMAP</w:t>
      </w:r>
    </w:p>
    <w:p>
      <w:pPr>
        <w:spacing w:after="120" w:line="300"/>
      </w:pPr>
      <w:r>
        <w:rPr>
          <w:rFonts w:ascii="Palatino Linotype" w:cs="Palatino Linotype" w:eastAsia="Palatino Linotype" w:hAnsi="Palatino Linotype"/>
          <w:color w:val="2D2D2D"/>
          <w:sz w:val="22"/>
          <w:szCs w:val="22"/>
        </w:rPr>
        <w:t xml:space="preserve">Tables (TSV; in seurat/seurat_03/tables and seurat/seurat_04/tables):</w:t>
      </w:r>
    </w:p>
    <w:p>
      <w:pPr>
        <w:pStyle w:val="ListParagraph"/>
        <w:numPr>
          <w:ilvl w:val="0"/>
          <w:numId w:val="2"/>
        </w:numPr>
        <w:spacing w:after="80" w:line="280"/>
      </w:pPr>
      <w:r>
        <w:rPr>
          <w:rFonts w:ascii="Palatino Linotype" w:cs="Palatino Linotype" w:eastAsia="Palatino Linotype" w:hAnsi="Palatino Linotype"/>
          <w:color w:val="2D2D2D"/>
          <w:sz w:val="22"/>
          <w:szCs w:val="22"/>
        </w:rPr>
        <w:t xml:space="preserve">ucell_scores_by_cluster.tsv — mean signature scores per cluster</w:t>
      </w:r>
    </w:p>
    <w:p>
      <w:pPr>
        <w:pStyle w:val="ListParagraph"/>
        <w:numPr>
          <w:ilvl w:val="0"/>
          <w:numId w:val="2"/>
        </w:numPr>
        <w:spacing w:after="80" w:line="280"/>
      </w:pPr>
      <w:r>
        <w:rPr>
          <w:rFonts w:ascii="Palatino Linotype" w:cs="Palatino Linotype" w:eastAsia="Palatino Linotype" w:hAnsi="Palatino Linotype"/>
          <w:color w:val="2D2D2D"/>
          <w:sz w:val="22"/>
          <w:szCs w:val="22"/>
        </w:rPr>
        <w:t xml:space="preserve">per_cell_cnv_score.tsv — every cell's CNV burden</w:t>
      </w:r>
    </w:p>
    <w:p>
      <w:pPr>
        <w:pStyle w:val="ListParagraph"/>
        <w:numPr>
          <w:ilvl w:val="0"/>
          <w:numId w:val="2"/>
        </w:numPr>
        <w:spacing w:after="80" w:line="280"/>
      </w:pPr>
      <w:r>
        <w:rPr>
          <w:rFonts w:ascii="Palatino Linotype" w:cs="Palatino Linotype" w:eastAsia="Palatino Linotype" w:hAnsi="Palatino Linotype"/>
          <w:color w:val="2D2D2D"/>
          <w:sz w:val="22"/>
          <w:szCs w:val="22"/>
        </w:rPr>
        <w:t xml:space="preserve">cluster_cnv_summary.tsv — mean / median / sd of CNV burden per cluster</w:t>
      </w:r>
    </w:p>
    <w:p>
      <w:pPr>
        <w:pStyle w:val="ListParagraph"/>
        <w:numPr>
          <w:ilvl w:val="0"/>
          <w:numId w:val="2"/>
        </w:numPr>
        <w:spacing w:after="80" w:line="280"/>
      </w:pPr>
      <w:r>
        <w:rPr>
          <w:rFonts w:ascii="Palatino Linotype" w:cs="Palatino Linotype" w:eastAsia="Palatino Linotype" w:hAnsi="Palatino Linotype"/>
          <w:color w:val="2D2D2D"/>
          <w:sz w:val="22"/>
          <w:szCs w:val="22"/>
        </w:rPr>
        <w:t xml:space="preserve">cd16_classification.tsv — heuristic AML vs normal call for CD16+</w:t>
      </w:r>
    </w:p>
    <w:p>
      <w:pPr>
        <w:pStyle w:val="Heading1"/>
        <w:spacing w:after="180" w:before="360"/>
      </w:pPr>
      <w:r>
        <w:rPr>
          <w:rFonts w:ascii="Palatino Linotype" w:cs="Palatino Linotype" w:eastAsia="Palatino Linotype" w:hAnsi="Palatino Linotype"/>
          <w:b/>
          <w:bCs/>
          <w:color w:val="1B2A4A"/>
          <w:sz w:val="32"/>
          <w:szCs w:val="32"/>
        </w:rPr>
        <w:t xml:space="preserve">5. Within-patient differential expression — first reads</w:t>
      </w:r>
    </w:p>
    <w:p>
      <w:pPr>
        <w:spacing w:after="120" w:line="300"/>
      </w:pPr>
      <w:r>
        <w:rPr>
          <w:rFonts w:ascii="Palatino Linotype" w:cs="Palatino Linotype" w:eastAsia="Palatino Linotype" w:hAnsi="Palatino Linotype"/>
          <w:b/>
          <w:bCs/>
          <w:color w:val="1B2A4A"/>
          <w:sz w:val="22"/>
          <w:szCs w:val="22"/>
        </w:rPr>
        <w:t xml:space="preserve">Cohort caveat. </w:t>
      </w:r>
      <w:r>
        <w:rPr>
          <w:rFonts w:ascii="Palatino Linotype" w:cs="Palatino Linotype" w:eastAsia="Palatino Linotype" w:hAnsi="Palatino Linotype"/>
          <w:color w:val="2D2D2D"/>
          <w:sz w:val="22"/>
          <w:szCs w:val="22"/>
        </w:rPr>
        <w:t xml:space="preserve">The DE results below are from one patient (SRAML10) × four samples — one well per condition × treatment. There is no biological replication within any condition × treatment group, so the proper pseudobulk DE (muscat + DESeq2 with patient as a covariate) is not possible at this stage. The script that produced these results is </w:t>
      </w:r>
      <w:r>
        <w:rPr>
          <w:rFonts w:ascii="Palatino Linotype" w:cs="Palatino Linotype" w:eastAsia="Palatino Linotype" w:hAnsi="Palatino Linotype"/>
          <w:i/>
          <w:iCs/>
          <w:color w:val="2D2D2D"/>
          <w:sz w:val="22"/>
          <w:szCs w:val="22"/>
        </w:rPr>
        <w:t xml:space="preserve">seurat_07_de_within_patient.R</w:t>
      </w:r>
      <w:r>
        <w:rPr>
          <w:rFonts w:ascii="Palatino Linotype" w:cs="Palatino Linotype" w:eastAsia="Palatino Linotype" w:hAnsi="Palatino Linotype"/>
          <w:color w:val="2D2D2D"/>
          <w:sz w:val="22"/>
          <w:szCs w:val="22"/>
        </w:rPr>
        <w:t xml:space="preserve">, which runs single-cell Wilcoxon DE via Seurat::FindMarkers. Treat the p-values as ranking signals for hypothesis generation, not as cross-patient inference. Effect direction and gene identity are trustworthy for this patient; their generalisation across patients will be assessed in §5b once the remaining S34 patients are processed.</w:t>
      </w:r>
    </w:p>
    <w:p>
      <w:pPr>
        <w:pStyle w:val="Heading2"/>
        <w:spacing w:after="120" w:before="240"/>
      </w:pPr>
      <w:r>
        <w:rPr>
          <w:rFonts w:ascii="Palatino Linotype" w:cs="Palatino Linotype" w:eastAsia="Palatino Linotype" w:hAnsi="Palatino Linotype"/>
          <w:b/>
          <w:bCs/>
          <w:color w:val="1B2A4A"/>
          <w:sz w:val="26"/>
          <w:szCs w:val="26"/>
        </w:rPr>
        <w:t xml:space="preserve">5.1 Cell-count landscape across cluster × condition × treatment</w:t>
      </w:r>
    </w:p>
    <w:p>
      <w:pPr>
        <w:spacing w:after="120" w:line="300"/>
      </w:pPr>
      <w:r>
        <w:rPr>
          <w:rFonts w:ascii="Palatino Linotype" w:cs="Palatino Linotype" w:eastAsia="Palatino Linotype" w:hAnsi="Palatino Linotype"/>
          <w:color w:val="2D2D2D"/>
          <w:sz w:val="22"/>
          <w:szCs w:val="22"/>
        </w:rPr>
        <w:t xml:space="preserve">Before reading any DE table, the per-cluster cell counts across the four condition × treatment combinations already tell most of the story. Conv_Unt is the conventional untreated baseline; Conv_AraC is conventional with Ara-C; Coc_Unt is HS-5 co-culture untreated; Coc_AraC is HS-5 co-culture with Ara-C. The numbers are AML-only cell counts after the §0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1404"/>
        <w:gridCol w:w="1404"/>
        <w:gridCol w:w="1497"/>
        <w:gridCol w:w="1497"/>
      </w:tblGrid>
      <w:tr>
        <w:tc>
          <w:tcPr>
            <w:tcW w:type="dxa" w:w="3556"/>
            <w:tcBorders>
              <w:top w:val="single" w:color="D4D4D4" w:sz="4"/>
              <w:left w:val="single" w:color="D4D4D4" w:sz="4"/>
              <w:bottom w:val="single" w:color="D4D4D4" w:sz="4"/>
              <w:right w:val="single" w:color="D4D4D4" w:sz="4"/>
            </w:tcBorders>
            <w:shd w:fill="1B2A4A"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20"/>
                <w:szCs w:val="20"/>
              </w:rPr>
              <w:t xml:space="preserve">Cluster</w:t>
            </w:r>
          </w:p>
        </w:tc>
        <w:tc>
          <w:tcPr>
            <w:tcW w:type="dxa" w:w="1404"/>
            <w:tcBorders>
              <w:top w:val="single" w:color="D4D4D4" w:sz="4"/>
              <w:left w:val="single" w:color="D4D4D4" w:sz="4"/>
              <w:bottom w:val="single" w:color="D4D4D4" w:sz="4"/>
              <w:right w:val="single" w:color="D4D4D4" w:sz="4"/>
            </w:tcBorders>
            <w:shd w:fill="1B2A4A"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20"/>
                <w:szCs w:val="20"/>
              </w:rPr>
              <w:t xml:space="preserve">Conv_Unt</w:t>
            </w:r>
          </w:p>
        </w:tc>
        <w:tc>
          <w:tcPr>
            <w:tcW w:type="dxa" w:w="1404"/>
            <w:tcBorders>
              <w:top w:val="single" w:color="D4D4D4" w:sz="4"/>
              <w:left w:val="single" w:color="D4D4D4" w:sz="4"/>
              <w:bottom w:val="single" w:color="D4D4D4" w:sz="4"/>
              <w:right w:val="single" w:color="D4D4D4" w:sz="4"/>
            </w:tcBorders>
            <w:shd w:fill="1B2A4A"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20"/>
                <w:szCs w:val="20"/>
              </w:rPr>
              <w:t xml:space="preserve">Conv_AraC</w:t>
            </w:r>
          </w:p>
        </w:tc>
        <w:tc>
          <w:tcPr>
            <w:tcW w:type="dxa" w:w="1497"/>
            <w:tcBorders>
              <w:top w:val="single" w:color="D4D4D4" w:sz="4"/>
              <w:left w:val="single" w:color="D4D4D4" w:sz="4"/>
              <w:bottom w:val="single" w:color="D4D4D4" w:sz="4"/>
              <w:right w:val="single" w:color="D4D4D4" w:sz="4"/>
            </w:tcBorders>
            <w:shd w:fill="1B2A4A"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20"/>
                <w:szCs w:val="20"/>
              </w:rPr>
              <w:t xml:space="preserve">Coc_Unt</w:t>
            </w:r>
          </w:p>
        </w:tc>
        <w:tc>
          <w:tcPr>
            <w:tcW w:type="dxa" w:w="1497"/>
            <w:tcBorders>
              <w:top w:val="single" w:color="D4D4D4" w:sz="4"/>
              <w:left w:val="single" w:color="D4D4D4" w:sz="4"/>
              <w:bottom w:val="single" w:color="D4D4D4" w:sz="4"/>
              <w:right w:val="single" w:color="D4D4D4" w:sz="4"/>
            </w:tcBorders>
            <w:shd w:fill="1B2A4A"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20"/>
                <w:szCs w:val="20"/>
              </w:rPr>
              <w:t xml:space="preserve">Coc_AraC</w:t>
            </w:r>
          </w:p>
        </w:tc>
      </w:tr>
      <w:tr>
        <w:tc>
          <w:tcPr>
            <w:tcW w:type="dxa" w:w="355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HSPC / LSC-like AML</w:t>
            </w:r>
          </w:p>
        </w:tc>
        <w:tc>
          <w:tcPr>
            <w:tcW w:type="dxa" w:w="1404"/>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395</w:t>
            </w:r>
          </w:p>
        </w:tc>
        <w:tc>
          <w:tcPr>
            <w:tcW w:type="dxa" w:w="1404"/>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356</w:t>
            </w:r>
          </w:p>
        </w:tc>
        <w:tc>
          <w:tcPr>
            <w:tcW w:type="dxa" w:w="1497"/>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487</w:t>
            </w:r>
          </w:p>
        </w:tc>
        <w:tc>
          <w:tcPr>
            <w:tcW w:type="dxa" w:w="1497"/>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341</w:t>
            </w:r>
          </w:p>
        </w:tc>
      </w:tr>
      <w:tr>
        <w:tc>
          <w:tcPr>
            <w:tcW w:type="dxa" w:w="355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GMP-like AML</w:t>
            </w:r>
          </w:p>
        </w:tc>
        <w:tc>
          <w:tcPr>
            <w:tcW w:type="dxa" w:w="1404"/>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1190</w:t>
            </w:r>
          </w:p>
        </w:tc>
        <w:tc>
          <w:tcPr>
            <w:tcW w:type="dxa" w:w="1404"/>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59</w:t>
            </w:r>
          </w:p>
        </w:tc>
        <w:tc>
          <w:tcPr>
            <w:tcW w:type="dxa" w:w="1497"/>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837</w:t>
            </w:r>
          </w:p>
        </w:tc>
        <w:tc>
          <w:tcPr>
            <w:tcW w:type="dxa" w:w="1497"/>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26</w:t>
            </w:r>
          </w:p>
        </w:tc>
      </w:tr>
      <w:tr>
        <w:tc>
          <w:tcPr>
            <w:tcW w:type="dxa" w:w="355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Mono-like AML</w:t>
            </w:r>
          </w:p>
        </w:tc>
        <w:tc>
          <w:tcPr>
            <w:tcW w:type="dxa" w:w="1404"/>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308</w:t>
            </w:r>
          </w:p>
        </w:tc>
        <w:tc>
          <w:tcPr>
            <w:tcW w:type="dxa" w:w="1404"/>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173</w:t>
            </w:r>
          </w:p>
        </w:tc>
        <w:tc>
          <w:tcPr>
            <w:tcW w:type="dxa" w:w="1497"/>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218</w:t>
            </w:r>
          </w:p>
        </w:tc>
        <w:tc>
          <w:tcPr>
            <w:tcW w:type="dxa" w:w="1497"/>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46</w:t>
            </w:r>
          </w:p>
        </w:tc>
      </w:tr>
      <w:tr>
        <w:tc>
          <w:tcPr>
            <w:tcW w:type="dxa" w:w="355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Promono quiescent AML</w:t>
            </w:r>
          </w:p>
        </w:tc>
        <w:tc>
          <w:tcPr>
            <w:tcW w:type="dxa" w:w="1404"/>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25</w:t>
            </w:r>
          </w:p>
        </w:tc>
        <w:tc>
          <w:tcPr>
            <w:tcW w:type="dxa" w:w="1404"/>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79</w:t>
            </w:r>
          </w:p>
        </w:tc>
        <w:tc>
          <w:tcPr>
            <w:tcW w:type="dxa" w:w="1497"/>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429</w:t>
            </w:r>
          </w:p>
        </w:tc>
        <w:tc>
          <w:tcPr>
            <w:tcW w:type="dxa" w:w="1497"/>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617</w:t>
            </w:r>
          </w:p>
        </w:tc>
      </w:tr>
      <w:tr>
        <w:tc>
          <w:tcPr>
            <w:tcW w:type="dxa" w:w="355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Stress-response AML</w:t>
            </w:r>
          </w:p>
        </w:tc>
        <w:tc>
          <w:tcPr>
            <w:tcW w:type="dxa" w:w="1404"/>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28</w:t>
            </w:r>
          </w:p>
        </w:tc>
        <w:tc>
          <w:tcPr>
            <w:tcW w:type="dxa" w:w="1404"/>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482</w:t>
            </w:r>
          </w:p>
        </w:tc>
        <w:tc>
          <w:tcPr>
            <w:tcW w:type="dxa" w:w="1497"/>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42</w:t>
            </w:r>
          </w:p>
        </w:tc>
        <w:tc>
          <w:tcPr>
            <w:tcW w:type="dxa" w:w="1497"/>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29</w:t>
            </w:r>
          </w:p>
        </w:tc>
      </w:tr>
      <w:tr>
        <w:tc>
          <w:tcPr>
            <w:tcW w:type="dxa" w:w="355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ABCB5+ resistant LSC AML</w:t>
            </w:r>
          </w:p>
        </w:tc>
        <w:tc>
          <w:tcPr>
            <w:tcW w:type="dxa" w:w="1404"/>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14</w:t>
            </w:r>
          </w:p>
        </w:tc>
        <w:tc>
          <w:tcPr>
            <w:tcW w:type="dxa" w:w="1404"/>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462</w:t>
            </w:r>
          </w:p>
        </w:tc>
        <w:tc>
          <w:tcPr>
            <w:tcW w:type="dxa" w:w="1497"/>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2</w:t>
            </w:r>
          </w:p>
        </w:tc>
        <w:tc>
          <w:tcPr>
            <w:tcW w:type="dxa" w:w="1497"/>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10</w:t>
            </w:r>
          </w:p>
        </w:tc>
      </w:tr>
      <w:tr>
        <w:tc>
          <w:tcPr>
            <w:tcW w:type="dxa" w:w="355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Niche-stressed primitive AML</w:t>
            </w:r>
          </w:p>
        </w:tc>
        <w:tc>
          <w:tcPr>
            <w:tcW w:type="dxa" w:w="1404"/>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482</w:t>
            </w:r>
          </w:p>
        </w:tc>
        <w:tc>
          <w:tcPr>
            <w:tcW w:type="dxa" w:w="1404"/>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1</w:t>
            </w:r>
          </w:p>
        </w:tc>
        <w:tc>
          <w:tcPr>
            <w:tcW w:type="dxa" w:w="1497"/>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3</w:t>
            </w:r>
          </w:p>
        </w:tc>
        <w:tc>
          <w:tcPr>
            <w:tcW w:type="dxa" w:w="1497"/>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right"/>
            </w:pPr>
            <w:r>
              <w:rPr>
                <w:rFonts w:ascii="Palatino Linotype" w:cs="Palatino Linotype" w:eastAsia="Palatino Linotype" w:hAnsi="Palatino Linotype"/>
                <w:b w:val="false"/>
                <w:bCs w:val="false"/>
                <w:color w:val="2D2D2D"/>
                <w:sz w:val="20"/>
                <w:szCs w:val="20"/>
              </w:rPr>
              <w:t xml:space="preserve">0</w:t>
            </w:r>
          </w:p>
        </w:tc>
      </w:tr>
    </w:tbl>
    <w:p>
      <w:pPr>
        <w:spacing w:after="120" w:line="300"/>
      </w:pPr>
      <w:r>
        <w:rPr>
          <w:rFonts w:ascii="Palatino Linotype" w:cs="Palatino Linotype" w:eastAsia="Palatino Linotype" w:hAnsi="Palatino Linotype"/>
          <w:b/>
          <w:bCs/>
          <w:color w:val="1B2A4A"/>
          <w:sz w:val="22"/>
          <w:szCs w:val="22"/>
        </w:rPr>
        <w:t xml:space="preserve">Five observations carry the most weight: </w:t>
      </w:r>
      <w:r>
        <w:rPr>
          <w:rFonts w:ascii="Palatino Linotype" w:cs="Palatino Linotype" w:eastAsia="Palatino Linotype" w:hAnsi="Palatino Linotype"/>
          <w:color w:val="2D2D2D"/>
          <w:sz w:val="22"/>
          <w:szCs w:val="22"/>
        </w:rPr>
        <w:t xml:space="preserve">First, the ABCB5+ resistant LSC AML cluster is essentially absent at baseline (14 conv, 2 coc) and explodes under Ara-C in the conventional arm only (14 → 462) — but not in the niche (2 → 10). This is exactly the behaviour of a pre-existing Ara-C-resistant clone that survives by selection in conventional culture, with the niche essentially abolishing that route to resistance.</w:t>
      </w:r>
    </w:p>
    <w:p>
      <w:pPr>
        <w:spacing w:after="120" w:line="300"/>
      </w:pPr>
      <w:r>
        <w:rPr>
          <w:rFonts w:ascii="Palatino Linotype" w:cs="Palatino Linotype" w:eastAsia="Palatino Linotype" w:hAnsi="Palatino Linotype"/>
          <w:color w:val="2D2D2D"/>
          <w:sz w:val="22"/>
          <w:szCs w:val="22"/>
        </w:rPr>
        <w:t xml:space="preserve">Second, the Promono quiescent AML cluster is overwhelmingly niche-resident at baseline (25 conv vs 429 coc) and is further enriched by Ara-C inside the niche (429 → 617). This is the molecular signature of niche-induced quiescence as a survival mechanism — the H4 hypothesis from the project plan, now supported by direct cell counts.</w:t>
      </w:r>
    </w:p>
    <w:p>
      <w:pPr>
        <w:spacing w:after="120" w:line="300"/>
      </w:pPr>
      <w:r>
        <w:rPr>
          <w:rFonts w:ascii="Palatino Linotype" w:cs="Palatino Linotype" w:eastAsia="Palatino Linotype" w:hAnsi="Palatino Linotype"/>
          <w:color w:val="2D2D2D"/>
          <w:sz w:val="22"/>
          <w:szCs w:val="22"/>
        </w:rPr>
        <w:t xml:space="preserve">Third, the two clusters above describe two distinct routes to Ara-C survival: pre-existing resistant clone selection in conventional, and niche-induced quiescence in co-culture. The niche does not protect AML by generally dampening cell death — it actively suppresses one route to resistance (ABCB5+) and enables another (Promono).</w:t>
      </w:r>
    </w:p>
    <w:p>
      <w:pPr>
        <w:spacing w:after="120" w:line="300"/>
      </w:pPr>
      <w:r>
        <w:rPr>
          <w:rFonts w:ascii="Palatino Linotype" w:cs="Palatino Linotype" w:eastAsia="Palatino Linotype" w:hAnsi="Palatino Linotype"/>
          <w:color w:val="2D2D2D"/>
          <w:sz w:val="22"/>
          <w:szCs w:val="22"/>
        </w:rPr>
        <w:t xml:space="preserve">Fourth, the Stress-response AML cluster mirrors the ABCB5+ pattern under conventional Ara-C (28 → 482) but does not expand in the niche (42 → 29). Whether these stress-response cells are emergent from a precursor or selected from a pre-existing minority is the question that the next step (trajectory inference, seurat_08_trajectory_slingshot.R) will address.</w:t>
      </w:r>
    </w:p>
    <w:p>
      <w:pPr>
        <w:spacing w:after="120" w:line="300"/>
      </w:pPr>
      <w:r>
        <w:rPr>
          <w:rFonts w:ascii="Palatino Linotype" w:cs="Palatino Linotype" w:eastAsia="Palatino Linotype" w:hAnsi="Palatino Linotype"/>
          <w:color w:val="2D2D2D"/>
          <w:sz w:val="22"/>
          <w:szCs w:val="22"/>
        </w:rPr>
        <w:t xml:space="preserve">Fifth, the Niche-stressed primitive AML cluster is essentially Conv_Unt only (482 cells), disappearing under either Ara-C or co-culture (1, 3, 0 cells respectively). This cluster exists only in the absence of any survival signal and dies under any perturbation. The DE analysis (§5.4 below) shows it is transcriptionally distinct from HSPC/LSC-like AML, so it is a real primitive state, not a stress sub-state. The trajectory analysis will tell us whether the 482 cells convert to other primitive states (HSPC/LSC, ABCB5+) or die outright.</w:t>
      </w:r>
    </w:p>
    <w:p>
      <w:pPr>
        <w:pStyle w:val="Heading2"/>
        <w:spacing w:after="120" w:before="240"/>
      </w:pPr>
      <w:r>
        <w:rPr>
          <w:rFonts w:ascii="Palatino Linotype" w:cs="Palatino Linotype" w:eastAsia="Palatino Linotype" w:hAnsi="Palatino Linotype"/>
          <w:b/>
          <w:bCs/>
          <w:color w:val="1B2A4A"/>
          <w:sz w:val="26"/>
          <w:szCs w:val="26"/>
        </w:rPr>
        <w:t xml:space="preserve">5.2 Niche-imprint molecular signature — coc cells reprogramme metabolism, not just slow down</w:t>
      </w:r>
    </w:p>
    <w:p>
      <w:pPr>
        <w:spacing w:after="120" w:line="300"/>
      </w:pPr>
      <w:r>
        <w:rPr>
          <w:rFonts w:ascii="Palatino Linotype" w:cs="Palatino Linotype" w:eastAsia="Palatino Linotype" w:hAnsi="Palatino Linotype"/>
          <w:color w:val="2D2D2D"/>
          <w:sz w:val="22"/>
          <w:szCs w:val="22"/>
        </w:rPr>
        <w:t xml:space="preserve">In the HSPC/LSC-like AML cluster (the largest baseline cluster), the niche-vs-conventional contrast in untreated cells (C1) returned 666 genes higher in conventional and 121 higher in co-culture. The top genes downregulated by the niche are classical commitment markers — </w:t>
      </w:r>
      <w:r>
        <w:rPr>
          <w:rFonts w:ascii="Palatino Linotype" w:cs="Palatino Linotype" w:eastAsia="Palatino Linotype" w:hAnsi="Palatino Linotype"/>
          <w:i/>
          <w:iCs/>
          <w:color w:val="2D2D2D"/>
          <w:sz w:val="22"/>
          <w:szCs w:val="22"/>
        </w:rPr>
        <w:t xml:space="preserve">AZU1</w:t>
      </w:r>
      <w:r>
        <w:rPr>
          <w:rFonts w:ascii="Palatino Linotype" w:cs="Palatino Linotype" w:eastAsia="Palatino Linotype" w:hAnsi="Palatino Linotype"/>
          <w:color w:val="2D2D2D"/>
          <w:sz w:val="22"/>
          <w:szCs w:val="22"/>
        </w:rPr>
        <w:t xml:space="preserve">, </w:t>
      </w:r>
      <w:r>
        <w:rPr>
          <w:rFonts w:ascii="Palatino Linotype" w:cs="Palatino Linotype" w:eastAsia="Palatino Linotype" w:hAnsi="Palatino Linotype"/>
          <w:i/>
          <w:iCs/>
          <w:color w:val="2D2D2D"/>
          <w:sz w:val="22"/>
          <w:szCs w:val="22"/>
        </w:rPr>
        <w:t xml:space="preserve">MPO</w:t>
      </w:r>
      <w:r>
        <w:rPr>
          <w:rFonts w:ascii="Palatino Linotype" w:cs="Palatino Linotype" w:eastAsia="Palatino Linotype" w:hAnsi="Palatino Linotype"/>
          <w:color w:val="2D2D2D"/>
          <w:sz w:val="22"/>
          <w:szCs w:val="22"/>
        </w:rPr>
        <w:t xml:space="preserve">, </w:t>
      </w:r>
      <w:r>
        <w:rPr>
          <w:rFonts w:ascii="Palatino Linotype" w:cs="Palatino Linotype" w:eastAsia="Palatino Linotype" w:hAnsi="Palatino Linotype"/>
          <w:i/>
          <w:iCs/>
          <w:color w:val="2D2D2D"/>
          <w:sz w:val="22"/>
          <w:szCs w:val="22"/>
        </w:rPr>
        <w:t xml:space="preserve">SPP1</w:t>
      </w:r>
      <w:r>
        <w:rPr>
          <w:rFonts w:ascii="Palatino Linotype" w:cs="Palatino Linotype" w:eastAsia="Palatino Linotype" w:hAnsi="Palatino Linotype"/>
          <w:color w:val="2D2D2D"/>
          <w:sz w:val="22"/>
          <w:szCs w:val="22"/>
        </w:rPr>
        <w:t xml:space="preserve"> — and the proliferation marker </w:t>
      </w:r>
      <w:r>
        <w:rPr>
          <w:rFonts w:ascii="Palatino Linotype" w:cs="Palatino Linotype" w:eastAsia="Palatino Linotype" w:hAnsi="Palatino Linotype"/>
          <w:i/>
          <w:iCs/>
          <w:color w:val="2D2D2D"/>
          <w:sz w:val="22"/>
          <w:szCs w:val="22"/>
        </w:rPr>
        <w:t xml:space="preserve">CDC20</w:t>
      </w:r>
      <w:r>
        <w:rPr>
          <w:rFonts w:ascii="Palatino Linotype" w:cs="Palatino Linotype" w:eastAsia="Palatino Linotype" w:hAnsi="Palatino Linotype"/>
          <w:color w:val="2D2D2D"/>
          <w:sz w:val="22"/>
          <w:szCs w:val="22"/>
        </w:rPr>
        <w:t xml:space="preserve"> comes up prominently in C2 as well. The niche reduces proliferation in HSPC/LSC-like AML cells as well as in Promono, extending H4 beyond the Promono cluster.</w:t>
      </w:r>
    </w:p>
    <w:p>
      <w:pPr>
        <w:spacing w:after="120" w:line="300"/>
      </w:pPr>
      <w:r>
        <w:rPr>
          <w:rFonts w:ascii="Palatino Linotype" w:cs="Palatino Linotype" w:eastAsia="Palatino Linotype" w:hAnsi="Palatino Linotype"/>
          <w:color w:val="2D2D2D"/>
          <w:sz w:val="22"/>
          <w:szCs w:val="22"/>
        </w:rPr>
        <w:t xml:space="preserve">The top genes </w:t>
      </w:r>
      <w:r>
        <w:rPr>
          <w:rFonts w:ascii="Palatino Linotype" w:cs="Palatino Linotype" w:eastAsia="Palatino Linotype" w:hAnsi="Palatino Linotype"/>
          <w:i/>
          <w:iCs/>
          <w:color w:val="2D2D2D"/>
          <w:sz w:val="22"/>
          <w:szCs w:val="22"/>
        </w:rPr>
        <w:t xml:space="preserve">upregulated</w:t>
      </w:r>
      <w:r>
        <w:rPr>
          <w:rFonts w:ascii="Palatino Linotype" w:cs="Palatino Linotype" w:eastAsia="Palatino Linotype" w:hAnsi="Palatino Linotype"/>
          <w:color w:val="2D2D2D"/>
          <w:sz w:val="22"/>
          <w:szCs w:val="22"/>
        </w:rPr>
        <w:t xml:space="preserve"> in co-culture are not the classical "quiescence" markers — they are metabolic / redox sensors: </w:t>
      </w:r>
      <w:r>
        <w:rPr>
          <w:rFonts w:ascii="Palatino Linotype" w:cs="Palatino Linotype" w:eastAsia="Palatino Linotype" w:hAnsi="Palatino Linotype"/>
          <w:i/>
          <w:iCs/>
          <w:color w:val="2D2D2D"/>
          <w:sz w:val="22"/>
          <w:szCs w:val="22"/>
        </w:rPr>
        <w:t xml:space="preserve">FTH1</w:t>
      </w:r>
      <w:r>
        <w:rPr>
          <w:rFonts w:ascii="Palatino Linotype" w:cs="Palatino Linotype" w:eastAsia="Palatino Linotype" w:hAnsi="Palatino Linotype"/>
          <w:color w:val="2D2D2D"/>
          <w:sz w:val="22"/>
          <w:szCs w:val="22"/>
        </w:rPr>
        <w:t xml:space="preserve"> and </w:t>
      </w:r>
      <w:r>
        <w:rPr>
          <w:rFonts w:ascii="Palatino Linotype" w:cs="Palatino Linotype" w:eastAsia="Palatino Linotype" w:hAnsi="Palatino Linotype"/>
          <w:i/>
          <w:iCs/>
          <w:color w:val="2D2D2D"/>
          <w:sz w:val="22"/>
          <w:szCs w:val="22"/>
        </w:rPr>
        <w:t xml:space="preserve">FTL</w:t>
      </w:r>
      <w:r>
        <w:rPr>
          <w:rFonts w:ascii="Palatino Linotype" w:cs="Palatino Linotype" w:eastAsia="Palatino Linotype" w:hAnsi="Palatino Linotype"/>
          <w:color w:val="2D2D2D"/>
          <w:sz w:val="22"/>
          <w:szCs w:val="22"/>
        </w:rPr>
        <w:t xml:space="preserve"> (iron handling), </w:t>
      </w:r>
      <w:r>
        <w:rPr>
          <w:rFonts w:ascii="Palatino Linotype" w:cs="Palatino Linotype" w:eastAsia="Palatino Linotype" w:hAnsi="Palatino Linotype"/>
          <w:i/>
          <w:iCs/>
          <w:color w:val="2D2D2D"/>
          <w:sz w:val="22"/>
          <w:szCs w:val="22"/>
        </w:rPr>
        <w:t xml:space="preserve">NAMPT</w:t>
      </w:r>
      <w:r>
        <w:rPr>
          <w:rFonts w:ascii="Palatino Linotype" w:cs="Palatino Linotype" w:eastAsia="Palatino Linotype" w:hAnsi="Palatino Linotype"/>
          <w:color w:val="2D2D2D"/>
          <w:sz w:val="22"/>
          <w:szCs w:val="22"/>
        </w:rPr>
        <w:t xml:space="preserve"> (NAD salvage), </w:t>
      </w:r>
      <w:r>
        <w:rPr>
          <w:rFonts w:ascii="Palatino Linotype" w:cs="Palatino Linotype" w:eastAsia="Palatino Linotype" w:hAnsi="Palatino Linotype"/>
          <w:i/>
          <w:iCs/>
          <w:color w:val="2D2D2D"/>
          <w:sz w:val="22"/>
          <w:szCs w:val="22"/>
        </w:rPr>
        <w:t xml:space="preserve">TXNIP</w:t>
      </w:r>
      <w:r>
        <w:rPr>
          <w:rFonts w:ascii="Palatino Linotype" w:cs="Palatino Linotype" w:eastAsia="Palatino Linotype" w:hAnsi="Palatino Linotype"/>
          <w:color w:val="2D2D2D"/>
          <w:sz w:val="22"/>
          <w:szCs w:val="22"/>
        </w:rPr>
        <w:t xml:space="preserve"> (thioredoxin / redox sensor), and </w:t>
      </w:r>
      <w:r>
        <w:rPr>
          <w:rFonts w:ascii="Palatino Linotype" w:cs="Palatino Linotype" w:eastAsia="Palatino Linotype" w:hAnsi="Palatino Linotype"/>
          <w:i/>
          <w:iCs/>
          <w:color w:val="2D2D2D"/>
          <w:sz w:val="22"/>
          <w:szCs w:val="22"/>
        </w:rPr>
        <w:t xml:space="preserve">B2M</w:t>
      </w:r>
      <w:r>
        <w:rPr>
          <w:rFonts w:ascii="Palatino Linotype" w:cs="Palatino Linotype" w:eastAsia="Palatino Linotype" w:hAnsi="Palatino Linotype"/>
          <w:color w:val="2D2D2D"/>
          <w:sz w:val="22"/>
          <w:szCs w:val="22"/>
        </w:rPr>
        <w:t xml:space="preserve"> / </w:t>
      </w:r>
      <w:r>
        <w:rPr>
          <w:rFonts w:ascii="Palatino Linotype" w:cs="Palatino Linotype" w:eastAsia="Palatino Linotype" w:hAnsi="Palatino Linotype"/>
          <w:i/>
          <w:iCs/>
          <w:color w:val="2D2D2D"/>
          <w:sz w:val="22"/>
          <w:szCs w:val="22"/>
        </w:rPr>
        <w:t xml:space="preserve">IFITM3</w:t>
      </w:r>
      <w:r>
        <w:rPr>
          <w:rFonts w:ascii="Palatino Linotype" w:cs="Palatino Linotype" w:eastAsia="Palatino Linotype" w:hAnsi="Palatino Linotype"/>
          <w:color w:val="2D2D2D"/>
          <w:sz w:val="22"/>
          <w:szCs w:val="22"/>
        </w:rPr>
        <w:t xml:space="preserve"> (interferon-stress). The niche imprint is therefore not just "less proliferation" — it is a coherent metabolic reprogramming: iron sequestration, NAD salvage, redox damping. This pairs with the §4 stress result (ROS lower in coc, ATF4/ISR higher in coc) at gene-level resolution.</w:t>
      </w:r>
    </w:p>
    <w:p>
      <w:pPr>
        <w:pStyle w:val="Heading2"/>
        <w:spacing w:after="120" w:before="240"/>
      </w:pPr>
      <w:r>
        <w:rPr>
          <w:rFonts w:ascii="Palatino Linotype" w:cs="Palatino Linotype" w:eastAsia="Palatino Linotype" w:hAnsi="Palatino Linotype"/>
          <w:b/>
          <w:bCs/>
          <w:color w:val="1B2A4A"/>
          <w:sz w:val="26"/>
          <w:szCs w:val="26"/>
        </w:rPr>
        <w:t xml:space="preserve">5.3 Ara-C damage response and niche dampening</w:t>
      </w:r>
    </w:p>
    <w:p>
      <w:pPr>
        <w:spacing w:after="120" w:line="300"/>
      </w:pPr>
      <w:r>
        <w:rPr>
          <w:rFonts w:ascii="Palatino Linotype" w:cs="Palatino Linotype" w:eastAsia="Palatino Linotype" w:hAnsi="Palatino Linotype"/>
          <w:color w:val="2D2D2D"/>
          <w:sz w:val="22"/>
          <w:szCs w:val="22"/>
        </w:rPr>
        <w:t xml:space="preserve">In the conventional arm, Ara-C induces a textbook DNA-damage / iron-storage / metallothionein response across all clusters that have enough cells to test. </w:t>
      </w:r>
      <w:r>
        <w:rPr>
          <w:rFonts w:ascii="Palatino Linotype" w:cs="Palatino Linotype" w:eastAsia="Palatino Linotype" w:hAnsi="Palatino Linotype"/>
          <w:i/>
          <w:iCs/>
          <w:color w:val="2D2D2D"/>
          <w:sz w:val="22"/>
          <w:szCs w:val="22"/>
        </w:rPr>
        <w:t xml:space="preserve">TP73</w:t>
      </w:r>
      <w:r>
        <w:rPr>
          <w:rFonts w:ascii="Palatino Linotype" w:cs="Palatino Linotype" w:eastAsia="Palatino Linotype" w:hAnsi="Palatino Linotype"/>
          <w:color w:val="2D2D2D"/>
          <w:sz w:val="22"/>
          <w:szCs w:val="22"/>
        </w:rPr>
        <w:t xml:space="preserve"> (p53 family, DNA-damage induced), </w:t>
      </w:r>
      <w:r>
        <w:rPr>
          <w:rFonts w:ascii="Palatino Linotype" w:cs="Palatino Linotype" w:eastAsia="Palatino Linotype" w:hAnsi="Palatino Linotype"/>
          <w:i/>
          <w:iCs/>
          <w:color w:val="2D2D2D"/>
          <w:sz w:val="22"/>
          <w:szCs w:val="22"/>
        </w:rPr>
        <w:t xml:space="preserve">FTH1</w:t>
      </w:r>
      <w:r>
        <w:rPr>
          <w:rFonts w:ascii="Palatino Linotype" w:cs="Palatino Linotype" w:eastAsia="Palatino Linotype" w:hAnsi="Palatino Linotype"/>
          <w:color w:val="2D2D2D"/>
          <w:sz w:val="22"/>
          <w:szCs w:val="22"/>
        </w:rPr>
        <w:t xml:space="preserve"> / </w:t>
      </w:r>
      <w:r>
        <w:rPr>
          <w:rFonts w:ascii="Palatino Linotype" w:cs="Palatino Linotype" w:eastAsia="Palatino Linotype" w:hAnsi="Palatino Linotype"/>
          <w:i/>
          <w:iCs/>
          <w:color w:val="2D2D2D"/>
          <w:sz w:val="22"/>
          <w:szCs w:val="22"/>
        </w:rPr>
        <w:t xml:space="preserve">FTL</w:t>
      </w:r>
      <w:r>
        <w:rPr>
          <w:rFonts w:ascii="Palatino Linotype" w:cs="Palatino Linotype" w:eastAsia="Palatino Linotype" w:hAnsi="Palatino Linotype"/>
          <w:color w:val="2D2D2D"/>
          <w:sz w:val="22"/>
          <w:szCs w:val="22"/>
        </w:rPr>
        <w:t xml:space="preserve"> (ferritin), </w:t>
      </w:r>
      <w:r>
        <w:rPr>
          <w:rFonts w:ascii="Palatino Linotype" w:cs="Palatino Linotype" w:eastAsia="Palatino Linotype" w:hAnsi="Palatino Linotype"/>
          <w:i/>
          <w:iCs/>
          <w:color w:val="2D2D2D"/>
          <w:sz w:val="22"/>
          <w:szCs w:val="22"/>
        </w:rPr>
        <w:t xml:space="preserve">GPX1</w:t>
      </w:r>
      <w:r>
        <w:rPr>
          <w:rFonts w:ascii="Palatino Linotype" w:cs="Palatino Linotype" w:eastAsia="Palatino Linotype" w:hAnsi="Palatino Linotype"/>
          <w:color w:val="2D2D2D"/>
          <w:sz w:val="22"/>
          <w:szCs w:val="22"/>
        </w:rPr>
        <w:t xml:space="preserve"> (oxidative defence), and the metallothioneins </w:t>
      </w:r>
      <w:r>
        <w:rPr>
          <w:rFonts w:ascii="Palatino Linotype" w:cs="Palatino Linotype" w:eastAsia="Palatino Linotype" w:hAnsi="Palatino Linotype"/>
          <w:i/>
          <w:iCs/>
          <w:color w:val="2D2D2D"/>
          <w:sz w:val="22"/>
          <w:szCs w:val="22"/>
        </w:rPr>
        <w:t xml:space="preserve">MT1G</w:t>
      </w:r>
      <w:r>
        <w:rPr>
          <w:rFonts w:ascii="Palatino Linotype" w:cs="Palatino Linotype" w:eastAsia="Palatino Linotype" w:hAnsi="Palatino Linotype"/>
          <w:color w:val="2D2D2D"/>
          <w:sz w:val="22"/>
          <w:szCs w:val="22"/>
        </w:rPr>
        <w:t xml:space="preserve"> / </w:t>
      </w:r>
      <w:r>
        <w:rPr>
          <w:rFonts w:ascii="Palatino Linotype" w:cs="Palatino Linotype" w:eastAsia="Palatino Linotype" w:hAnsi="Palatino Linotype"/>
          <w:i/>
          <w:iCs/>
          <w:color w:val="2D2D2D"/>
          <w:sz w:val="22"/>
          <w:szCs w:val="22"/>
        </w:rPr>
        <w:t xml:space="preserve">MT1H</w:t>
      </w:r>
      <w:r>
        <w:rPr>
          <w:rFonts w:ascii="Palatino Linotype" w:cs="Palatino Linotype" w:eastAsia="Palatino Linotype" w:hAnsi="Palatino Linotype"/>
          <w:color w:val="2D2D2D"/>
          <w:sz w:val="22"/>
          <w:szCs w:val="22"/>
        </w:rPr>
        <w:t xml:space="preserve"> appear repeatedly in the Conv_AraC top-up lists for GMP-like, HSPC/LSC-like, Mono-like and Stress-response AML clusters. This is the chemo-induced damage response we would expect Ara-C to produce.</w:t>
      </w:r>
    </w:p>
    <w:p>
      <w:pPr>
        <w:spacing w:after="120" w:line="300"/>
      </w:pPr>
      <w:r>
        <w:rPr>
          <w:rFonts w:ascii="Palatino Linotype" w:cs="Palatino Linotype" w:eastAsia="Palatino Linotype" w:hAnsi="Palatino Linotype"/>
          <w:color w:val="2D2D2D"/>
          <w:sz w:val="22"/>
          <w:szCs w:val="22"/>
        </w:rPr>
        <w:t xml:space="preserve">In the co-culture arm, the same damage response runs but the cells whose abundance survives is different: Promono quiescent AML expands (429 → 617) while GMP-like collapses by an order of magnitude (837 → 26). The molecular damage response is therefore preserved cell-intrinsically; what the niche changes is the abundance consequence — which cells survive long enough to be counted. This is the molecular shape of niche protection: not a damage-response shield, but a shift in which cell state is the survivor.</w:t>
      </w:r>
    </w:p>
    <w:p>
      <w:pPr>
        <w:pStyle w:val="Heading2"/>
        <w:spacing w:after="120" w:before="240"/>
      </w:pPr>
      <w:r>
        <w:rPr>
          <w:rFonts w:ascii="Palatino Linotype" w:cs="Palatino Linotype" w:eastAsia="Palatino Linotype" w:hAnsi="Palatino Linotype"/>
          <w:b/>
          <w:bCs/>
          <w:color w:val="1B2A4A"/>
          <w:sz w:val="26"/>
          <w:szCs w:val="26"/>
        </w:rPr>
        <w:t xml:space="preserve">5.4 Niche-stressed primitive AML is a distinct clone (refutes H3a, supports H3b)</w:t>
      </w:r>
    </w:p>
    <w:p>
      <w:pPr>
        <w:spacing w:after="120" w:line="300"/>
      </w:pPr>
      <w:r>
        <w:rPr>
          <w:rFonts w:ascii="Palatino Linotype" w:cs="Palatino Linotype" w:eastAsia="Palatino Linotype" w:hAnsi="Palatino Linotype"/>
          <w:b/>
          <w:bCs/>
          <w:color w:val="1B2A4A"/>
          <w:sz w:val="22"/>
          <w:szCs w:val="22"/>
        </w:rPr>
        <w:t xml:space="preserve">The targeted comparison </w:t>
      </w:r>
      <w:r>
        <w:rPr>
          <w:rFonts w:ascii="Palatino Linotype" w:cs="Palatino Linotype" w:eastAsia="Palatino Linotype" w:hAnsi="Palatino Linotype"/>
          <w:i/>
          <w:iCs/>
          <w:color w:val="2D2D2D"/>
          <w:sz w:val="22"/>
          <w:szCs w:val="22"/>
        </w:rPr>
        <w:t xml:space="preserve">Niche-stressed primitive AML vs HSPC/LSC-like AML in the conventional arm only </w:t>
      </w:r>
      <w:r>
        <w:rPr>
          <w:rFonts w:ascii="Palatino Linotype" w:cs="Palatino Linotype" w:eastAsia="Palatino Linotype" w:hAnsi="Palatino Linotype"/>
          <w:color w:val="2D2D2D"/>
          <w:sz w:val="22"/>
          <w:szCs w:val="22"/>
        </w:rPr>
        <w:t xml:space="preserve">(S1) returned </w:t>
      </w:r>
      <w:r>
        <w:rPr>
          <w:rFonts w:ascii="Palatino Linotype" w:cs="Palatino Linotype" w:eastAsia="Palatino Linotype" w:hAnsi="Palatino Linotype"/>
          <w:b/>
          <w:bCs/>
          <w:color w:val="2D2D2D"/>
          <w:sz w:val="22"/>
          <w:szCs w:val="22"/>
        </w:rPr>
        <w:t xml:space="preserve">4,527 differentially expressed genes (3,854 up, 673 down, BH-FDR &lt; 0.05). </w:t>
      </w:r>
      <w:r>
        <w:rPr>
          <w:rFonts w:ascii="Palatino Linotype" w:cs="Palatino Linotype" w:eastAsia="Palatino Linotype" w:hAnsi="Palatino Linotype"/>
          <w:color w:val="2D2D2D"/>
          <w:sz w:val="22"/>
          <w:szCs w:val="22"/>
        </w:rPr>
        <w:t xml:space="preserve">If the Niche-stressed cluster were simply a stress sub-state of HSPC/LSC-like — the H3a interpretation — the difference would be confined to a handful of stress-response genes. Instead, the two clusters are emphatically not the same population.</w:t>
      </w:r>
    </w:p>
    <w:p>
      <w:pPr>
        <w:spacing w:after="120" w:line="300"/>
      </w:pPr>
      <w:r>
        <w:rPr>
          <w:rFonts w:ascii="Palatino Linotype" w:cs="Palatino Linotype" w:eastAsia="Palatino Linotype" w:hAnsi="Palatino Linotype"/>
          <w:b/>
          <w:bCs/>
          <w:color w:val="2D2D2D"/>
          <w:sz w:val="22"/>
          <w:szCs w:val="22"/>
        </w:rPr>
        <w:t xml:space="preserve">Top genes upregulated in Niche-stressed (vs HSPC/LSC-like): </w:t>
      </w:r>
      <w:r>
        <w:rPr>
          <w:rFonts w:ascii="Palatino Linotype" w:cs="Palatino Linotype" w:eastAsia="Palatino Linotype" w:hAnsi="Palatino Linotype"/>
          <w:i/>
          <w:iCs/>
          <w:color w:val="2D2D2D"/>
          <w:sz w:val="22"/>
          <w:szCs w:val="22"/>
        </w:rPr>
        <w:t xml:space="preserve">SLCO2B1</w:t>
      </w:r>
      <w:r>
        <w:rPr>
          <w:rFonts w:ascii="Palatino Linotype" w:cs="Palatino Linotype" w:eastAsia="Palatino Linotype" w:hAnsi="Palatino Linotype"/>
          <w:color w:val="2D2D2D"/>
          <w:sz w:val="22"/>
          <w:szCs w:val="22"/>
        </w:rPr>
        <w:t xml:space="preserve"> (organic anion transporter — drug efflux), </w:t>
      </w:r>
      <w:r>
        <w:rPr>
          <w:rFonts w:ascii="Palatino Linotype" w:cs="Palatino Linotype" w:eastAsia="Palatino Linotype" w:hAnsi="Palatino Linotype"/>
          <w:i/>
          <w:iCs/>
          <w:color w:val="2D2D2D"/>
          <w:sz w:val="22"/>
          <w:szCs w:val="22"/>
        </w:rPr>
        <w:t xml:space="preserve">MYO1E</w:t>
      </w:r>
      <w:r>
        <w:rPr>
          <w:rFonts w:ascii="Palatino Linotype" w:cs="Palatino Linotype" w:eastAsia="Palatino Linotype" w:hAnsi="Palatino Linotype"/>
          <w:color w:val="2D2D2D"/>
          <w:sz w:val="22"/>
          <w:szCs w:val="22"/>
        </w:rPr>
        <w:t xml:space="preserve">, </w:t>
      </w:r>
      <w:r>
        <w:rPr>
          <w:rFonts w:ascii="Palatino Linotype" w:cs="Palatino Linotype" w:eastAsia="Palatino Linotype" w:hAnsi="Palatino Linotype"/>
          <w:i/>
          <w:iCs/>
          <w:color w:val="2D2D2D"/>
          <w:sz w:val="22"/>
          <w:szCs w:val="22"/>
        </w:rPr>
        <w:t xml:space="preserve">DTNA</w:t>
      </w:r>
      <w:r>
        <w:rPr>
          <w:rFonts w:ascii="Palatino Linotype" w:cs="Palatino Linotype" w:eastAsia="Palatino Linotype" w:hAnsi="Palatino Linotype"/>
          <w:color w:val="2D2D2D"/>
          <w:sz w:val="22"/>
          <w:szCs w:val="22"/>
        </w:rPr>
        <w:t xml:space="preserve">, </w:t>
      </w:r>
      <w:r>
        <w:rPr>
          <w:rFonts w:ascii="Palatino Linotype" w:cs="Palatino Linotype" w:eastAsia="Palatino Linotype" w:hAnsi="Palatino Linotype"/>
          <w:i/>
          <w:iCs/>
          <w:color w:val="2D2D2D"/>
          <w:sz w:val="22"/>
          <w:szCs w:val="22"/>
        </w:rPr>
        <w:t xml:space="preserve">FMN1</w:t>
      </w:r>
      <w:r>
        <w:rPr>
          <w:rFonts w:ascii="Palatino Linotype" w:cs="Palatino Linotype" w:eastAsia="Palatino Linotype" w:hAnsi="Palatino Linotype"/>
          <w:color w:val="2D2D2D"/>
          <w:sz w:val="22"/>
          <w:szCs w:val="22"/>
        </w:rPr>
        <w:t xml:space="preserve">, </w:t>
      </w:r>
      <w:r>
        <w:rPr>
          <w:rFonts w:ascii="Palatino Linotype" w:cs="Palatino Linotype" w:eastAsia="Palatino Linotype" w:hAnsi="Palatino Linotype"/>
          <w:i/>
          <w:iCs/>
          <w:color w:val="2D2D2D"/>
          <w:sz w:val="22"/>
          <w:szCs w:val="22"/>
        </w:rPr>
        <w:t xml:space="preserve">FCGR2C</w:t>
      </w:r>
      <w:r>
        <w:rPr>
          <w:rFonts w:ascii="Palatino Linotype" w:cs="Palatino Linotype" w:eastAsia="Palatino Linotype" w:hAnsi="Palatino Linotype"/>
          <w:color w:val="2D2D2D"/>
          <w:sz w:val="22"/>
          <w:szCs w:val="22"/>
        </w:rPr>
        <w:t xml:space="preserve">. Top genes upregulated in HSPC/LSC-like (vs Niche-stressed): </w:t>
      </w:r>
      <w:r>
        <w:rPr>
          <w:rFonts w:ascii="Palatino Linotype" w:cs="Palatino Linotype" w:eastAsia="Palatino Linotype" w:hAnsi="Palatino Linotype"/>
          <w:i/>
          <w:iCs/>
          <w:color w:val="2D2D2D"/>
          <w:sz w:val="22"/>
          <w:szCs w:val="22"/>
        </w:rPr>
        <w:t xml:space="preserve">EEF1A1</w:t>
      </w:r>
      <w:r>
        <w:rPr>
          <w:rFonts w:ascii="Palatino Linotype" w:cs="Palatino Linotype" w:eastAsia="Palatino Linotype" w:hAnsi="Palatino Linotype"/>
          <w:color w:val="2D2D2D"/>
          <w:sz w:val="22"/>
          <w:szCs w:val="22"/>
        </w:rPr>
        <w:t xml:space="preserve">, </w:t>
      </w:r>
      <w:r>
        <w:rPr>
          <w:rFonts w:ascii="Palatino Linotype" w:cs="Palatino Linotype" w:eastAsia="Palatino Linotype" w:hAnsi="Palatino Linotype"/>
          <w:i/>
          <w:iCs/>
          <w:color w:val="2D2D2D"/>
          <w:sz w:val="22"/>
          <w:szCs w:val="22"/>
        </w:rPr>
        <w:t xml:space="preserve">SRGN</w:t>
      </w:r>
      <w:r>
        <w:rPr>
          <w:rFonts w:ascii="Palatino Linotype" w:cs="Palatino Linotype" w:eastAsia="Palatino Linotype" w:hAnsi="Palatino Linotype"/>
          <w:color w:val="2D2D2D"/>
          <w:sz w:val="22"/>
          <w:szCs w:val="22"/>
        </w:rPr>
        <w:t xml:space="preserve">, </w:t>
      </w:r>
      <w:r>
        <w:rPr>
          <w:rFonts w:ascii="Palatino Linotype" w:cs="Palatino Linotype" w:eastAsia="Palatino Linotype" w:hAnsi="Palatino Linotype"/>
          <w:i/>
          <w:iCs/>
          <w:color w:val="2D2D2D"/>
          <w:sz w:val="22"/>
          <w:szCs w:val="22"/>
        </w:rPr>
        <w:t xml:space="preserve">RPLP1</w:t>
      </w:r>
      <w:r>
        <w:rPr>
          <w:rFonts w:ascii="Palatino Linotype" w:cs="Palatino Linotype" w:eastAsia="Palatino Linotype" w:hAnsi="Palatino Linotype"/>
          <w:color w:val="2D2D2D"/>
          <w:sz w:val="22"/>
          <w:szCs w:val="22"/>
        </w:rPr>
        <w:t xml:space="preserve">, </w:t>
      </w:r>
      <w:r>
        <w:rPr>
          <w:rFonts w:ascii="Palatino Linotype" w:cs="Palatino Linotype" w:eastAsia="Palatino Linotype" w:hAnsi="Palatino Linotype"/>
          <w:i/>
          <w:iCs/>
          <w:color w:val="2D2D2D"/>
          <w:sz w:val="22"/>
          <w:szCs w:val="22"/>
        </w:rPr>
        <w:t xml:space="preserve">RPS2</w:t>
      </w:r>
      <w:r>
        <w:rPr>
          <w:rFonts w:ascii="Palatino Linotype" w:cs="Palatino Linotype" w:eastAsia="Palatino Linotype" w:hAnsi="Palatino Linotype"/>
          <w:color w:val="2D2D2D"/>
          <w:sz w:val="22"/>
          <w:szCs w:val="22"/>
        </w:rPr>
        <w:t xml:space="preserve"> — translational machinery and ribosomal protein genes. So the Niche-stressed cluster has low translation and high transporters — a transcriptionally distinct, quiescent-but-fragile programme. Combined with the cell-count observation that this cluster vanishes under any perturbation, the read is that this is a primed clone that dies (rather than converts) when conditions change — i.e. H3b (selective death of a primed clone) rather than H3a (conversion from a healthy primitive state).</w:t>
      </w:r>
    </w:p>
    <w:p>
      <w:pPr>
        <w:pStyle w:val="Heading2"/>
        <w:spacing w:after="120" w:before="240"/>
      </w:pPr>
      <w:r>
        <w:rPr>
          <w:rFonts w:ascii="Palatino Linotype" w:cs="Palatino Linotype" w:eastAsia="Palatino Linotype" w:hAnsi="Palatino Linotype"/>
          <w:b/>
          <w:bCs/>
          <w:color w:val="1B2A4A"/>
          <w:sz w:val="26"/>
          <w:szCs w:val="26"/>
        </w:rPr>
        <w:t xml:space="preserve">5.5 HSPC/LSC-like and GMP-like AML are transcriptionally distinct lineages (confirms the annotation)</w:t>
      </w:r>
    </w:p>
    <w:p>
      <w:pPr>
        <w:spacing w:after="120" w:line="300"/>
      </w:pPr>
      <w:r>
        <w:rPr>
          <w:rFonts w:ascii="Palatino Linotype" w:cs="Palatino Linotype" w:eastAsia="Palatino Linotype" w:hAnsi="Palatino Linotype"/>
          <w:b/>
          <w:bCs/>
          <w:color w:val="1B2A4A"/>
          <w:sz w:val="22"/>
          <w:szCs w:val="22"/>
        </w:rPr>
        <w:t xml:space="preserve">The targeted comparison </w:t>
      </w:r>
      <w:r>
        <w:rPr>
          <w:rFonts w:ascii="Palatino Linotype" w:cs="Palatino Linotype" w:eastAsia="Palatino Linotype" w:hAnsi="Palatino Linotype"/>
          <w:i/>
          <w:iCs/>
          <w:color w:val="2D2D2D"/>
          <w:sz w:val="22"/>
          <w:szCs w:val="22"/>
        </w:rPr>
        <w:t xml:space="preserve">HSPC/LSC-like AML vs GMP-like AML across all conditions </w:t>
      </w:r>
      <w:r>
        <w:rPr>
          <w:rFonts w:ascii="Palatino Linotype" w:cs="Palatino Linotype" w:eastAsia="Palatino Linotype" w:hAnsi="Palatino Linotype"/>
          <w:color w:val="2D2D2D"/>
          <w:sz w:val="22"/>
          <w:szCs w:val="22"/>
        </w:rPr>
        <w:t xml:space="preserve">(S2) returned </w:t>
      </w:r>
      <w:r>
        <w:rPr>
          <w:rFonts w:ascii="Palatino Linotype" w:cs="Palatino Linotype" w:eastAsia="Palatino Linotype" w:hAnsi="Palatino Linotype"/>
          <w:b/>
          <w:bCs/>
          <w:color w:val="2D2D2D"/>
          <w:sz w:val="22"/>
          <w:szCs w:val="22"/>
        </w:rPr>
        <w:t xml:space="preserve">4,796 differentially expressed genes (1,129 up, 3,667 down, BH-FDR &lt; 0.05). </w:t>
      </w:r>
      <w:r>
        <w:rPr>
          <w:rFonts w:ascii="Palatino Linotype" w:cs="Palatino Linotype" w:eastAsia="Palatino Linotype" w:hAnsi="Palatino Linotype"/>
          <w:color w:val="2D2D2D"/>
          <w:sz w:val="22"/>
          <w:szCs w:val="22"/>
        </w:rPr>
        <w:t xml:space="preserve">This addresses a question raised by the AML-only UMAP after the §0 split — namely whether the two clusters share too much variance to be called separate lineages.</w:t>
      </w:r>
    </w:p>
    <w:p>
      <w:pPr>
        <w:spacing w:after="120" w:line="300"/>
      </w:pPr>
      <w:r>
        <w:rPr>
          <w:rFonts w:ascii="Palatino Linotype" w:cs="Palatino Linotype" w:eastAsia="Palatino Linotype" w:hAnsi="Palatino Linotype"/>
          <w:b/>
          <w:bCs/>
          <w:color w:val="2D2D2D"/>
          <w:sz w:val="22"/>
          <w:szCs w:val="22"/>
        </w:rPr>
        <w:t xml:space="preserve">Top up in HSPC/LSC-like: </w:t>
      </w:r>
      <w:r>
        <w:rPr>
          <w:rFonts w:ascii="Palatino Linotype" w:cs="Palatino Linotype" w:eastAsia="Palatino Linotype" w:hAnsi="Palatino Linotype"/>
          <w:i/>
          <w:iCs/>
          <w:color w:val="2D2D2D"/>
          <w:sz w:val="22"/>
          <w:szCs w:val="22"/>
        </w:rPr>
        <w:t xml:space="preserve">NRG1</w:t>
      </w:r>
      <w:r>
        <w:rPr>
          <w:rFonts w:ascii="Palatino Linotype" w:cs="Palatino Linotype" w:eastAsia="Palatino Linotype" w:hAnsi="Palatino Linotype"/>
          <w:color w:val="2D2D2D"/>
          <w:sz w:val="22"/>
          <w:szCs w:val="22"/>
        </w:rPr>
        <w:t xml:space="preserve">, </w:t>
      </w:r>
      <w:r>
        <w:rPr>
          <w:rFonts w:ascii="Palatino Linotype" w:cs="Palatino Linotype" w:eastAsia="Palatino Linotype" w:hAnsi="Palatino Linotype"/>
          <w:i/>
          <w:iCs/>
          <w:color w:val="2D2D2D"/>
          <w:sz w:val="22"/>
          <w:szCs w:val="22"/>
        </w:rPr>
        <w:t xml:space="preserve">MALAT1</w:t>
      </w:r>
      <w:r>
        <w:rPr>
          <w:rFonts w:ascii="Palatino Linotype" w:cs="Palatino Linotype" w:eastAsia="Palatino Linotype" w:hAnsi="Palatino Linotype"/>
          <w:color w:val="2D2D2D"/>
          <w:sz w:val="22"/>
          <w:szCs w:val="22"/>
        </w:rPr>
        <w:t xml:space="preserve">, </w:t>
      </w:r>
      <w:r>
        <w:rPr>
          <w:rFonts w:ascii="Palatino Linotype" w:cs="Palatino Linotype" w:eastAsia="Palatino Linotype" w:hAnsi="Palatino Linotype"/>
          <w:i/>
          <w:iCs/>
          <w:color w:val="2D2D2D"/>
          <w:sz w:val="22"/>
          <w:szCs w:val="22"/>
        </w:rPr>
        <w:t xml:space="preserve">NEAT1</w:t>
      </w:r>
      <w:r>
        <w:rPr>
          <w:rFonts w:ascii="Palatino Linotype" w:cs="Palatino Linotype" w:eastAsia="Palatino Linotype" w:hAnsi="Palatino Linotype"/>
          <w:color w:val="2D2D2D"/>
          <w:sz w:val="22"/>
          <w:szCs w:val="22"/>
        </w:rPr>
        <w:t xml:space="preserve"> (long non-coding RNAs associated with primitive / stem states), </w:t>
      </w:r>
      <w:r>
        <w:rPr>
          <w:rFonts w:ascii="Palatino Linotype" w:cs="Palatino Linotype" w:eastAsia="Palatino Linotype" w:hAnsi="Palatino Linotype"/>
          <w:i/>
          <w:iCs/>
          <w:color w:val="2D2D2D"/>
          <w:sz w:val="22"/>
          <w:szCs w:val="22"/>
        </w:rPr>
        <w:t xml:space="preserve">RNF220</w:t>
      </w:r>
      <w:r>
        <w:rPr>
          <w:rFonts w:ascii="Palatino Linotype" w:cs="Palatino Linotype" w:eastAsia="Palatino Linotype" w:hAnsi="Palatino Linotype"/>
          <w:color w:val="2D2D2D"/>
          <w:sz w:val="22"/>
          <w:szCs w:val="22"/>
        </w:rPr>
        <w:t xml:space="preserve">. Top up in GMP-like: </w:t>
      </w:r>
      <w:r>
        <w:rPr>
          <w:rFonts w:ascii="Palatino Linotype" w:cs="Palatino Linotype" w:eastAsia="Palatino Linotype" w:hAnsi="Palatino Linotype"/>
          <w:i/>
          <w:iCs/>
          <w:color w:val="2D2D2D"/>
          <w:sz w:val="22"/>
          <w:szCs w:val="22"/>
        </w:rPr>
        <w:t xml:space="preserve">APP</w:t>
      </w:r>
      <w:r>
        <w:rPr>
          <w:rFonts w:ascii="Palatino Linotype" w:cs="Palatino Linotype" w:eastAsia="Palatino Linotype" w:hAnsi="Palatino Linotype"/>
          <w:color w:val="2D2D2D"/>
          <w:sz w:val="22"/>
          <w:szCs w:val="22"/>
        </w:rPr>
        <w:t xml:space="preserve">, </w:t>
      </w:r>
      <w:r>
        <w:rPr>
          <w:rFonts w:ascii="Palatino Linotype" w:cs="Palatino Linotype" w:eastAsia="Palatino Linotype" w:hAnsi="Palatino Linotype"/>
          <w:i/>
          <w:iCs/>
          <w:color w:val="2D2D2D"/>
          <w:sz w:val="22"/>
          <w:szCs w:val="22"/>
        </w:rPr>
        <w:t xml:space="preserve">MPO</w:t>
      </w:r>
      <w:r>
        <w:rPr>
          <w:rFonts w:ascii="Palatino Linotype" w:cs="Palatino Linotype" w:eastAsia="Palatino Linotype" w:hAnsi="Palatino Linotype"/>
          <w:color w:val="2D2D2D"/>
          <w:sz w:val="22"/>
          <w:szCs w:val="22"/>
        </w:rPr>
        <w:t xml:space="preserve"> (myeloperoxidase — canonical committed-myeloid marker), </w:t>
      </w:r>
      <w:r>
        <w:rPr>
          <w:rFonts w:ascii="Palatino Linotype" w:cs="Palatino Linotype" w:eastAsia="Palatino Linotype" w:hAnsi="Palatino Linotype"/>
          <w:i/>
          <w:iCs/>
          <w:color w:val="2D2D2D"/>
          <w:sz w:val="22"/>
          <w:szCs w:val="22"/>
        </w:rPr>
        <w:t xml:space="preserve">CCDC26</w:t>
      </w:r>
      <w:r>
        <w:rPr>
          <w:rFonts w:ascii="Palatino Linotype" w:cs="Palatino Linotype" w:eastAsia="Palatino Linotype" w:hAnsi="Palatino Linotype"/>
          <w:color w:val="2D2D2D"/>
          <w:sz w:val="22"/>
          <w:szCs w:val="22"/>
        </w:rPr>
        <w:t xml:space="preserve">, </w:t>
      </w:r>
      <w:r>
        <w:rPr>
          <w:rFonts w:ascii="Palatino Linotype" w:cs="Palatino Linotype" w:eastAsia="Palatino Linotype" w:hAnsi="Palatino Linotype"/>
          <w:i/>
          <w:iCs/>
          <w:color w:val="2D2D2D"/>
          <w:sz w:val="22"/>
          <w:szCs w:val="22"/>
        </w:rPr>
        <w:t xml:space="preserve">MKI67</w:t>
      </w:r>
      <w:r>
        <w:rPr>
          <w:rFonts w:ascii="Palatino Linotype" w:cs="Palatino Linotype" w:eastAsia="Palatino Linotype" w:hAnsi="Palatino Linotype"/>
          <w:color w:val="2D2D2D"/>
          <w:sz w:val="22"/>
          <w:szCs w:val="22"/>
        </w:rPr>
        <w:t xml:space="preserve"> (Ki-67, proliferation), </w:t>
      </w:r>
      <w:r>
        <w:rPr>
          <w:rFonts w:ascii="Palatino Linotype" w:cs="Palatino Linotype" w:eastAsia="Palatino Linotype" w:hAnsi="Palatino Linotype"/>
          <w:i/>
          <w:iCs/>
          <w:color w:val="2D2D2D"/>
          <w:sz w:val="22"/>
          <w:szCs w:val="22"/>
        </w:rPr>
        <w:t xml:space="preserve">RRM2</w:t>
      </w:r>
      <w:r>
        <w:rPr>
          <w:rFonts w:ascii="Palatino Linotype" w:cs="Palatino Linotype" w:eastAsia="Palatino Linotype" w:hAnsi="Palatino Linotype"/>
          <w:color w:val="2D2D2D"/>
          <w:sz w:val="22"/>
          <w:szCs w:val="22"/>
        </w:rPr>
        <w:t xml:space="preserve"> (ribonucleotide reductase, S-phase). HSPC/LSC-like is genuinely more primitive than GMP-like; the UMAP repositioning observed after the §0 AML-only split reflects shared committed-myeloid axis variance, not cluster heterogeneity. The annotation labels are correct and the cluster does not need sub-clustering.</w:t>
      </w:r>
    </w:p>
    <w:p>
      <w:pPr>
        <w:pStyle w:val="Heading2"/>
        <w:spacing w:after="120" w:before="240"/>
      </w:pPr>
      <w:r>
        <w:rPr>
          <w:rFonts w:ascii="Palatino Linotype" w:cs="Palatino Linotype" w:eastAsia="Palatino Linotype" w:hAnsi="Palatino Linotype"/>
          <w:b/>
          <w:bCs/>
          <w:color w:val="1B2A4A"/>
          <w:sz w:val="26"/>
          <w:szCs w:val="26"/>
        </w:rPr>
        <w:t xml:space="preserve">5.6 What didn't run — tests below the cell-count threshold</w:t>
      </w:r>
    </w:p>
    <w:p>
      <w:pPr>
        <w:spacing w:after="120" w:line="300"/>
      </w:pPr>
      <w:r>
        <w:rPr>
          <w:rFonts w:ascii="Palatino Linotype" w:cs="Palatino Linotype" w:eastAsia="Palatino Linotype" w:hAnsi="Palatino Linotype"/>
          <w:color w:val="2D2D2D"/>
          <w:sz w:val="22"/>
          <w:szCs w:val="22"/>
        </w:rPr>
        <w:t xml:space="preserve">Eight condition × treatment contrasts were skipped because at least one of the two compared groups had fewer than 25 cells. All eight involve ABCB5+ resistant LSC AML (which is rare outside Conv_AraC) or Niche-stressed primitive AML (which is Conv_Unt-only). No other cluster had a contrast skipped. The skipped tests are not failures of the analysis but a direct consequence of the biology — the same population behaviour that drives the headline findings of §5.1 also makes some pairwise comparisons under-powered. The full list is recorded in seurat_07/tables/07_skipped_tests.tsv.</w:t>
      </w:r>
    </w:p>
    <w:p>
      <w:pPr>
        <w:pStyle w:val="Heading1"/>
        <w:spacing w:after="180" w:before="360"/>
      </w:pPr>
      <w:r>
        <w:rPr>
          <w:rFonts w:ascii="Palatino Linotype" w:cs="Palatino Linotype" w:eastAsia="Palatino Linotype" w:hAnsi="Palatino Linotype"/>
          <w:b/>
          <w:bCs/>
          <w:color w:val="1B2A4A"/>
          <w:sz w:val="32"/>
          <w:szCs w:val="32"/>
        </w:rPr>
        <w:t xml:space="preserve">6. Trajectory analysis — Slingshot</w:t>
      </w:r>
    </w:p>
    <w:p>
      <w:pPr>
        <w:spacing w:after="120" w:line="300"/>
      </w:pPr>
      <w:r>
        <w:rPr>
          <w:rFonts w:ascii="Palatino Linotype" w:cs="Palatino Linotype" w:eastAsia="Palatino Linotype" w:hAnsi="Palatino Linotype"/>
          <w:b/>
          <w:bCs/>
          <w:color w:val="1B2A4A"/>
          <w:sz w:val="22"/>
          <w:szCs w:val="22"/>
        </w:rPr>
        <w:t xml:space="preserve">Method. </w:t>
      </w:r>
      <w:r>
        <w:rPr>
          <w:rFonts w:ascii="Palatino Linotype" w:cs="Palatino Linotype" w:eastAsia="Palatino Linotype" w:hAnsi="Palatino Linotype"/>
          <w:color w:val="2D2D2D"/>
          <w:sz w:val="22"/>
          <w:szCs w:val="22"/>
        </w:rPr>
        <w:t xml:space="preserve">Slingshot was fit on the AML-only PCA (30 PCs from seurat_04c), with cluster identities fixed to the §1+§2 validated cell_type_final labels. The starting cluster (root) was set to ABCB5+ resistant LSC AML — the cluster with the highest CNV burden (§2) and primitive signature score (§1). Terminal clusters were not specified, so that Slingshot could place each cluster as a midpoint or as a terminal fate based on the transcriptomic data. PCA was used for the fit because UMAP distorts global structure; UMAP is used for visualisation only. Script: </w:t>
      </w:r>
      <w:r>
        <w:rPr>
          <w:rFonts w:ascii="Palatino Linotype" w:cs="Palatino Linotype" w:eastAsia="Palatino Linotype" w:hAnsi="Palatino Linotype"/>
          <w:i/>
          <w:iCs/>
          <w:color w:val="2D2D2D"/>
          <w:sz w:val="22"/>
          <w:szCs w:val="22"/>
        </w:rPr>
        <w:t xml:space="preserve">seurat_08_trajectory_slingshot.R</w:t>
      </w:r>
      <w:r>
        <w:rPr>
          <w:rFonts w:ascii="Palatino Linotype" w:cs="Palatino Linotype" w:eastAsia="Palatino Linotype" w:hAnsi="Palatino Linotype"/>
          <w:color w:val="2D2D2D"/>
          <w:sz w:val="22"/>
          <w:szCs w:val="22"/>
        </w:rPr>
        <w:t xml:space="preserve">. Output object: </w:t>
      </w:r>
      <w:r>
        <w:rPr>
          <w:rFonts w:ascii="Palatino Linotype" w:cs="Palatino Linotype" w:eastAsia="Palatino Linotype" w:hAnsi="Palatino Linotype"/>
          <w:i/>
          <w:iCs/>
          <w:color w:val="2D2D2D"/>
          <w:sz w:val="22"/>
          <w:szCs w:val="22"/>
        </w:rPr>
        <w:t xml:space="preserve">AML_SRAML10_aml_only_pst.RDS</w:t>
      </w:r>
      <w:r>
        <w:rPr>
          <w:rFonts w:ascii="Palatino Linotype" w:cs="Palatino Linotype" w:eastAsia="Palatino Linotype" w:hAnsi="Palatino Linotype"/>
          <w:color w:val="2D2D2D"/>
          <w:sz w:val="22"/>
          <w:szCs w:val="22"/>
        </w:rPr>
        <w:t xml:space="preserve"> with per-cell pseudotime added to the metadata as slingPseudotime_1 … _K.</w:t>
      </w:r>
    </w:p>
    <w:p>
      <w:pPr>
        <w:pStyle w:val="Heading2"/>
        <w:spacing w:after="120" w:before="240"/>
      </w:pPr>
      <w:r>
        <w:rPr>
          <w:rFonts w:ascii="Palatino Linotype" w:cs="Palatino Linotype" w:eastAsia="Palatino Linotype" w:hAnsi="Palatino Linotype"/>
          <w:b/>
          <w:bCs/>
          <w:color w:val="1B2A4A"/>
          <w:sz w:val="26"/>
          <w:szCs w:val="26"/>
        </w:rPr>
        <w:t xml:space="preserve">6.1 Three lineages from a primitive root</w:t>
      </w:r>
    </w:p>
    <w:p>
      <w:pPr>
        <w:spacing w:after="120" w:line="300"/>
      </w:pPr>
      <w:r>
        <w:rPr>
          <w:rFonts w:ascii="Palatino Linotype" w:cs="Palatino Linotype" w:eastAsia="Palatino Linotype" w:hAnsi="Palatino Linotype"/>
          <w:color w:val="2D2D2D"/>
          <w:sz w:val="22"/>
          <w:szCs w:val="22"/>
        </w:rPr>
        <w:t xml:space="preserve">Slingshot identified three lineages emanating from the ABCB5+ root. Two share their early backbone and diverge at HSPC/LSC-like AML — one ending in committed monocytes, the other in quiescent Promono — and the third is a short branch directly into Niche-stressed primitive 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2808"/>
      </w:tblGrid>
      <w:tr>
        <w:tc>
          <w:tcPr>
            <w:tcW w:type="dxa" w:w="936"/>
            <w:tcBorders>
              <w:top w:val="single" w:color="D4D4D4" w:sz="4"/>
              <w:left w:val="single" w:color="D4D4D4" w:sz="4"/>
              <w:bottom w:val="single" w:color="D4D4D4" w:sz="4"/>
              <w:right w:val="single" w:color="D4D4D4" w:sz="4"/>
            </w:tcBorders>
            <w:shd w:fill="1B2A4A"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20"/>
                <w:szCs w:val="20"/>
              </w:rPr>
              <w:t xml:space="preserve">Lineage</w:t>
            </w:r>
          </w:p>
        </w:tc>
        <w:tc>
          <w:tcPr>
            <w:tcW w:type="dxa" w:w="5616"/>
            <w:tcBorders>
              <w:top w:val="single" w:color="D4D4D4" w:sz="4"/>
              <w:left w:val="single" w:color="D4D4D4" w:sz="4"/>
              <w:bottom w:val="single" w:color="D4D4D4" w:sz="4"/>
              <w:right w:val="single" w:color="D4D4D4" w:sz="4"/>
            </w:tcBorders>
            <w:shd w:fill="1B2A4A"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20"/>
                <w:szCs w:val="20"/>
              </w:rPr>
              <w:t xml:space="preserve">Path</w:t>
            </w:r>
          </w:p>
        </w:tc>
        <w:tc>
          <w:tcPr>
            <w:tcW w:type="dxa" w:w="2808"/>
            <w:tcBorders>
              <w:top w:val="single" w:color="D4D4D4" w:sz="4"/>
              <w:left w:val="single" w:color="D4D4D4" w:sz="4"/>
              <w:bottom w:val="single" w:color="D4D4D4" w:sz="4"/>
              <w:right w:val="single" w:color="D4D4D4" w:sz="4"/>
            </w:tcBorders>
            <w:shd w:fill="1B2A4A"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20"/>
                <w:szCs w:val="20"/>
              </w:rPr>
              <w:t xml:space="preserve">Terminal cluster</w:t>
            </w:r>
          </w:p>
        </w:tc>
      </w:tr>
      <w:tr>
        <w:tc>
          <w:tcPr>
            <w:tcW w:type="dxa" w:w="93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L1</w:t>
            </w:r>
          </w:p>
        </w:tc>
        <w:tc>
          <w:tcPr>
            <w:tcW w:type="dxa" w:w="561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ABCB5+ → Stress-response → HSPC/LSC-like → GMP-like → Mono-like</w:t>
            </w:r>
          </w:p>
        </w:tc>
        <w:tc>
          <w:tcPr>
            <w:tcW w:type="dxa" w:w="2808"/>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Mono-like AML</w:t>
            </w:r>
          </w:p>
        </w:tc>
      </w:tr>
      <w:tr>
        <w:tc>
          <w:tcPr>
            <w:tcW w:type="dxa" w:w="93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L2</w:t>
            </w:r>
          </w:p>
        </w:tc>
        <w:tc>
          <w:tcPr>
            <w:tcW w:type="dxa" w:w="561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ABCB5+ → Stress-response → HSPC/LSC-like → Promono quiescent</w:t>
            </w:r>
          </w:p>
        </w:tc>
        <w:tc>
          <w:tcPr>
            <w:tcW w:type="dxa" w:w="2808"/>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Promono quiescent AML</w:t>
            </w:r>
          </w:p>
        </w:tc>
      </w:tr>
      <w:tr>
        <w:tc>
          <w:tcPr>
            <w:tcW w:type="dxa" w:w="93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L3</w:t>
            </w:r>
          </w:p>
        </w:tc>
        <w:tc>
          <w:tcPr>
            <w:tcW w:type="dxa" w:w="5616"/>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ABCB5+ → Niche-stressed primitive AML</w:t>
            </w:r>
          </w:p>
        </w:tc>
        <w:tc>
          <w:tcPr>
            <w:tcW w:type="dxa" w:w="2808"/>
            <w:tcBorders>
              <w:top w:val="single" w:color="D4D4D4" w:sz="4"/>
              <w:left w:val="single" w:color="D4D4D4" w:sz="4"/>
              <w:bottom w:val="single" w:color="D4D4D4" w:sz="4"/>
              <w:right w:val="single" w:color="D4D4D4" w:sz="4"/>
            </w:tcBorders>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2D2D2D"/>
                <w:sz w:val="20"/>
                <w:szCs w:val="20"/>
              </w:rPr>
              <w:t xml:space="preserve">Niche-stressed primitive AML</w:t>
            </w:r>
          </w:p>
        </w:tc>
      </w:tr>
    </w:tbl>
    <w:p>
      <w:pPr>
        <w:spacing w:after="120" w:line="300"/>
      </w:pPr>
      <w:r>
        <w:rPr>
          <w:rFonts w:ascii="Palatino Linotype" w:cs="Palatino Linotype" w:eastAsia="Palatino Linotype" w:hAnsi="Palatino Linotype"/>
          <w:b/>
          <w:bCs/>
          <w:color w:val="1B2A4A"/>
          <w:sz w:val="22"/>
          <w:szCs w:val="22"/>
        </w:rPr>
        <w:t xml:space="preserve">Three things to read off this topology. </w:t>
      </w:r>
      <w:r>
        <w:rPr>
          <w:rFonts w:ascii="Palatino Linotype" w:cs="Palatino Linotype" w:eastAsia="Palatino Linotype" w:hAnsi="Palatino Linotype"/>
          <w:color w:val="2D2D2D"/>
          <w:sz w:val="22"/>
          <w:szCs w:val="22"/>
        </w:rPr>
        <w:t xml:space="preserve">First, L1 places Mono-like at the latest pseudotime (~85–95) and matches the expected primitive → GMP → committed-myeloid hierarchy, which independently validates the §1+§2 annotation labels. Second, L2 places Promono quiescent at the latest pseudotime on its lineage (~88), confirming Promono as a stable terminal quiescent fate rather than a transit state. This is the §4 / §5 niche-induced-quiescence reading restated at trajectory level. Third, L3 is a short two-cluster branch — ABCB5+ and Niche-stressed primitive AML are immediate transcriptomic neighbours in PCA space, with no intermediates between them.</w:t>
      </w:r>
    </w:p>
    <w:p>
      <w:pPr>
        <w:spacing w:after="120" w:line="300"/>
      </w:pPr>
      <w:r>
        <w:rPr>
          <w:rFonts w:ascii="Palatino Linotype" w:cs="Palatino Linotype" w:eastAsia="Palatino Linotype" w:hAnsi="Palatino Linotype"/>
          <w:color w:val="2D2D2D"/>
          <w:sz w:val="22"/>
          <w:szCs w:val="22"/>
        </w:rPr>
        <w:t xml:space="preserve">Stress-response AML sits between primitive and committed (pseudotime ~58) on both L1 and L2, i.e. it is an </w:t>
      </w:r>
      <w:r>
        <w:rPr>
          <w:rFonts w:ascii="Palatino Linotype" w:cs="Palatino Linotype" w:eastAsia="Palatino Linotype" w:hAnsi="Palatino Linotype"/>
          <w:i/>
          <w:iCs/>
          <w:color w:val="2D2D2D"/>
          <w:sz w:val="22"/>
          <w:szCs w:val="22"/>
        </w:rPr>
        <w:t xml:space="preserve">intermediate / transit state</w:t>
      </w:r>
      <w:r>
        <w:rPr>
          <w:rFonts w:ascii="Palatino Linotype" w:cs="Palatino Linotype" w:eastAsia="Palatino Linotype" w:hAnsi="Palatino Linotype"/>
          <w:color w:val="2D2D2D"/>
          <w:sz w:val="22"/>
          <w:szCs w:val="22"/>
        </w:rPr>
        <w:t xml:space="preserve">, not a terminal fate. Combined with the §5.1 cell-count finding that Stress-response expands 28 → 482 cells under conventional Ara-C, this suggests it acts as an expanded holding state during chemotherapy selection rather than a stable resistant clone in its own right.</w:t>
      </w:r>
    </w:p>
    <w:p>
      <w:pPr>
        <w:pStyle w:val="Heading2"/>
        <w:spacing w:after="120" w:before="240"/>
      </w:pPr>
      <w:r>
        <w:rPr>
          <w:rFonts w:ascii="Palatino Linotype" w:cs="Palatino Linotype" w:eastAsia="Palatino Linotype" w:hAnsi="Palatino Linotype"/>
          <w:b/>
          <w:bCs/>
          <w:color w:val="1B2A4A"/>
          <w:sz w:val="26"/>
          <w:szCs w:val="26"/>
        </w:rPr>
        <w:t xml:space="preserve">6.2 Niche pushes cells deeper along each lineage</w:t>
      </w:r>
    </w:p>
    <w:p>
      <w:pPr>
        <w:spacing w:after="120" w:line="300"/>
      </w:pPr>
      <w:r>
        <w:rPr>
          <w:rFonts w:ascii="Palatino Linotype" w:cs="Palatino Linotype" w:eastAsia="Palatino Linotype" w:hAnsi="Palatino Linotype"/>
          <w:color w:val="2D2D2D"/>
          <w:sz w:val="22"/>
          <w:szCs w:val="22"/>
        </w:rPr>
        <w:t xml:space="preserve">The per-cluster pseudotime distributions split by condition (figure 08d) show a consistent pattern: in clusters that have meaningful counts in both arms, co-culture cells sit at later pseudotime than their conventional counterparts within the same cluster. Promono quiescent cells on L2, for example, have a co-culture median pseudotime of ~88 with a tight distribution, against a conventional median of ~75–80 with a much wider distribution that extends to much earlier pseudotime. Mono-like and ABCB5+ cells show the same direction of shift, smaller in magnitude.</w:t>
      </w:r>
    </w:p>
    <w:p>
      <w:pPr>
        <w:spacing w:after="120" w:line="300"/>
      </w:pPr>
      <w:r>
        <w:rPr>
          <w:rFonts w:ascii="Palatino Linotype" w:cs="Palatino Linotype" w:eastAsia="Palatino Linotype" w:hAnsi="Palatino Linotype"/>
          <w:b/>
          <w:bCs/>
          <w:color w:val="1B2A4A"/>
          <w:sz w:val="22"/>
          <w:szCs w:val="22"/>
        </w:rPr>
        <w:t xml:space="preserve">Interpretation. </w:t>
      </w:r>
      <w:r>
        <w:rPr>
          <w:rFonts w:ascii="Palatino Linotype" w:cs="Palatino Linotype" w:eastAsia="Palatino Linotype" w:hAnsi="Palatino Linotype"/>
          <w:color w:val="2D2D2D"/>
          <w:sz w:val="22"/>
          <w:szCs w:val="22"/>
        </w:rPr>
        <w:t xml:space="preserve">The niche does more than change which cluster is enriched; it pushes cells further into their cluster's state. Niche-induced quiescence is not just an abundance shift — it is a depth shift within the Promono cluster. The molecular reading from §5.2 (FTH1 / FTL / NAMPT / TXNIP / IFITM3 niche-imprint signature) provides the gene-level mechanism; this section provides the trajectory-level confirmation that the niche reprogrammes cells into more stable terminal positions, not just selects between them.</w:t>
      </w:r>
    </w:p>
    <w:p>
      <w:pPr>
        <w:pStyle w:val="Heading2"/>
        <w:spacing w:after="120" w:before="240"/>
      </w:pPr>
      <w:r>
        <w:rPr>
          <w:rFonts w:ascii="Palatino Linotype" w:cs="Palatino Linotype" w:eastAsia="Palatino Linotype" w:hAnsi="Palatino Linotype"/>
          <w:b/>
          <w:bCs/>
          <w:color w:val="1B2A4A"/>
          <w:sz w:val="26"/>
          <w:szCs w:val="26"/>
        </w:rPr>
        <w:t xml:space="preserve">6.3 The niche reshapes the trajectory topology itself</w:t>
      </w:r>
    </w:p>
    <w:p>
      <w:pPr>
        <w:spacing w:after="120" w:line="300"/>
      </w:pPr>
      <w:r>
        <w:rPr>
          <w:rFonts w:ascii="Palatino Linotype" w:cs="Palatino Linotype" w:eastAsia="Palatino Linotype" w:hAnsi="Palatino Linotype"/>
          <w:color w:val="2D2D2D"/>
          <w:sz w:val="22"/>
          <w:szCs w:val="22"/>
        </w:rPr>
        <w:t xml:space="preserve">Slingshot was also fit separately on the conventional and co-culture arms (figure 08f). The results are diagnostic of niche effect on the differentiation backbone, not just on abundances along it.</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Conventional-only fit: 1 lineage instead of 3. </w:t>
      </w:r>
      <w:r>
        <w:rPr>
          <w:rFonts w:ascii="Palatino Linotype" w:cs="Palatino Linotype" w:eastAsia="Palatino Linotype" w:hAnsi="Palatino Linotype"/>
          <w:color w:val="2D2D2D"/>
          <w:sz w:val="22"/>
          <w:szCs w:val="22"/>
        </w:rPr>
        <w:t xml:space="preserve">With only 25 Promono cells in Conv_Unt and few ABCB5+ cells in conv-untreated, the MST could not anchor branch points, so the topology collapsed to a single linear backbone. The conv arm therefore looks like a single path running through the primitive corner, through Stress-response, into the committed-myeloid blob — with no branching to quiescence.</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Co-culture-only fit: failed entirely. </w:t>
      </w:r>
      <w:r>
        <w:rPr>
          <w:rFonts w:ascii="Palatino Linotype" w:cs="Palatino Linotype" w:eastAsia="Palatino Linotype" w:hAnsi="Palatino Linotype"/>
          <w:color w:val="2D2D2D"/>
          <w:sz w:val="22"/>
          <w:szCs w:val="22"/>
        </w:rPr>
        <w:t xml:space="preserve">Even after falling back to HSPC/LSC-like as the root cluster, Slingshot could not build an MST in the co-culture arm. The reason is structural: in coc, the primitive end of the trajectory has essentially collapsed — ABCB5+ has only 12 cells and Niche-stressed primitive AML has 3 cells across both treatment arms. With no centroids at the primitive end, no trajectory backbone can be reconstructed.</w:t>
      </w:r>
    </w:p>
    <w:p>
      <w:pPr>
        <w:spacing w:after="120" w:line="300"/>
      </w:pPr>
      <w:r>
        <w:rPr>
          <w:rFonts w:ascii="Palatino Linotype" w:cs="Palatino Linotype" w:eastAsia="Palatino Linotype" w:hAnsi="Palatino Linotype"/>
          <w:b/>
          <w:bCs/>
          <w:color w:val="1B2A4A"/>
          <w:sz w:val="22"/>
          <w:szCs w:val="22"/>
        </w:rPr>
        <w:t xml:space="preserve">This is the cleanest structural evidence in the dataset that the niche reshapes the differentiation hierarchy, not just abundances along a fixed hierarchy. </w:t>
      </w:r>
      <w:r>
        <w:rPr>
          <w:rFonts w:ascii="Palatino Linotype" w:cs="Palatino Linotype" w:eastAsia="Palatino Linotype" w:hAnsi="Palatino Linotype"/>
          <w:color w:val="2D2D2D"/>
          <w:sz w:val="22"/>
          <w:szCs w:val="22"/>
        </w:rPr>
        <w:t xml:space="preserve">Conventional culture supports the full primitive-to-committed scaffold; co-culture removes the primitive end and concentrates cells at the deep terminal positions (Promono quiescent, HSPC/LSC-like). For the eventual paper, this is the figure that supports the strongest version of the niche-protective-quiescence story.</w:t>
      </w:r>
    </w:p>
    <w:p>
      <w:pPr>
        <w:pStyle w:val="Heading2"/>
        <w:spacing w:after="120" w:before="240"/>
      </w:pPr>
      <w:r>
        <w:rPr>
          <w:rFonts w:ascii="Palatino Linotype" w:cs="Palatino Linotype" w:eastAsia="Palatino Linotype" w:hAnsi="Palatino Linotype"/>
          <w:b/>
          <w:bCs/>
          <w:color w:val="1B2A4A"/>
          <w:sz w:val="26"/>
          <w:szCs w:val="26"/>
        </w:rPr>
        <w:t xml:space="preserve">6.4 Directionality caveat</w:t>
      </w:r>
    </w:p>
    <w:p>
      <w:pPr>
        <w:spacing w:after="120" w:line="300"/>
      </w:pPr>
      <w:r>
        <w:rPr>
          <w:rFonts w:ascii="Palatino Linotype" w:cs="Palatino Linotype" w:eastAsia="Palatino Linotype" w:hAnsi="Palatino Linotype"/>
          <w:color w:val="2D2D2D"/>
          <w:sz w:val="22"/>
          <w:szCs w:val="22"/>
        </w:rPr>
        <w:t xml:space="preserve">Slingshot orders cells along the MST but does not infer time direction — the direction is set entirely by the choice of root cluster, which is in turn set by the §1+§2 priors (CNV burden + primitive signatures). The structural conclusions in §6.1–§6.3 (three lineages, branching topology, conv-vs-coc shifts, conv-only collapse, coc-only failure) are direction-independent — they describe the </w:t>
      </w:r>
      <w:r>
        <w:rPr>
          <w:rFonts w:ascii="Palatino Linotype" w:cs="Palatino Linotype" w:eastAsia="Palatino Linotype" w:hAnsi="Palatino Linotype"/>
          <w:i/>
          <w:iCs/>
          <w:color w:val="2D2D2D"/>
          <w:sz w:val="22"/>
          <w:szCs w:val="22"/>
        </w:rPr>
        <w:t xml:space="preserve">shape</w:t>
      </w:r>
      <w:r>
        <w:rPr>
          <w:rFonts w:ascii="Palatino Linotype" w:cs="Palatino Linotype" w:eastAsia="Palatino Linotype" w:hAnsi="Palatino Linotype"/>
          <w:color w:val="2D2D2D"/>
          <w:sz w:val="22"/>
          <w:szCs w:val="22"/>
        </w:rPr>
        <w:t xml:space="preserve"> of the data, not its temporal direction. But any statement of the form "cluster X gives rise to cluster Y" remains a prior-driven interpretation rather than a Slingshot finding. For example, the apparent ABCB5+ → Niche-stressed primitive AML direction in L3 is not biologically interpretable — both clusters are primitive, transcriptomically adjacent, and their real-time relationship is unknown without orthogonal direction-of-time evidence (scVelo with velocyto-processed BAMs, listed as a follow-up).</w:t>
      </w:r>
    </w:p>
    <w:p>
      <w:pPr>
        <w:pStyle w:val="Heading1"/>
        <w:spacing w:after="180" w:before="360"/>
      </w:pPr>
      <w:r>
        <w:rPr>
          <w:rFonts w:ascii="Palatino Linotype" w:cs="Palatino Linotype" w:eastAsia="Palatino Linotype" w:hAnsi="Palatino Linotype"/>
          <w:b/>
          <w:bCs/>
          <w:color w:val="1B2A4A"/>
          <w:sz w:val="32"/>
          <w:szCs w:val="32"/>
        </w:rPr>
        <w:t xml:space="preserve">7. Limitations</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Patient-pooled inferCNV dilutes per-patient karyotypes. </w:t>
      </w:r>
      <w:r>
        <w:rPr>
          <w:rFonts w:ascii="Palatino Linotype" w:cs="Palatino Linotype" w:eastAsia="Palatino Linotype" w:hAnsi="Palatino Linotype"/>
          <w:color w:val="2D2D2D"/>
          <w:sz w:val="22"/>
          <w:szCs w:val="22"/>
        </w:rPr>
        <w:t xml:space="preserve">All 12 patients were pooled for the CNV run, so a trisomy present in only some patients gets averaged down. The cluster ranking is robust, but absolute burden magnitudes are conservative. Per-patient stratified inferCNV will sharpen the karyotype calls — listed as a follow-up.</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Promonocyte and Monocyte are not separated by the van Galen S4A reference. </w:t>
      </w:r>
      <w:r>
        <w:rPr>
          <w:rFonts w:ascii="Palatino Linotype" w:cs="Palatino Linotype" w:eastAsia="Palatino Linotype" w:hAnsi="Palatino Linotype"/>
          <w:color w:val="2D2D2D"/>
          <w:sz w:val="22"/>
          <w:szCs w:val="22"/>
        </w:rPr>
        <w:t xml:space="preserve">S4A has three classes (HSC/Prog, GMP, Myeloid). Promono-vs-Mono discrimination comes from the curated short marker lists, not the argmax classifier. This is by design but worth knowing.</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Some lymphocyte bleed-through into the HSC-like class. </w:t>
      </w:r>
      <w:r>
        <w:rPr>
          <w:rFonts w:ascii="Palatino Linotype" w:cs="Palatino Linotype" w:eastAsia="Palatino Linotype" w:hAnsi="Palatino Linotype"/>
          <w:color w:val="2D2D2D"/>
          <w:sz w:val="22"/>
          <w:szCs w:val="22"/>
        </w:rPr>
        <w:t xml:space="preserve">CD52, CD74 and IL2RA are in the HSC-class S4A list because they correlate with HSC class in van Galen's malignant cells; in real biology they are also broadly expressed in lymphocytes. This produces a partial “HSC-like” call for B and T cells. The downstream CNV step catches this and the final calls are not affected.</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Eosinophils / basophils are too few cells to call confidently. </w:t>
      </w:r>
      <w:r>
        <w:rPr>
          <w:rFonts w:ascii="Palatino Linotype" w:cs="Palatino Linotype" w:eastAsia="Palatino Linotype" w:hAnsi="Palatino Linotype"/>
          <w:color w:val="2D2D2D"/>
          <w:sz w:val="22"/>
          <w:szCs w:val="22"/>
        </w:rPr>
        <w:t xml:space="preserve">236 cells, mildly elevated CNV but small sample. Could be AML-derived eosinophilic differentiation; could also be reactive infiltrate. Best to set aside until a larger cohort or per-patient analysis is run.</w:t>
      </w:r>
    </w:p>
    <w:p>
      <w:pPr>
        <w:pStyle w:val="Heading1"/>
        <w:spacing w:after="180" w:before="360"/>
      </w:pPr>
      <w:r>
        <w:rPr>
          <w:rFonts w:ascii="Palatino Linotype" w:cs="Palatino Linotype" w:eastAsia="Palatino Linotype" w:hAnsi="Palatino Linotype"/>
          <w:b/>
          <w:bCs/>
          <w:color w:val="1B2A4A"/>
          <w:sz w:val="32"/>
          <w:szCs w:val="32"/>
        </w:rPr>
        <w:t xml:space="preserve">8. Next steps</w:t>
      </w:r>
    </w:p>
    <w:p>
      <w:pPr>
        <w:spacing w:after="120" w:line="300"/>
      </w:pPr>
      <w:r>
        <w:rPr>
          <w:rFonts w:ascii="Palatino Linotype" w:cs="Palatino Linotype" w:eastAsia="Palatino Linotype" w:hAnsi="Palatino Linotype"/>
          <w:color w:val="2D2D2D"/>
          <w:sz w:val="22"/>
          <w:szCs w:val="22"/>
        </w:rPr>
        <w:t xml:space="preserve">With annotation finalised, the Part-3 plan moves to the comparative analyses between conventional and HS-5 co-culture (with and without Ara-C). Before those start, one methodological decision applies to every downstream step:</w:t>
      </w:r>
    </w:p>
    <w:p>
      <w:pPr>
        <w:pStyle w:val="Heading2"/>
        <w:spacing w:after="120" w:before="240"/>
      </w:pPr>
      <w:r>
        <w:rPr>
          <w:rFonts w:ascii="Palatino Linotype" w:cs="Palatino Linotype" w:eastAsia="Palatino Linotype" w:hAnsi="Palatino Linotype"/>
          <w:b/>
          <w:bCs/>
          <w:color w:val="1B2A4A"/>
          <w:sz w:val="26"/>
          <w:szCs w:val="26"/>
        </w:rPr>
        <w:t xml:space="preserve">8.1 Design decision — split the AML compartment from the rest</w:t>
      </w:r>
    </w:p>
    <w:p>
      <w:pPr>
        <w:spacing w:after="120" w:line="300"/>
      </w:pPr>
      <w:r>
        <w:rPr>
          <w:rFonts w:ascii="Palatino Linotype" w:cs="Palatino Linotype" w:eastAsia="Palatino Linotype" w:hAnsi="Palatino Linotype"/>
          <w:color w:val="2D2D2D"/>
          <w:sz w:val="22"/>
          <w:szCs w:val="22"/>
        </w:rPr>
        <w:t xml:space="preserve">All subsequent biological comparisons (niche-induced stress, pseudobulk DE, MiloR differential abundance, trajectory) are about </w:t>
      </w:r>
      <w:r>
        <w:rPr>
          <w:rFonts w:ascii="Palatino Linotype" w:cs="Palatino Linotype" w:eastAsia="Palatino Linotype" w:hAnsi="Palatino Linotype"/>
          <w:i/>
          <w:iCs/>
          <w:color w:val="2D2D2D"/>
          <w:sz w:val="22"/>
          <w:szCs w:val="22"/>
        </w:rPr>
        <w:t xml:space="preserve">AML biology</w:t>
      </w:r>
      <w:r>
        <w:rPr>
          <w:rFonts w:ascii="Palatino Linotype" w:cs="Palatino Linotype" w:eastAsia="Palatino Linotype" w:hAnsi="Palatino Linotype"/>
          <w:color w:val="2D2D2D"/>
          <w:sz w:val="22"/>
          <w:szCs w:val="22"/>
        </w:rPr>
        <w:t xml:space="preserve">. Carrying the Normal CD16+ monocytes, the B and T cells, and the HS-5 stromal cells through those tests would dilute the signal — pseudobulk DE would return trivial AML-vs-Normal contrasts instead of the niche question, MiloR neighbourhoods would be dominated by lineage rather than condition, and trajectory analysis between AML states would be distorted by lineage-distant cells. The AML compartment will therefore be split off into a dedicated Seurat object before §4–§7 are run.</w:t>
      </w:r>
    </w:p>
    <w:p>
      <w:pPr>
        <w:spacing w:after="120" w:line="300"/>
      </w:pPr>
      <w:r>
        <w:rPr>
          <w:rFonts w:ascii="Palatino Linotype" w:cs="Palatino Linotype" w:eastAsia="Palatino Linotype" w:hAnsi="Palatino Linotype"/>
          <w:b/>
          <w:bCs/>
          <w:color w:val="1B2A4A"/>
          <w:sz w:val="22"/>
          <w:szCs w:val="22"/>
        </w:rPr>
        <w:t xml:space="preserve">Specifically: </w:t>
      </w:r>
      <w:r>
        <w:rPr>
          <w:rFonts w:ascii="Palatino Linotype" w:cs="Palatino Linotype" w:eastAsia="Palatino Linotype" w:hAnsi="Palatino Linotype"/>
          <w:color w:val="2D2D2D"/>
          <w:sz w:val="22"/>
          <w:szCs w:val="22"/>
        </w:rPr>
        <w:t xml:space="preserve">script seurat_04c_subset_aml.R takes the finalised object, subsets to </w:t>
      </w:r>
      <w:r>
        <w:rPr>
          <w:rFonts w:ascii="Palatino Linotype" w:cs="Palatino Linotype" w:eastAsia="Palatino Linotype" w:hAnsi="Palatino Linotype"/>
          <w:i/>
          <w:iCs/>
          <w:color w:val="2D2D2D"/>
          <w:sz w:val="22"/>
          <w:szCs w:val="22"/>
        </w:rPr>
        <w:t xml:space="preserve">is_aml == TRUE</w:t>
      </w:r>
      <w:r>
        <w:rPr>
          <w:rFonts w:ascii="Palatino Linotype" w:cs="Palatino Linotype" w:eastAsia="Palatino Linotype" w:hAnsi="Palatino Linotype"/>
          <w:color w:val="2D2D2D"/>
          <w:sz w:val="22"/>
          <w:szCs w:val="22"/>
        </w:rPr>
        <w:t xml:space="preserve"> (the seven AML clusters from section 4.1), drops HS-5 and the normal lineages, and re-runs HVG → PCA → UMAP on the AML compartment alone so the embedding reflects AML-internal variance rather than lineage variance. Cluster identities (cell_type_final) are not recomputed — they stay exactly as validated in Steps 1+2. Output: AML_SRAML10_aml_only.RDS.</w:t>
      </w:r>
    </w:p>
    <w:p>
      <w:pPr>
        <w:spacing w:after="120" w:line="300"/>
      </w:pPr>
      <w:r>
        <w:rPr>
          <w:rFonts w:ascii="Palatino Linotype" w:cs="Palatino Linotype" w:eastAsia="Palatino Linotype" w:hAnsi="Palatino Linotype"/>
          <w:b/>
          <w:bCs/>
          <w:color w:val="1B2A4A"/>
          <w:sz w:val="22"/>
          <w:szCs w:val="22"/>
        </w:rPr>
        <w:t xml:space="preserve">Two analyses keep the full object on purpose. </w:t>
      </w:r>
      <w:r>
        <w:rPr>
          <w:rFonts w:ascii="Palatino Linotype" w:cs="Palatino Linotype" w:eastAsia="Palatino Linotype" w:hAnsi="Palatino Linotype"/>
          <w:color w:val="2D2D2D"/>
          <w:sz w:val="22"/>
          <w:szCs w:val="22"/>
        </w:rPr>
        <w:t xml:space="preserve">inferCNV (§2, already run) needed B + T cells as a diploid reference. Cell–cell communication (§8 LIANA + NicheNet) </w:t>
      </w:r>
      <w:r>
        <w:rPr>
          <w:rFonts w:ascii="Palatino Linotype" w:cs="Palatino Linotype" w:eastAsia="Palatino Linotype" w:hAnsi="Palatino Linotype"/>
          <w:i/>
          <w:iCs/>
          <w:color w:val="2D2D2D"/>
          <w:sz w:val="22"/>
          <w:szCs w:val="22"/>
        </w:rPr>
        <w:t xml:space="preserve">must</w:t>
      </w:r>
      <w:r>
        <w:rPr>
          <w:rFonts w:ascii="Palatino Linotype" w:cs="Palatino Linotype" w:eastAsia="Palatino Linotype" w:hAnsi="Palatino Linotype"/>
          <w:color w:val="2D2D2D"/>
          <w:sz w:val="22"/>
          <w:szCs w:val="22"/>
        </w:rPr>
        <w:t xml:space="preserve"> keep HS-5 because the whole point is AML↔stroma signalling. Everything else (§4 stress, §5 pseudobulk DE, §6 cycling, §7 MiloR, §3 trajectory) consumes the AML-only object.</w:t>
      </w:r>
    </w:p>
    <w:p>
      <w:pPr>
        <w:pStyle w:val="Heading2"/>
        <w:spacing w:after="120" w:before="240"/>
      </w:pPr>
      <w:r>
        <w:rPr>
          <w:rFonts w:ascii="Palatino Linotype" w:cs="Palatino Linotype" w:eastAsia="Palatino Linotype" w:hAnsi="Palatino Linotype"/>
          <w:b/>
          <w:bCs/>
          <w:color w:val="1B2A4A"/>
          <w:sz w:val="26"/>
          <w:szCs w:val="26"/>
        </w:rPr>
        <w:t xml:space="preserve">8.2 Immediate next runnable steps</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Re-plot the annotation step using the finalised labels. </w:t>
      </w:r>
      <w:r>
        <w:rPr>
          <w:rFonts w:ascii="Palatino Linotype" w:cs="Palatino Linotype" w:eastAsia="Palatino Linotype" w:hAnsi="Palatino Linotype"/>
          <w:color w:val="2D2D2D"/>
          <w:sz w:val="22"/>
          <w:szCs w:val="22"/>
        </w:rPr>
        <w:t xml:space="preserve">UMAPs and signature heatmaps are regenerated with the corrected cluster names (e.g. CD16+ Mono / macrophage relabelled as Normal CD16+ monocytes). Script: seurat_04b_finalise_annotation.R. Status: done.</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Split off the AML-only object. </w:t>
      </w:r>
      <w:r>
        <w:rPr>
          <w:rFonts w:ascii="Palatino Linotype" w:cs="Palatino Linotype" w:eastAsia="Palatino Linotype" w:hAnsi="Palatino Linotype"/>
          <w:color w:val="2D2D2D"/>
          <w:sz w:val="22"/>
          <w:szCs w:val="22"/>
        </w:rPr>
        <w:t xml:space="preserve">Script: seurat_04c_subset_aml.R (SLURM via 34c_*.sbatch). Produces AML_SRAML10_aml_only.RDS plus AML-only UMAPs coloured by cluster, condition, treatment and CNV burden. This is the input for every comparative step below.</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Stress signalling — Part-3 §4. </w:t>
      </w:r>
      <w:r>
        <w:rPr>
          <w:rFonts w:ascii="Palatino Linotype" w:cs="Palatino Linotype" w:eastAsia="Palatino Linotype" w:hAnsi="Palatino Linotype"/>
          <w:color w:val="2D2D2D"/>
          <w:sz w:val="22"/>
          <w:szCs w:val="22"/>
        </w:rPr>
        <w:t xml:space="preserve">Untreated conventional vs untreated co-culture, scored per cell for Hallmark UPR, HYPOXIA, TNFA/NFkB, ROS, inflammatory response and ATF4 targets. Tests whether co-culture is generally a more stressful environment, or whether the niche-induced quiescent state is specific. Script: seurat_05_stress_cycling.R (now reads from AML_SRAML10_aml_only.RDS).</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Within-cluster cell-cycle / quiescence — Part-3 §6. </w:t>
      </w:r>
      <w:r>
        <w:rPr>
          <w:rFonts w:ascii="Palatino Linotype" w:cs="Palatino Linotype" w:eastAsia="Palatino Linotype" w:hAnsi="Palatino Linotype"/>
          <w:color w:val="2D2D2D"/>
          <w:sz w:val="22"/>
          <w:szCs w:val="22"/>
        </w:rPr>
        <w:t xml:space="preserve">Same conventional vs co-culture comparison, within the Promono quiescent AML cluster, plus ABCB5+ comparing untreated vs Ara-C in conventional. Tests whether MSC contact actively deepens quiescence (H4) versus selecting for already-quiescent cells (H3b). Bundled with the stress signalling script above.</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Within-patient single-cell DE — Part-3 §5a. </w:t>
      </w:r>
      <w:r>
        <w:rPr>
          <w:rFonts w:ascii="Palatino Linotype" w:cs="Palatino Linotype" w:eastAsia="Palatino Linotype" w:hAnsi="Palatino Linotype"/>
          <w:color w:val="2D2D2D"/>
          <w:sz w:val="22"/>
          <w:szCs w:val="22"/>
        </w:rPr>
        <w:t xml:space="preserve">Per-cluster Wilcoxon DE on the AML-only object, with the same four condition × treatment comparisons (Coc_Unt vs Conv_Unt, Coc_AraC vs Conv_AraC, Conv_AraC vs Conv_Unt, Coc_AraC vs Coc_Unt), plus two cluster-vs-cluster contrasts addressing the H3a/H3b question (Niche-stressed primitive AML vs HSPC/LSC-like AML in the conv arm) and the seurat_04c UMAP repositioning observation (HSPC/LSC-like AML vs GMP-like AML). Script: seurat_07_de_within_patient.R. </w:t>
      </w:r>
      <w:r>
        <w:rPr>
          <w:rFonts w:ascii="Palatino Linotype" w:cs="Palatino Linotype" w:eastAsia="Palatino Linotype" w:hAnsi="Palatino Linotype"/>
          <w:b/>
          <w:bCs/>
          <w:i/>
          <w:iCs/>
          <w:color w:val="2D2D2D"/>
          <w:sz w:val="22"/>
          <w:szCs w:val="22"/>
        </w:rPr>
        <w:t xml:space="preserve">Cohort caveat: </w:t>
      </w:r>
      <w:r>
        <w:rPr>
          <w:rFonts w:ascii="Palatino Linotype" w:cs="Palatino Linotype" w:eastAsia="Palatino Linotype" w:hAnsi="Palatino Linotype"/>
          <w:color w:val="2D2D2D"/>
          <w:sz w:val="22"/>
          <w:szCs w:val="22"/>
        </w:rPr>
        <w:t xml:space="preserve">the current dataset is one patient (SRAML10) × four samples — one per condition × treatment. There is no biological replication within any group, so proper pseudobulk DE with muscat / DESeq2 is not feasible (DESeq2 cannot estimate dispersion at n = 1). This within-patient single-cell DE is therefore hypothesis-generating, not generalisable across patients. P-values reflect cell-level variability inside SRAML10. The full muscat / DESeq2 pseudobulk analysis (§5b — interaction model ~ condition * treatment per cluster, the clinically central treated-conv vs treated-coc contrast, GSEA / TF activity downstream) is deferred until the rest of the S34 cohort is processed through seurat_01_general.R.</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Per-patient inferCNV (follow-up). </w:t>
      </w:r>
      <w:r>
        <w:rPr>
          <w:rFonts w:ascii="Palatino Linotype" w:cs="Palatino Linotype" w:eastAsia="Palatino Linotype" w:hAnsi="Palatino Linotype"/>
          <w:color w:val="2D2D2D"/>
          <w:sz w:val="22"/>
          <w:szCs w:val="22"/>
        </w:rPr>
        <w:t xml:space="preserve">Stratify by sample_id to recover patient-specific karyotypes (trisomy 8, del(5q), etc.) and to allow direct AML-vs-normal classification at the per-patient level.</w:t>
      </w:r>
    </w:p>
    <w:p>
      <w:pPr>
        <w:pStyle w:val="ListParagraph"/>
        <w:numPr>
          <w:ilvl w:val="0"/>
          <w:numId w:val="2"/>
        </w:numPr>
        <w:spacing w:after="80" w:line="280"/>
      </w:pPr>
      <w:r>
        <w:rPr>
          <w:rFonts w:ascii="Palatino Linotype" w:cs="Palatino Linotype" w:eastAsia="Palatino Linotype" w:hAnsi="Palatino Linotype"/>
          <w:b/>
          <w:bCs/>
          <w:color w:val="1B2A4A"/>
          <w:sz w:val="22"/>
          <w:szCs w:val="22"/>
        </w:rPr>
        <w:t xml:space="preserve">Absolute cell-count normalisation — Part-3 §10 (blocked on wet-lab data). </w:t>
      </w:r>
      <w:r>
        <w:rPr>
          <w:rFonts w:ascii="Palatino Linotype" w:cs="Palatino Linotype" w:eastAsia="Palatino Linotype" w:hAnsi="Palatino Linotype"/>
          <w:color w:val="2D2D2D"/>
          <w:sz w:val="22"/>
          <w:szCs w:val="22"/>
        </w:rPr>
        <w:t xml:space="preserve">Viable cell counts at harvest per well and condition, minus the HS-5 fraction, are needed to back-calculate absolute AML cells per cluster. Required to distinguish H3a (conversion) from H3b (selective survival). Requested from Jamshid.</w:t>
      </w:r>
    </w:p>
    <w:p>
      <w:pPr>
        <w:pStyle w:val="Heading1"/>
        <w:spacing w:after="180" w:before="360"/>
      </w:pPr>
      <w:r>
        <w:rPr>
          <w:rFonts w:ascii="Palatino Linotype" w:cs="Palatino Linotype" w:eastAsia="Palatino Linotype" w:hAnsi="Palatino Linotype"/>
          <w:b/>
          <w:bCs/>
          <w:color w:val="1B2A4A"/>
          <w:sz w:val="32"/>
          <w:szCs w:val="32"/>
        </w:rPr>
        <w:t xml:space="preserve">9. Conclusions</w:t>
      </w:r>
    </w:p>
    <w:p>
      <w:pPr>
        <w:spacing w:after="120" w:line="300"/>
      </w:pPr>
      <w:r>
        <w:rPr>
          <w:rFonts w:ascii="Palatino Linotype" w:cs="Palatino Linotype" w:eastAsia="Palatino Linotype" w:hAnsi="Palatino Linotype"/>
          <w:color w:val="2D2D2D"/>
          <w:sz w:val="22"/>
          <w:szCs w:val="22"/>
        </w:rPr>
        <w:t xml:space="preserve">Of 13 transcriptomic clusters, six are now confirmed as AML, two are normal-cell contaminants to exclude (CD16+ monocytes, Unclassified low-quality), three are normal stromal / lymphoid references, one is the HS-5 cell line, and one (eosinophils / basophils) remains uncertain until per-patient analysis. The strongest single result is the ABCB5+ resistant LSC-like clone, which combines primitive transcriptomic identity, the highest CNV burden, and a coherent drug-resistance gene programme.</w:t>
      </w:r>
    </w:p>
    <w:p>
      <w:pPr>
        <w:spacing w:after="120" w:line="300"/>
      </w:pPr>
      <w:r>
        <w:rPr>
          <w:rFonts w:ascii="Palatino Linotype" w:cs="Palatino Linotype" w:eastAsia="Palatino Linotype" w:hAnsi="Palatino Linotype"/>
          <w:color w:val="2D2D2D"/>
          <w:sz w:val="22"/>
          <w:szCs w:val="22"/>
        </w:rPr>
        <w:t xml:space="preserve">The principal limitation is that all 12 patients were pooled in the CNV step, diluting patient-specific karyotype events. The cluster ranking is robust but absolute CNV magnitudes are conservative. Per-patient stratified inferCNV is the natural follow-up; the final cluster calls in section 4.1 are not expected to change.</w:t>
      </w:r>
    </w:p>
    <w:p>
      <w:pPr>
        <w:spacing w:after="120" w:line="300"/>
      </w:pPr>
      <w:r>
        <w:rPr>
          <w:rFonts w:ascii="Palatino Linotype" w:cs="Palatino Linotype" w:eastAsia="Palatino Linotype" w:hAnsi="Palatino Linotype"/>
          <w:color w:val="2D2D2D"/>
          <w:sz w:val="22"/>
          <w:szCs w:val="22"/>
        </w:rPr>
        <w:t xml:space="preserve">Before the comparative analyses begin, the AML compartment is split off into a dedicated Seurat object (seurat_04c_subset_aml.R). HS-5, B and T cells, and the normal CD16+ monocytes are excluded so that the niche, stress and pseudobulk DE comparisons reflect AML biology rather than lineage contrast. The full object is retained alongside it because inferCNV (§2, already run) and the cell–cell communication step (§8 LIANA / NicheNet) need the HS-5 cells as a reference partner.</w:t>
      </w:r>
    </w:p>
    <w:p>
      <w:pPr>
        <w:spacing w:after="120" w:line="300"/>
      </w:pPr>
      <w:r>
        <w:rPr>
          <w:rFonts w:ascii="Palatino Linotype" w:cs="Palatino Linotype" w:eastAsia="Palatino Linotype" w:hAnsi="Palatino Linotype"/>
          <w:color w:val="2D2D2D"/>
          <w:sz w:val="22"/>
          <w:szCs w:val="22"/>
        </w:rPr>
        <w:t xml:space="preserve">The next analytical step is the conventional-vs-co-culture stress and quiescence comparison (Part-3 sections 4 and 6), run on the AML-only object. On the strength of the Step-1 signature data alone, two hypotheses are already favoured: niche-induced quiescence in the Promono quiescent AML cluster (H4), and pre-existing apoptotic priming in the niche-stressed primitive AML cluster (H3b). The next scripts will test both rigorously.</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alatino Linotype" w:cs="Palatino Linotype" w:eastAsia="Palatino Linotype" w:hAnsi="Palatino Linotype"/>
        <w:color w:val="3D5A80"/>
        <w:sz w:val="18"/>
        <w:szCs w:val="18"/>
      </w:rPr>
      <w:t xml:space="preserve">AML_Cellecta · Annotation Validation · 2026-05-24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AML_Cellecta — Annotation Validation</dc:title>
  <dc:creator>AML_Cellecta — Annotation Validation</dc:creator>
  <cp:lastModifiedBy>Un-named</cp:lastModifiedBy>
  <cp:revision>1</cp:revision>
  <dcterms:created xsi:type="dcterms:W3CDTF">2026-05-25T09:26:56.503Z</dcterms:created>
  <dcterms:modified xsi:type="dcterms:W3CDTF">2026-05-25T09:26:56.503Z</dcterms:modified>
</cp:coreProperties>
</file>

<file path=docProps/custom.xml><?xml version="1.0" encoding="utf-8"?>
<Properties xmlns="http://schemas.openxmlformats.org/officeDocument/2006/custom-properties" xmlns:vt="http://schemas.openxmlformats.org/officeDocument/2006/docPropsVTypes"/>
</file>