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B739" w14:textId="77777777" w:rsidR="00A13A6A" w:rsidRDefault="00000000">
      <w:pPr>
        <w:pStyle w:val="Heading1"/>
        <w:jc w:val="center"/>
      </w:pPr>
      <w:r>
        <w:t>Research Notes: AML Cell Population Analysis</w:t>
      </w:r>
    </w:p>
    <w:p w14:paraId="4BE7BB0E" w14:textId="77777777" w:rsidR="00A13A6A" w:rsidRDefault="00000000">
      <w:pPr>
        <w:spacing w:after="320"/>
        <w:jc w:val="center"/>
      </w:pPr>
      <w:r>
        <w:rPr>
          <w:i/>
          <w:iCs/>
        </w:rPr>
        <w:t>Comparison of Conventional vs Co-Culture Treatments with Ara-C</w:t>
      </w:r>
    </w:p>
    <w:p w14:paraId="1B8A1278" w14:textId="77777777" w:rsidR="00A13A6A" w:rsidRDefault="00000000">
      <w:pPr>
        <w:pStyle w:val="Heading1"/>
      </w:pPr>
      <w:r>
        <w:t>Part 3 — Analysis Plan</w:t>
      </w:r>
    </w:p>
    <w:p w14:paraId="1AF35073" w14:textId="77777777" w:rsidR="00A13A6A" w:rsidRDefault="00000000">
      <w:pPr>
        <w:pStyle w:val="Heading2"/>
      </w:pPr>
      <w:r>
        <w:t>1. Refining Cluster Identity: Unclassified Niche-Related and ABCB5+ Resistant Primitive AML</w:t>
      </w:r>
    </w:p>
    <w:p w14:paraId="036210DE" w14:textId="77777777" w:rsidR="00A13A6A" w:rsidRDefault="00000000">
      <w:pPr>
        <w:spacing w:after="120"/>
      </w:pPr>
      <w:r>
        <w:rPr>
          <w:b/>
          <w:bCs/>
        </w:rPr>
        <w:t xml:space="preserve">Reference-based annotation. </w:t>
      </w:r>
      <w:r>
        <w:t xml:space="preserve">Project the clusters onto curated </w:t>
      </w:r>
      <w:proofErr w:type="gramStart"/>
      <w:r>
        <w:t>single-cell</w:t>
      </w:r>
      <w:proofErr w:type="gramEnd"/>
      <w:r>
        <w:t xml:space="preserve"> references rather than relying on marker genes alone:</w:t>
      </w:r>
    </w:p>
    <w:p w14:paraId="642DB3E4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 Galen et al. (2019) </w:t>
      </w:r>
      <w:r>
        <w:t xml:space="preserve">AML </w:t>
      </w:r>
      <w:proofErr w:type="spellStart"/>
      <w:r>
        <w:t>scRNA-seq</w:t>
      </w:r>
      <w:proofErr w:type="spellEnd"/>
      <w:r>
        <w:t xml:space="preserve"> atlas — the gold standard for AML cell-type hierarchies (HSC-like, Progenitor-like, GMP-like, </w:t>
      </w:r>
      <w:proofErr w:type="spellStart"/>
      <w:r>
        <w:t>Promono</w:t>
      </w:r>
      <w:proofErr w:type="spellEnd"/>
      <w:r>
        <w:t xml:space="preserve">-like, Mono-like, </w:t>
      </w:r>
      <w:proofErr w:type="spellStart"/>
      <w:r>
        <w:t>cDC</w:t>
      </w:r>
      <w:proofErr w:type="spellEnd"/>
      <w:r>
        <w:t xml:space="preserve">-like). Particularly relevant for confirming the </w:t>
      </w:r>
      <w:proofErr w:type="spellStart"/>
      <w:r>
        <w:t>promono</w:t>
      </w:r>
      <w:proofErr w:type="spellEnd"/>
      <w:r>
        <w:t>-like/quiescent and GMP-like identities.</w:t>
      </w:r>
    </w:p>
    <w:p w14:paraId="485B2837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Triana et al. (2021) </w:t>
      </w:r>
      <w:r>
        <w:t>healthy bone marrow CITE-</w:t>
      </w:r>
      <w:proofErr w:type="spellStart"/>
      <w:r>
        <w:t>seq</w:t>
      </w:r>
      <w:proofErr w:type="spellEnd"/>
      <w:r>
        <w:t xml:space="preserve"> reference and </w:t>
      </w:r>
      <w:r>
        <w:rPr>
          <w:b/>
          <w:bCs/>
        </w:rPr>
        <w:t xml:space="preserve">Hay et al. </w:t>
      </w:r>
      <w:proofErr w:type="spellStart"/>
      <w:r>
        <w:rPr>
          <w:b/>
          <w:bCs/>
        </w:rPr>
        <w:t>BloodSpot</w:t>
      </w:r>
      <w:proofErr w:type="spellEnd"/>
      <w:r>
        <w:t xml:space="preserve"> for normal comparators.</w:t>
      </w:r>
    </w:p>
    <w:p w14:paraId="6C229F84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Cell Atlas / Tabula Sapiens </w:t>
      </w:r>
      <w:r>
        <w:t>bone marrow modules.</w:t>
      </w:r>
    </w:p>
    <w:p w14:paraId="074E8D7B" w14:textId="77777777" w:rsidR="00A13A6A" w:rsidRDefault="00000000">
      <w:pPr>
        <w:spacing w:after="120"/>
      </w:pPr>
      <w:r>
        <w:rPr>
          <w:b/>
          <w:bCs/>
        </w:rPr>
        <w:t xml:space="preserve">Tools: </w:t>
      </w:r>
      <w:proofErr w:type="spellStart"/>
      <w:r>
        <w:t>SingleR</w:t>
      </w:r>
      <w:proofErr w:type="spellEnd"/>
      <w:r>
        <w:t xml:space="preserve">, Azimuth, Symphony, or </w:t>
      </w:r>
      <w:proofErr w:type="spellStart"/>
      <w:r>
        <w:t>CellTypist</w:t>
      </w:r>
      <w:proofErr w:type="spellEnd"/>
      <w:r>
        <w:t xml:space="preserve"> for label transfer; </w:t>
      </w:r>
      <w:proofErr w:type="spellStart"/>
      <w:r>
        <w:t>UCell</w:t>
      </w:r>
      <w:proofErr w:type="spellEnd"/>
      <w:r>
        <w:t xml:space="preserve"> or </w:t>
      </w:r>
      <w:proofErr w:type="spellStart"/>
      <w:r>
        <w:t>AUCell</w:t>
      </w:r>
      <w:proofErr w:type="spellEnd"/>
      <w:r>
        <w:t xml:space="preserve"> for signature scoring against </w:t>
      </w:r>
      <w:proofErr w:type="spellStart"/>
      <w:r>
        <w:t>MSigDB</w:t>
      </w:r>
      <w:proofErr w:type="spellEnd"/>
      <w:r>
        <w:t xml:space="preserve"> and </w:t>
      </w:r>
      <w:proofErr w:type="spellStart"/>
      <w:r>
        <w:t>CellMarker</w:t>
      </w:r>
      <w:proofErr w:type="spellEnd"/>
      <w:r>
        <w:t xml:space="preserve"> gene sets.</w:t>
      </w:r>
    </w:p>
    <w:p w14:paraId="6B966B57" w14:textId="77777777" w:rsidR="00A13A6A" w:rsidRDefault="00000000">
      <w:pPr>
        <w:spacing w:after="120"/>
      </w:pPr>
      <w:r>
        <w:rPr>
          <w:b/>
          <w:bCs/>
        </w:rPr>
        <w:t xml:space="preserve">For ABCB5+ specifically. </w:t>
      </w:r>
      <w:r>
        <w:t>ABCB5 has been characterised more in melanoma stem cells than AML. Cross-reference its expression with:</w:t>
      </w:r>
    </w:p>
    <w:p w14:paraId="04A0E9A3" w14:textId="77777777" w:rsidR="00A13A6A" w:rsidRDefault="00000000">
      <w:pPr>
        <w:pStyle w:val="ListParagraph"/>
        <w:numPr>
          <w:ilvl w:val="0"/>
          <w:numId w:val="2"/>
        </w:numPr>
      </w:pPr>
      <w:proofErr w:type="spellStart"/>
      <w:r>
        <w:t>BeatAML</w:t>
      </w:r>
      <w:proofErr w:type="spellEnd"/>
      <w:r>
        <w:t xml:space="preserve"> and TCGA-LAML bulk data — is ABCB5+ associated with primitive/LSC signatures (LSC17, Eppert HSC signature)?</w:t>
      </w:r>
    </w:p>
    <w:p w14:paraId="2C2FBD9A" w14:textId="77777777" w:rsidR="00A13A6A" w:rsidRDefault="00000000">
      <w:pPr>
        <w:pStyle w:val="ListParagraph"/>
        <w:numPr>
          <w:ilvl w:val="0"/>
          <w:numId w:val="2"/>
        </w:numPr>
      </w:pPr>
      <w:r>
        <w:t>Drug-resistance signatures (ABCB1/MDR1 co-expression, ALDH activity gene sets).</w:t>
      </w:r>
    </w:p>
    <w:p w14:paraId="3E8976F1" w14:textId="77777777" w:rsidR="00A13A6A" w:rsidRDefault="00000000">
      <w:pPr>
        <w:pStyle w:val="ListParagraph"/>
        <w:numPr>
          <w:ilvl w:val="0"/>
          <w:numId w:val="2"/>
        </w:numPr>
      </w:pPr>
      <w:r>
        <w:t>Quiescence/dormancy signatures (Cheung &amp; Rando, Laurenti).</w:t>
      </w:r>
    </w:p>
    <w:p w14:paraId="3AA4C5A8" w14:textId="77777777" w:rsidR="00A13A6A" w:rsidRDefault="00000000">
      <w:pPr>
        <w:spacing w:after="120"/>
      </w:pPr>
      <w:r>
        <w:rPr>
          <w:b/>
          <w:bCs/>
        </w:rPr>
        <w:t xml:space="preserve">For unclassified </w:t>
      </w:r>
      <w:proofErr w:type="gramStart"/>
      <w:r>
        <w:rPr>
          <w:b/>
          <w:bCs/>
        </w:rPr>
        <w:t>niche-related</w:t>
      </w:r>
      <w:proofErr w:type="gramEnd"/>
      <w:r>
        <w:rPr>
          <w:b/>
          <w:bCs/>
        </w:rPr>
        <w:t xml:space="preserve">. </w:t>
      </w:r>
      <w:r>
        <w:t xml:space="preserve">Score against published niche-interaction signatures: CXCR4/CXCL12 axis, VLA-4 (ITGA4/ITGB1), VCAM1 response, N-cadherin (CDH2) contacts, and the bone marrow niche signatures from </w:t>
      </w:r>
      <w:proofErr w:type="spellStart"/>
      <w:r>
        <w:t>Baryawno</w:t>
      </w:r>
      <w:proofErr w:type="spellEnd"/>
      <w:r>
        <w:t xml:space="preserve"> et al. and Tikhonova et al.</w:t>
      </w:r>
    </w:p>
    <w:p w14:paraId="5E3F8A28" w14:textId="77777777" w:rsidR="00A13A6A" w:rsidRDefault="00000000">
      <w:pPr>
        <w:pStyle w:val="Heading2"/>
      </w:pPr>
      <w:r>
        <w:t>2. Determining Whether CD16+ Mono/Macrophage is AML or Normal</w:t>
      </w:r>
    </w:p>
    <w:p w14:paraId="46A40F5A" w14:textId="77777777" w:rsidR="00A13A6A" w:rsidRDefault="00000000">
      <w:pPr>
        <w:spacing w:after="120"/>
      </w:pPr>
      <w:r>
        <w:t>Three orthogonal approaches, ideally combined:</w:t>
      </w:r>
    </w:p>
    <w:p w14:paraId="1EEDBBFA" w14:textId="77777777" w:rsidR="00A13A6A" w:rsidRDefault="00000000">
      <w:pPr>
        <w:spacing w:after="120"/>
      </w:pPr>
      <w:r>
        <w:rPr>
          <w:b/>
          <w:bCs/>
        </w:rPr>
        <w:t xml:space="preserve">Inferred copy number variation. </w:t>
      </w:r>
      <w:r>
        <w:t xml:space="preserve">Run </w:t>
      </w:r>
      <w:proofErr w:type="spellStart"/>
      <w:r>
        <w:t>inferCNV</w:t>
      </w:r>
      <w:proofErr w:type="spellEnd"/>
      <w:r>
        <w:t xml:space="preserve">, </w:t>
      </w:r>
      <w:proofErr w:type="spellStart"/>
      <w:r>
        <w:t>CopyKAT</w:t>
      </w:r>
      <w:proofErr w:type="spellEnd"/>
      <w:r>
        <w:t>, or numbat using a normal reference (B/T cells from the same sample, or external healthy PBMC). If the AML carries cytogenetic abnormalities (del(5q), trisomy 8, etc.), the CD16+ cluster’s CNV profile will directly classify it.</w:t>
      </w:r>
    </w:p>
    <w:p w14:paraId="215115DA" w14:textId="77777777" w:rsidR="00A13A6A" w:rsidRDefault="00000000">
      <w:pPr>
        <w:spacing w:after="120"/>
      </w:pPr>
      <w:r>
        <w:rPr>
          <w:b/>
          <w:bCs/>
        </w:rPr>
        <w:t xml:space="preserve">Mutation calling from </w:t>
      </w:r>
      <w:proofErr w:type="spellStart"/>
      <w:r>
        <w:rPr>
          <w:b/>
          <w:bCs/>
        </w:rPr>
        <w:t>scRNA</w:t>
      </w:r>
      <w:proofErr w:type="spellEnd"/>
      <w:r>
        <w:rPr>
          <w:b/>
          <w:bCs/>
        </w:rPr>
        <w:t xml:space="preserve">-seq. </w:t>
      </w:r>
      <w:r>
        <w:t xml:space="preserve">If patient-specific mutations are known (FLT3-ITD, NPM1, DNMT3A, IDH1/2, etc.), tools like </w:t>
      </w:r>
      <w:proofErr w:type="spellStart"/>
      <w:r>
        <w:t>Vartrix</w:t>
      </w:r>
      <w:proofErr w:type="spellEnd"/>
      <w:r>
        <w:t xml:space="preserve">, </w:t>
      </w:r>
      <w:proofErr w:type="spellStart"/>
      <w:r>
        <w:t>scAllele</w:t>
      </w:r>
      <w:proofErr w:type="spellEnd"/>
      <w:r>
        <w:t>, or MAESTER can genotype individual cells from the 3′ reads. Mitochondrial variants (Ludwig et al. 2019) provide an additional clonal barcode.</w:t>
      </w:r>
    </w:p>
    <w:p w14:paraId="3EC0103B" w14:textId="77777777" w:rsidR="00A13A6A" w:rsidRDefault="00000000">
      <w:pPr>
        <w:spacing w:after="120"/>
      </w:pPr>
      <w:r>
        <w:rPr>
          <w:b/>
          <w:bCs/>
        </w:rPr>
        <w:t xml:space="preserve">Trajectory/lineage continuity. </w:t>
      </w:r>
      <w:r>
        <w:t xml:space="preserve">If the CD16+ cluster connects to upstream AML clusters in </w:t>
      </w:r>
      <w:proofErr w:type="spellStart"/>
      <w:r>
        <w:t>pseudotime</w:t>
      </w:r>
      <w:proofErr w:type="spellEnd"/>
      <w:r>
        <w:t xml:space="preserve"> or RNA velocity, it is more likely differentiated AML than contaminating normal monocytes. Conversely, transcriptional similarity to the healthy reference monocyte cluster (without intermediate AML states) argues for normal.</w:t>
      </w:r>
    </w:p>
    <w:p w14:paraId="693B7E93" w14:textId="77777777" w:rsidR="00A13A6A" w:rsidRDefault="00000000">
      <w:pPr>
        <w:pStyle w:val="Heading2"/>
      </w:pPr>
      <w:r>
        <w:lastRenderedPageBreak/>
        <w:t>3. Trajectory Analysis for Conversion Hypotheses</w:t>
      </w:r>
    </w:p>
    <w:p w14:paraId="2A73B0C2" w14:textId="77777777" w:rsidR="00A13A6A" w:rsidRDefault="00000000">
      <w:pPr>
        <w:spacing w:after="120"/>
      </w:pPr>
      <w:r>
        <w:t>Trajectory inference is the right approach, but the choice of method matters:</w:t>
      </w:r>
    </w:p>
    <w:p w14:paraId="3350D6C6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pseudotime</w:t>
      </w:r>
      <w:proofErr w:type="spellEnd"/>
      <w:r>
        <w:rPr>
          <w:b/>
          <w:bCs/>
        </w:rPr>
        <w:t xml:space="preserve"> ordering: </w:t>
      </w:r>
      <w:r>
        <w:t xml:space="preserve">Monocle3, Slingshot, or diffusion </w:t>
      </w:r>
      <w:proofErr w:type="spellStart"/>
      <w:r>
        <w:t>pseudotime</w:t>
      </w:r>
      <w:proofErr w:type="spellEnd"/>
      <w:r>
        <w:t>.</w:t>
      </w:r>
    </w:p>
    <w:p w14:paraId="3F4C2AAB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directionality: </w:t>
      </w:r>
      <w:r>
        <w:t>RNA velocity (</w:t>
      </w:r>
      <w:proofErr w:type="spellStart"/>
      <w:r>
        <w:t>scVelo</w:t>
      </w:r>
      <w:proofErr w:type="spellEnd"/>
      <w:r>
        <w:t xml:space="preserve">, dynamical model) — critical here because </w:t>
      </w:r>
      <w:proofErr w:type="spellStart"/>
      <w:r>
        <w:t>pseudotime</w:t>
      </w:r>
      <w:proofErr w:type="spellEnd"/>
      <w:r>
        <w:t xml:space="preserve"> alone cannot tell you whether unclassified niche-related → quiescent myeloid or the reverse.</w:t>
      </w:r>
    </w:p>
    <w:p w14:paraId="680DB98F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fate probability: </w:t>
      </w:r>
      <w:proofErr w:type="spellStart"/>
      <w:r>
        <w:t>CellRank</w:t>
      </w:r>
      <w:proofErr w:type="spellEnd"/>
      <w:r>
        <w:t xml:space="preserve"> combines velocity with transition kernels and gives explicit probabilities of one cluster becoming another.</w:t>
      </w:r>
    </w:p>
    <w:p w14:paraId="7194A22D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global connectivity: </w:t>
      </w:r>
      <w:r>
        <w:t>PAGA abstracts cluster-cluster relationships and can quickly show whether two clusters are even plausibly connected before committing to detailed trajectory analysis.</w:t>
      </w:r>
    </w:p>
    <w:p w14:paraId="6E1E8285" w14:textId="77777777" w:rsidR="00A13A6A" w:rsidRDefault="00000000">
      <w:pPr>
        <w:spacing w:after="120"/>
      </w:pPr>
      <w:r>
        <w:rPr>
          <w:b/>
          <w:bCs/>
        </w:rPr>
        <w:t>Specific comparisons worth running:</w:t>
      </w:r>
    </w:p>
    <w:p w14:paraId="238210FE" w14:textId="77777777" w:rsidR="00A13A6A" w:rsidRDefault="00000000">
      <w:pPr>
        <w:pStyle w:val="ListParagraph"/>
        <w:numPr>
          <w:ilvl w:val="0"/>
          <w:numId w:val="2"/>
        </w:numPr>
      </w:pPr>
      <w:r>
        <w:t>Unclassified niche-related ↔ quiescent myeloid (primary H3a test).</w:t>
      </w:r>
    </w:p>
    <w:p w14:paraId="4FD2B0AC" w14:textId="77777777" w:rsidR="00A13A6A" w:rsidRDefault="00000000">
      <w:pPr>
        <w:pStyle w:val="ListParagraph"/>
        <w:numPr>
          <w:ilvl w:val="0"/>
          <w:numId w:val="2"/>
        </w:numPr>
      </w:pPr>
      <w:r>
        <w:t>Unclassified niche-related ↔ CD16+ Mono/Macrophage.</w:t>
      </w:r>
    </w:p>
    <w:p w14:paraId="60D08C80" w14:textId="77777777" w:rsidR="00A13A6A" w:rsidRDefault="00000000">
      <w:pPr>
        <w:pStyle w:val="ListParagraph"/>
        <w:numPr>
          <w:ilvl w:val="0"/>
          <w:numId w:val="2"/>
        </w:numPr>
      </w:pPr>
      <w:r>
        <w:t>GMP-like ↔ ABCB5+ resistant primitive (under Ara-C in conventional).</w:t>
      </w:r>
    </w:p>
    <w:p w14:paraId="3BAAF86C" w14:textId="1C97E12D" w:rsidR="00A13A6A" w:rsidRDefault="00000000">
      <w:pPr>
        <w:spacing w:after="120"/>
      </w:pPr>
      <w:r>
        <w:rPr>
          <w:b/>
          <w:bCs/>
        </w:rPr>
        <w:t xml:space="preserve">Important caveat: </w:t>
      </w:r>
      <w:r>
        <w:t>trajectory methods will draw a line between any two clusters</w:t>
      </w:r>
      <w:r w:rsidR="008A7A6A">
        <w:t>,</w:t>
      </w:r>
      <w:r>
        <w:t xml:space="preserve"> whether or not</w:t>
      </w:r>
      <w:r w:rsidR="008A7A6A">
        <w:t xml:space="preserve"> they are biologically meaningful</w:t>
      </w:r>
      <w:r>
        <w:t>. Require corroborating evidence — shared transcription factor activity (SCENIC), intermediate cells, or velocity vectors pointing in the predicted direction.</w:t>
      </w:r>
    </w:p>
    <w:p w14:paraId="29090C9F" w14:textId="77777777" w:rsidR="00A13A6A" w:rsidRDefault="00000000">
      <w:pPr>
        <w:pStyle w:val="Heading2"/>
      </w:pPr>
      <w:r>
        <w:t>4. Stress Signalling Comparison (Untreated Conventional vs Untreated Co-Culture)</w:t>
      </w:r>
    </w:p>
    <w:p w14:paraId="5B35EAE1" w14:textId="77777777" w:rsidR="00A13A6A" w:rsidRDefault="00000000">
      <w:pPr>
        <w:spacing w:after="120"/>
      </w:pPr>
      <w:r>
        <w:t>Score the following programmes independently rather than treating “stress” as a single axis:</w:t>
      </w:r>
    </w:p>
    <w:p w14:paraId="3E809FA4" w14:textId="77777777" w:rsidR="00A13A6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MSigDB</w:t>
      </w:r>
      <w:proofErr w:type="spellEnd"/>
      <w:r>
        <w:rPr>
          <w:b/>
          <w:bCs/>
        </w:rPr>
        <w:t xml:space="preserve"> Hallmark sets: </w:t>
      </w:r>
      <w:r>
        <w:t>UNFOLDED_PROTEIN_RESPONSE, HYPOXIA, REACTIVE_OXYGEN_SPECIES_PATHWAY, TNFA_SIGNALING_VIA_NFKB, INFLAMMATORY_RESPONSE, P53_PATHWAY, APOPTOSIS.</w:t>
      </w:r>
    </w:p>
    <w:p w14:paraId="6779319D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Integrated stress response: </w:t>
      </w:r>
      <w:r>
        <w:t>ATF4 target signature.</w:t>
      </w:r>
    </w:p>
    <w:p w14:paraId="2F71487A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Dissociation stress: </w:t>
      </w:r>
      <w:r>
        <w:t>van den Brink et al. signature — important to regress out or at least check, since it can mimic real biology.</w:t>
      </w:r>
    </w:p>
    <w:p w14:paraId="27F62E23" w14:textId="77777777" w:rsidR="00A13A6A" w:rsidRDefault="00000000">
      <w:pPr>
        <w:spacing w:after="120"/>
      </w:pPr>
      <w:r>
        <w:rPr>
          <w:b/>
          <w:bCs/>
        </w:rPr>
        <w:t xml:space="preserve">Tools: </w:t>
      </w:r>
      <w:proofErr w:type="spellStart"/>
      <w:r>
        <w:t>UCell</w:t>
      </w:r>
      <w:proofErr w:type="spellEnd"/>
      <w:r>
        <w:t xml:space="preserve"> or </w:t>
      </w:r>
      <w:proofErr w:type="spellStart"/>
      <w:r>
        <w:t>AUCell</w:t>
      </w:r>
      <w:proofErr w:type="spellEnd"/>
      <w:r>
        <w:t xml:space="preserve"> for per-cell scoring; compare distributions per cluster across conditions with a Wilcoxon test and effect-size estimate.</w:t>
      </w:r>
    </w:p>
    <w:p w14:paraId="2A54C8F0" w14:textId="77777777" w:rsidR="00A13A6A" w:rsidRDefault="00000000">
      <w:pPr>
        <w:spacing w:after="120"/>
      </w:pPr>
      <w:r>
        <w:rPr>
          <w:b/>
          <w:bCs/>
        </w:rPr>
        <w:t xml:space="preserve">Useful framing: </w:t>
      </w:r>
      <w:r>
        <w:t xml:space="preserve">if co-culture is </w:t>
      </w:r>
      <w:r>
        <w:rPr>
          <w:i/>
          <w:iCs/>
        </w:rPr>
        <w:t>not</w:t>
      </w:r>
      <w:r>
        <w:t xml:space="preserve"> generally stressful but quiescent cells are still enriched, that argues against H1 (proliferation arrest from harsh environment) and toward H4 (active MSC-induced quiescence).</w:t>
      </w:r>
    </w:p>
    <w:p w14:paraId="11AD58F6" w14:textId="77777777" w:rsidR="00A13A6A" w:rsidRDefault="00000000">
      <w:pPr>
        <w:pStyle w:val="Heading2"/>
      </w:pPr>
      <w:r>
        <w:t xml:space="preserve">5. </w:t>
      </w:r>
      <w:proofErr w:type="spellStart"/>
      <w:r>
        <w:t>Pseudobulk</w:t>
      </w:r>
      <w:proofErr w:type="spellEnd"/>
      <w:r>
        <w:t xml:space="preserve"> Differential Expression</w:t>
      </w:r>
    </w:p>
    <w:p w14:paraId="423A8A91" w14:textId="77777777" w:rsidR="00A13A6A" w:rsidRDefault="00000000">
      <w:pPr>
        <w:spacing w:after="120"/>
      </w:pPr>
      <w:r>
        <w:t>The three proposed comparisons are well-chosen. Refinements below.</w:t>
      </w:r>
    </w:p>
    <w:p w14:paraId="5AE2B52A" w14:textId="77777777" w:rsidR="00A13A6A" w:rsidRDefault="00000000">
      <w:pPr>
        <w:spacing w:after="120"/>
      </w:pPr>
      <w:r>
        <w:rPr>
          <w:b/>
          <w:bCs/>
        </w:rPr>
        <w:t xml:space="preserve">Methodology. </w:t>
      </w:r>
      <w:r>
        <w:t xml:space="preserve">Aggregate counts per sample × cluster to </w:t>
      </w:r>
      <w:proofErr w:type="spellStart"/>
      <w:r>
        <w:t>pseudobulk</w:t>
      </w:r>
      <w:proofErr w:type="spellEnd"/>
      <w:r>
        <w:t xml:space="preserve">, then use DESeq2 or </w:t>
      </w:r>
      <w:proofErr w:type="spellStart"/>
      <w:r>
        <w:t>edgeR</w:t>
      </w:r>
      <w:proofErr w:type="spellEnd"/>
      <w:r>
        <w:t xml:space="preserve"> (via muscat or Libra). This handles sample-level variability correctly — single-cell DE methods on raw cells inflate p-values by treating cells as independent replicates.</w:t>
      </w:r>
    </w:p>
    <w:p w14:paraId="464CF9F4" w14:textId="032858E5" w:rsidR="00A13A6A" w:rsidRDefault="00000000">
      <w:pPr>
        <w:spacing w:after="120"/>
      </w:pPr>
      <w:r>
        <w:rPr>
          <w:b/>
          <w:bCs/>
        </w:rPr>
        <w:t xml:space="preserve">Cleanup before aggregation. </w:t>
      </w:r>
      <w:r>
        <w:t>Yes — remove HS-5, B cells, T cells. Also consider removing doublets (</w:t>
      </w:r>
      <w:r w:rsidR="00100F42">
        <w:t xml:space="preserve">using </w:t>
      </w:r>
      <w:proofErr w:type="spellStart"/>
      <w:r>
        <w:t>scDblFinder</w:t>
      </w:r>
      <w:proofErr w:type="spellEnd"/>
      <w:r>
        <w:t xml:space="preserve">) and very low-quality cells if </w:t>
      </w:r>
      <w:r w:rsidR="00100F42">
        <w:t xml:space="preserve">they have </w:t>
      </w:r>
      <w:r>
        <w:t xml:space="preserve">not already </w:t>
      </w:r>
      <w:r w:rsidR="00100F42">
        <w:t xml:space="preserve">been </w:t>
      </w:r>
      <w:r>
        <w:t>filtered.</w:t>
      </w:r>
    </w:p>
    <w:p w14:paraId="121DDC7C" w14:textId="77777777" w:rsidR="00A13A6A" w:rsidRDefault="00000000">
      <w:pPr>
        <w:spacing w:after="120"/>
      </w:pPr>
      <w:r>
        <w:rPr>
          <w:b/>
          <w:bCs/>
        </w:rPr>
        <w:t>Core comparisons:</w:t>
      </w:r>
    </w:p>
    <w:p w14:paraId="1EA04888" w14:textId="77777777" w:rsidR="00A13A6A" w:rsidRDefault="00000000">
      <w:pPr>
        <w:pStyle w:val="ListParagraph"/>
        <w:numPr>
          <w:ilvl w:val="0"/>
          <w:numId w:val="2"/>
        </w:numPr>
      </w:pPr>
      <w:r>
        <w:t>Untreated conventional vs untreated co-culture</w:t>
      </w:r>
    </w:p>
    <w:p w14:paraId="060B47D3" w14:textId="77777777" w:rsidR="00A13A6A" w:rsidRDefault="00000000">
      <w:pPr>
        <w:pStyle w:val="ListParagraph"/>
        <w:numPr>
          <w:ilvl w:val="0"/>
          <w:numId w:val="2"/>
        </w:numPr>
      </w:pPr>
      <w:r>
        <w:t>Untreated co-culture vs treated co-culture</w:t>
      </w:r>
    </w:p>
    <w:p w14:paraId="79CF28E3" w14:textId="77777777" w:rsidR="00A13A6A" w:rsidRDefault="00000000">
      <w:pPr>
        <w:pStyle w:val="ListParagraph"/>
        <w:numPr>
          <w:ilvl w:val="0"/>
          <w:numId w:val="2"/>
        </w:numPr>
      </w:pPr>
      <w:r>
        <w:lastRenderedPageBreak/>
        <w:t>Untreated conventional vs treated conventional</w:t>
      </w:r>
    </w:p>
    <w:p w14:paraId="1B60985C" w14:textId="77777777" w:rsidR="00A13A6A" w:rsidRDefault="00000000">
      <w:pPr>
        <w:spacing w:after="120"/>
      </w:pPr>
      <w:r>
        <w:rPr>
          <w:b/>
          <w:bCs/>
        </w:rPr>
        <w:t xml:space="preserve">Add a fourth comparison: </w:t>
      </w:r>
      <w:r>
        <w:t xml:space="preserve">treated conventional vs treated co-culture — arguably </w:t>
      </w:r>
      <w:r w:rsidRPr="00100F42">
        <w:rPr>
          <w:color w:val="00B0F0"/>
        </w:rPr>
        <w:t>the most clinically interesting</w:t>
      </w:r>
      <w:r>
        <w:t>, since it asks what the niche does to the residual disease that survives chemotherapy.</w:t>
      </w:r>
    </w:p>
    <w:p w14:paraId="63C1B9B1" w14:textId="77777777" w:rsidR="00A13A6A" w:rsidRDefault="00000000">
      <w:pPr>
        <w:spacing w:after="120"/>
      </w:pPr>
      <w:r>
        <w:rPr>
          <w:b/>
          <w:bCs/>
        </w:rPr>
        <w:t xml:space="preserve">Add an interaction analysis. </w:t>
      </w:r>
      <w:r>
        <w:t>Fit a model with terms for condition (conventional/co-culture), treatment (untreated/Ara-C), and their interaction. The interaction term identifies genes whose Ara-C response depends on the culture environment — directly relevant to niche-mediated resistance.</w:t>
      </w:r>
    </w:p>
    <w:p w14:paraId="19FDA4F4" w14:textId="77777777" w:rsidR="00A13A6A" w:rsidRDefault="00000000">
      <w:pPr>
        <w:spacing w:after="120"/>
      </w:pPr>
      <w:r>
        <w:rPr>
          <w:b/>
          <w:bCs/>
        </w:rPr>
        <w:t xml:space="preserve">Downstream: </w:t>
      </w:r>
      <w:r>
        <w:t>GSEA (</w:t>
      </w:r>
      <w:proofErr w:type="spellStart"/>
      <w:r>
        <w:t>fgsea</w:t>
      </w:r>
      <w:proofErr w:type="spellEnd"/>
      <w:r>
        <w:t>), pathway enrichment (</w:t>
      </w:r>
      <w:proofErr w:type="spellStart"/>
      <w:r>
        <w:t>ReactomePA</w:t>
      </w:r>
      <w:proofErr w:type="spellEnd"/>
      <w:r>
        <w:t xml:space="preserve">, </w:t>
      </w:r>
      <w:proofErr w:type="spellStart"/>
      <w:r>
        <w:t>enrichR</w:t>
      </w:r>
      <w:proofErr w:type="spellEnd"/>
      <w:r>
        <w:t>, Hallmark, KEGG), and transcription-factor enrichment (</w:t>
      </w:r>
      <w:proofErr w:type="spellStart"/>
      <w:r>
        <w:t>DoRothEA</w:t>
      </w:r>
      <w:proofErr w:type="spellEnd"/>
      <w:r>
        <w:t>, ChEA3).</w:t>
      </w:r>
    </w:p>
    <w:p w14:paraId="32ADDC77" w14:textId="77777777" w:rsidR="00A13A6A" w:rsidRDefault="00000000">
      <w:pPr>
        <w:pStyle w:val="Heading2"/>
      </w:pPr>
      <w:r>
        <w:t>6. Within-Cluster Comparisons Across Conditions</w:t>
      </w:r>
    </w:p>
    <w:p w14:paraId="52EF8112" w14:textId="77777777" w:rsidR="00A13A6A" w:rsidRDefault="00000000">
      <w:pPr>
        <w:spacing w:after="120"/>
      </w:pPr>
      <w:r>
        <w:t xml:space="preserve">This is </w:t>
      </w:r>
      <w:r w:rsidRPr="00100F42">
        <w:rPr>
          <w:color w:val="00B0F0"/>
        </w:rPr>
        <w:t>the right approach for the quiescence question</w:t>
      </w:r>
      <w:r>
        <w:t>.</w:t>
      </w:r>
    </w:p>
    <w:p w14:paraId="49376016" w14:textId="77777777" w:rsidR="00A13A6A" w:rsidRDefault="00000000">
      <w:pPr>
        <w:spacing w:after="120"/>
      </w:pPr>
      <w:r>
        <w:rPr>
          <w:b/>
          <w:bCs/>
        </w:rPr>
        <w:t xml:space="preserve">Cell-cycle scoring: </w:t>
      </w:r>
      <w:r>
        <w:t xml:space="preserve">Seurat’s </w:t>
      </w:r>
      <w:proofErr w:type="spellStart"/>
      <w:r>
        <w:t>CellCycleScoring</w:t>
      </w:r>
      <w:proofErr w:type="spellEnd"/>
      <w:r>
        <w:t xml:space="preserve"> with the Tirosh S and G2M gene sets, plus a Ki67/MKI67 signature.</w:t>
      </w:r>
    </w:p>
    <w:p w14:paraId="6C6E0FF2" w14:textId="77777777" w:rsidR="00A13A6A" w:rsidRDefault="00000000">
      <w:pPr>
        <w:spacing w:after="120"/>
      </w:pPr>
      <w:r>
        <w:rPr>
          <w:b/>
          <w:bCs/>
        </w:rPr>
        <w:t>Also score:</w:t>
      </w:r>
    </w:p>
    <w:p w14:paraId="55669C97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Quiescence-specific signatures: </w:t>
      </w:r>
      <w:r>
        <w:t>Cheung &amp; Rando, Fukushima et al., or the Laurenti HSC quiescence signature.</w:t>
      </w:r>
    </w:p>
    <w:p w14:paraId="5C92396D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Dormancy / drug-tolerant </w:t>
      </w:r>
      <w:proofErr w:type="spellStart"/>
      <w:r>
        <w:rPr>
          <w:b/>
          <w:bCs/>
        </w:rPr>
        <w:t>persister</w:t>
      </w:r>
      <w:proofErr w:type="spellEnd"/>
      <w:r>
        <w:rPr>
          <w:b/>
          <w:bCs/>
        </w:rPr>
        <w:t xml:space="preserve"> signatures: </w:t>
      </w:r>
      <w:r>
        <w:t>Rehman et al. or Oren et al.</w:t>
      </w:r>
    </w:p>
    <w:p w14:paraId="70B1EC00" w14:textId="77777777" w:rsidR="00A13A6A" w:rsidRDefault="00000000">
      <w:pPr>
        <w:spacing w:after="120"/>
      </w:pPr>
      <w:r>
        <w:rPr>
          <w:b/>
          <w:bCs/>
        </w:rPr>
        <w:t xml:space="preserve">Direct test: </w:t>
      </w:r>
      <w:r>
        <w:t>compare the quiescent myeloid cluster between untreated conventional and untreated co-culture.</w:t>
      </w:r>
    </w:p>
    <w:p w14:paraId="74B7C14B" w14:textId="784E4DBB" w:rsidR="00A13A6A" w:rsidRDefault="00000000">
      <w:pPr>
        <w:pStyle w:val="ListParagraph"/>
        <w:numPr>
          <w:ilvl w:val="0"/>
          <w:numId w:val="2"/>
        </w:numPr>
      </w:pPr>
      <w:r w:rsidRPr="00100F42">
        <w:rPr>
          <w:color w:val="00B0F0"/>
        </w:rPr>
        <w:t>If cell-cycle scores are similarly low in both</w:t>
      </w:r>
      <w:r w:rsidR="00100F42">
        <w:t>,</w:t>
      </w:r>
      <w:r>
        <w:t xml:space="preserve"> those cells were already quiescent in conventional — supporting H3b (selective survival), or H3a conversion that completes before sampling.</w:t>
      </w:r>
    </w:p>
    <w:p w14:paraId="487F5FD8" w14:textId="4328C1D1" w:rsidR="00A13A6A" w:rsidRDefault="00000000">
      <w:pPr>
        <w:pStyle w:val="ListParagraph"/>
        <w:numPr>
          <w:ilvl w:val="0"/>
          <w:numId w:val="2"/>
        </w:numPr>
      </w:pPr>
      <w:r w:rsidRPr="00100F42">
        <w:rPr>
          <w:color w:val="00B0F0"/>
        </w:rPr>
        <w:t>If conventional-quiescent cells have higher cycling scores than co-culture-quiescent cells</w:t>
      </w:r>
      <w:r w:rsidR="00100F42">
        <w:t>,</w:t>
      </w:r>
      <w:r>
        <w:t xml:space="preserve"> MSCs are actively deepening quiescence — supporting H4.</w:t>
      </w:r>
    </w:p>
    <w:p w14:paraId="598CB636" w14:textId="0DA037AF" w:rsidR="00A13A6A" w:rsidRDefault="00000000">
      <w:pPr>
        <w:spacing w:after="120"/>
      </w:pPr>
      <w:r>
        <w:rPr>
          <w:b/>
          <w:bCs/>
        </w:rPr>
        <w:t>Apply the same logic to ABCB5+ primitive AML</w:t>
      </w:r>
      <w:r w:rsidR="00100F42">
        <w:rPr>
          <w:b/>
          <w:bCs/>
        </w:rPr>
        <w:t>,</w:t>
      </w:r>
      <w:r>
        <w:rPr>
          <w:b/>
          <w:bCs/>
        </w:rPr>
        <w:t xml:space="preserve"> </w:t>
      </w:r>
      <w:r>
        <w:t>comparing untreated vs Ara-C conventional — is this a pre-existing resistant population that was selected, or one whose phenotype changes under Ara-C?</w:t>
      </w:r>
    </w:p>
    <w:p w14:paraId="0637202B" w14:textId="77777777" w:rsidR="00A13A6A" w:rsidRDefault="00000000">
      <w:pPr>
        <w:pStyle w:val="Heading2"/>
      </w:pPr>
      <w:r>
        <w:t>7. Differential Abundance Testing (Rigorous Compositional Analysis)</w:t>
      </w:r>
    </w:p>
    <w:p w14:paraId="0BD9D057" w14:textId="77777777" w:rsidR="00A13A6A" w:rsidRDefault="00000000">
      <w:pPr>
        <w:spacing w:after="120"/>
      </w:pPr>
      <w:r>
        <w:t xml:space="preserve">Simply comparing cluster percentages does not test whether a shift is statistically meaningful given sample variability. Use MiloR (neighbourhood-based, does not require fixed clusters), </w:t>
      </w:r>
      <w:proofErr w:type="spellStart"/>
      <w:r>
        <w:t>scCODA</w:t>
      </w:r>
      <w:proofErr w:type="spellEnd"/>
      <w:r>
        <w:t xml:space="preserve"> (Bayesian compositional), or DA-seq. MiloR is particularly useful here because it can detect compositional shifts that do not map cleanly onto existing cluster boundaries — relevant if conversion produces intermediate states.</w:t>
      </w:r>
    </w:p>
    <w:p w14:paraId="3E1A4E5B" w14:textId="77777777" w:rsidR="00A13A6A" w:rsidRDefault="00000000">
      <w:pPr>
        <w:pStyle w:val="Heading2"/>
      </w:pPr>
      <w:r>
        <w:t>8. Cell–Cell Communication Analysis (HS-5 ↔ AML)</w:t>
      </w:r>
    </w:p>
    <w:p w14:paraId="123CCE1B" w14:textId="77777777" w:rsidR="00A13A6A" w:rsidRDefault="00000000">
      <w:pPr>
        <w:spacing w:after="120"/>
      </w:pPr>
      <w:r>
        <w:t xml:space="preserve">This directly addresses how MSCs change AML state. Run </w:t>
      </w:r>
      <w:proofErr w:type="spellStart"/>
      <w:r>
        <w:t>CellChat</w:t>
      </w:r>
      <w:proofErr w:type="spellEnd"/>
      <w:r>
        <w:t xml:space="preserve">, LIANA, or </w:t>
      </w:r>
      <w:proofErr w:type="spellStart"/>
      <w:r>
        <w:t>NicheNet</w:t>
      </w:r>
      <w:proofErr w:type="spellEnd"/>
      <w:r>
        <w:t xml:space="preserve"> on the co-culture data including HS-5.</w:t>
      </w:r>
    </w:p>
    <w:p w14:paraId="41BB9B81" w14:textId="77777777" w:rsidR="00A13A6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CellChat</w:t>
      </w:r>
      <w:proofErr w:type="spellEnd"/>
      <w:r>
        <w:rPr>
          <w:b/>
          <w:bCs/>
        </w:rPr>
        <w:t xml:space="preserve"> </w:t>
      </w:r>
      <w:r>
        <w:t>quantifies signalling strength per ligand-receptor pair.</w:t>
      </w:r>
    </w:p>
    <w:p w14:paraId="55497875" w14:textId="17C73E2A" w:rsidR="00A13A6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NicheNet</w:t>
      </w:r>
      <w:proofErr w:type="spellEnd"/>
      <w:r>
        <w:rPr>
          <w:b/>
          <w:bCs/>
        </w:rPr>
        <w:t xml:space="preserve"> </w:t>
      </w:r>
      <w:r>
        <w:t xml:space="preserve">goes further: </w:t>
      </w:r>
      <w:r w:rsidR="00702E05">
        <w:t xml:space="preserve">it </w:t>
      </w:r>
      <w:r>
        <w:t>predicts which downstream genes in AML cells are likely driven by specific HS-5 ligands by integrating ligand-receptor interactions with target gene regulatory potential. This is the most mechanistic option — it can directly nominate the HS-5 ligand responsible for quiescence induction.</w:t>
      </w:r>
    </w:p>
    <w:p w14:paraId="7E9EFD1D" w14:textId="77777777" w:rsidR="00A13A6A" w:rsidRDefault="00000000">
      <w:pPr>
        <w:spacing w:after="120"/>
      </w:pPr>
      <w:r>
        <w:lastRenderedPageBreak/>
        <w:t>Focus on known niche signals: CXCL12/CXCR4, SCF/KIT, ANGPT1/TIE2, JAG1/NOTCH, TGFB, BMP, integrin pathways.</w:t>
      </w:r>
    </w:p>
    <w:p w14:paraId="34612EDB" w14:textId="77777777" w:rsidR="00A13A6A" w:rsidRDefault="00000000">
      <w:pPr>
        <w:pStyle w:val="Heading2"/>
      </w:pPr>
      <w:r>
        <w:t>9. Gene Regulatory Network Analysis</w:t>
      </w:r>
    </w:p>
    <w:p w14:paraId="0F4F6200" w14:textId="77777777" w:rsidR="00A13A6A" w:rsidRDefault="00000000">
      <w:pPr>
        <w:spacing w:after="120"/>
      </w:pPr>
      <w:r>
        <w:t xml:space="preserve">SCENIC (or </w:t>
      </w:r>
      <w:proofErr w:type="spellStart"/>
      <w:r>
        <w:t>pySCENIC</w:t>
      </w:r>
      <w:proofErr w:type="spellEnd"/>
      <w:r>
        <w:t>) infers transcription-factor activity per cell. Useful for:</w:t>
      </w:r>
    </w:p>
    <w:p w14:paraId="736F56B0" w14:textId="77777777" w:rsidR="00A13A6A" w:rsidRDefault="00000000">
      <w:pPr>
        <w:pStyle w:val="ListParagraph"/>
        <w:numPr>
          <w:ilvl w:val="0"/>
          <w:numId w:val="2"/>
        </w:numPr>
      </w:pPr>
      <w:r>
        <w:t>Validating cluster identities through master regulators (e.g., GATA1/2 in primitive, CEBPA/SPI1 in myeloid).</w:t>
      </w:r>
    </w:p>
    <w:p w14:paraId="115DA317" w14:textId="77777777" w:rsidR="00A13A6A" w:rsidRDefault="00000000">
      <w:pPr>
        <w:pStyle w:val="ListParagraph"/>
        <w:numPr>
          <w:ilvl w:val="0"/>
          <w:numId w:val="2"/>
        </w:numPr>
      </w:pPr>
      <w:r>
        <w:t>Identifying TFs whose activity changes specifically in the quiescent cluster in co-culture (FOXO3, KLF4, BCL6 are candidates).</w:t>
      </w:r>
    </w:p>
    <w:p w14:paraId="5046544A" w14:textId="77777777" w:rsidR="00A13A6A" w:rsidRDefault="00000000">
      <w:pPr>
        <w:pStyle w:val="ListParagraph"/>
        <w:numPr>
          <w:ilvl w:val="0"/>
          <w:numId w:val="2"/>
        </w:numPr>
      </w:pPr>
      <w:r>
        <w:t>Comparing regulons between conventional and co-culture across matched clusters.</w:t>
      </w:r>
    </w:p>
    <w:p w14:paraId="351C77CB" w14:textId="77777777" w:rsidR="00A13A6A" w:rsidRDefault="00000000">
      <w:pPr>
        <w:pStyle w:val="Heading2"/>
      </w:pPr>
      <w:r>
        <w:t>10. Absolute Cell Number Estimation</w:t>
      </w:r>
    </w:p>
    <w:p w14:paraId="202C8994" w14:textId="77777777" w:rsidR="00A13A6A" w:rsidRDefault="00000000">
      <w:pPr>
        <w:spacing w:after="120"/>
      </w:pPr>
      <w:r>
        <w:t>Critical for distinguishing H3a (conversion) from H3b (differential survival). Cell counts at harvest, normalised by viable input cells and HS-5-subtracted, should be incorporated. Even rough estimates change the interpretation of “% enrichment” substantially.</w:t>
      </w:r>
    </w:p>
    <w:p w14:paraId="67A6BCA5" w14:textId="77777777" w:rsidR="00A13A6A" w:rsidRDefault="00000000">
      <w:pPr>
        <w:pStyle w:val="Heading2"/>
      </w:pPr>
      <w:r>
        <w:t>11. Ara-C Resistance Gene Signatures</w:t>
      </w:r>
    </w:p>
    <w:p w14:paraId="029FE388" w14:textId="77777777" w:rsidR="00A13A6A" w:rsidRDefault="00000000">
      <w:pPr>
        <w:spacing w:after="120"/>
      </w:pPr>
      <w:r>
        <w:t>Score known Ara-C metabolism and resistance genes per cell and per cluster:</w:t>
      </w:r>
    </w:p>
    <w:p w14:paraId="4AE886DD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Activation: </w:t>
      </w:r>
      <w:r>
        <w:t>DCK (deoxycytidine kinase), SLC29A1 (ENT1, transporter).</w:t>
      </w:r>
    </w:p>
    <w:p w14:paraId="558A9771" w14:textId="77777777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Inactivation: </w:t>
      </w:r>
      <w:r>
        <w:t>SAMHD1, CDA, NT5C2.</w:t>
      </w:r>
    </w:p>
    <w:p w14:paraId="40E09BA6" w14:textId="4B1279C9" w:rsidR="00A13A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Targets</w:t>
      </w:r>
      <w:r w:rsidR="00702E05">
        <w:rPr>
          <w:b/>
          <w:bCs/>
        </w:rPr>
        <w:t>/</w:t>
      </w:r>
      <w:r>
        <w:rPr>
          <w:b/>
          <w:bCs/>
        </w:rPr>
        <w:t xml:space="preserve">repair: </w:t>
      </w:r>
      <w:r>
        <w:t>RRM1/RRM2, POLE.</w:t>
      </w:r>
    </w:p>
    <w:p w14:paraId="03C001BB" w14:textId="77777777" w:rsidR="00A13A6A" w:rsidRDefault="00000000">
      <w:pPr>
        <w:spacing w:after="120"/>
      </w:pPr>
      <w:r>
        <w:t>Particularly informative for the ABCB5+ cluster — does it show a coherent resistance signature, or is ABCB5 expression incidental?</w:t>
      </w:r>
    </w:p>
    <w:p w14:paraId="780F0EEA" w14:textId="77777777" w:rsidR="00A13A6A" w:rsidRDefault="00000000">
      <w:pPr>
        <w:pStyle w:val="Heading2"/>
      </w:pPr>
      <w:r>
        <w:t>12. Apoptosis vs Survival Signature</w:t>
      </w:r>
    </w:p>
    <w:p w14:paraId="74BC18BF" w14:textId="5C2C6572" w:rsidR="00A13A6A" w:rsidRDefault="00000000">
      <w:pPr>
        <w:spacing w:after="120"/>
      </w:pPr>
      <w:r>
        <w:t xml:space="preserve">To distinguish H3b (death of unclassified niche-related </w:t>
      </w:r>
      <w:r w:rsidR="00702E05">
        <w:t xml:space="preserve">cells </w:t>
      </w:r>
      <w:r>
        <w:t>in co-culture) from H3a (conversion), score apoptotic programmes (Hallmark APOPTOSIS, BCL2 family balance, caspase activation signatures) on the disappearing population. If unclassified niche-related cells in conventional already lean pro-apoptotic, H3b becomes more plausible.</w:t>
      </w:r>
    </w:p>
    <w:p w14:paraId="6F0E4D65" w14:textId="77777777" w:rsidR="00A13A6A" w:rsidRDefault="00000000">
      <w:pPr>
        <w:pStyle w:val="Heading2"/>
      </w:pPr>
      <w:r>
        <w:t>13. Clonal / Lineage Information from Natural Variation</w:t>
      </w:r>
    </w:p>
    <w:p w14:paraId="12BC1F32" w14:textId="77777777" w:rsidR="00A13A6A" w:rsidRDefault="00000000">
      <w:pPr>
        <w:spacing w:after="120"/>
      </w:pPr>
      <w:r>
        <w:t xml:space="preserve">If lentiviral barcoding or true lineage tracing is not available, mitochondrial </w:t>
      </w:r>
      <w:proofErr w:type="spellStart"/>
      <w:r>
        <w:t>heteroplasmy</w:t>
      </w:r>
      <w:proofErr w:type="spellEnd"/>
      <w:r>
        <w:t xml:space="preserve"> (MAESTER, </w:t>
      </w:r>
      <w:proofErr w:type="spellStart"/>
      <w:r>
        <w:t>mgatk</w:t>
      </w:r>
      <w:proofErr w:type="spellEnd"/>
      <w:r>
        <w:t>) or expressed SNVs can provide low-resolution clonal tags. Even a handful of clones traceable across conditions would let us ask: do quiescent myeloid cells in co-culture share clonal ancestry with unclassified niche-related cells in conventional (supporting conversion)?</w:t>
      </w:r>
    </w:p>
    <w:p w14:paraId="61D417CB" w14:textId="77777777" w:rsidR="00104335" w:rsidRDefault="00104335">
      <w:pPr>
        <w:spacing w:after="120"/>
      </w:pPr>
    </w:p>
    <w:p w14:paraId="6AD9215F" w14:textId="77777777" w:rsidR="00702E05" w:rsidRDefault="00702E05">
      <w:pPr>
        <w:spacing w:after="120"/>
      </w:pPr>
    </w:p>
    <w:p w14:paraId="4EF55CDA" w14:textId="77777777" w:rsidR="00702E05" w:rsidRDefault="00702E05">
      <w:pPr>
        <w:spacing w:after="120"/>
      </w:pPr>
    </w:p>
    <w:p w14:paraId="0428D4F9" w14:textId="77777777" w:rsidR="00702E05" w:rsidRDefault="00702E05">
      <w:pPr>
        <w:spacing w:after="120"/>
      </w:pPr>
    </w:p>
    <w:p w14:paraId="770444D9" w14:textId="77777777" w:rsidR="00104335" w:rsidRDefault="00104335">
      <w:pPr>
        <w:spacing w:after="120"/>
      </w:pPr>
    </w:p>
    <w:p w14:paraId="0D0BCC40" w14:textId="237EC1E2" w:rsidR="00104335" w:rsidRPr="00702E05" w:rsidRDefault="00104335" w:rsidP="00104335">
      <w:pPr>
        <w:pStyle w:val="Heading3"/>
        <w:rPr>
          <w:rFonts w:asciiTheme="minorBidi" w:hAnsiTheme="minorBidi" w:cstheme="minorBidi"/>
          <w:color w:val="0F9ED5" w:themeColor="accent4"/>
        </w:rPr>
      </w:pPr>
      <w:r w:rsidRPr="00702E05">
        <w:rPr>
          <w:rFonts w:asciiTheme="minorBidi" w:hAnsiTheme="minorBidi" w:cstheme="minorBidi"/>
          <w:color w:val="0F9ED5" w:themeColor="accent4"/>
        </w:rPr>
        <w:t>Data bases to use for differentiating single cell normal cells from AML cells:</w:t>
      </w:r>
    </w:p>
    <w:p w14:paraId="3062BAD0" w14:textId="77777777" w:rsidR="00104335" w:rsidRPr="00702E05" w:rsidRDefault="00104335" w:rsidP="00104335">
      <w:pPr>
        <w:pStyle w:val="font-claude-response-body"/>
        <w:rPr>
          <w:rFonts w:asciiTheme="minorBidi" w:hAnsiTheme="minorBidi" w:cstheme="minorBidi"/>
        </w:rPr>
      </w:pPr>
      <w:r w:rsidRPr="00702E05">
        <w:rPr>
          <w:rFonts w:asciiTheme="minorBidi" w:hAnsiTheme="minorBidi" w:cstheme="minorBidi"/>
        </w:rPr>
        <w:lastRenderedPageBreak/>
        <w:t xml:space="preserve">The dominant reference in this space is van Galen et al. (2019, Cell), which profiled 38,410 cells from bone marrow aspirates of 16 AML patients and 5 healthy donors and developed a machine learning classifier specifically designed to distinguish malignant from normal cells within AML tumours. Their approach used single-cell genotyping to capture mutations in cancer driver genes, then used cells with detected mutations to train a classifier that annotated cells along the HSC → myeloid axis as HSC-like, progenitor-like, GMP-like, promonocyte-like, monocyte-like, or </w:t>
      </w:r>
      <w:proofErr w:type="spellStart"/>
      <w:r w:rsidRPr="00702E05">
        <w:rPr>
          <w:rFonts w:asciiTheme="minorBidi" w:hAnsiTheme="minorBidi" w:cstheme="minorBidi"/>
        </w:rPr>
        <w:t>cDC</w:t>
      </w:r>
      <w:proofErr w:type="spellEnd"/>
      <w:r w:rsidRPr="00702E05">
        <w:rPr>
          <w:rFonts w:asciiTheme="minorBidi" w:hAnsiTheme="minorBidi" w:cstheme="minorBidi"/>
        </w:rPr>
        <w:t>-like malignant cells. This is the dataset and framework you will see cited most often — when papers describe AML cells as "GMP-like" or "</w:t>
      </w:r>
      <w:proofErr w:type="spellStart"/>
      <w:r w:rsidRPr="00702E05">
        <w:rPr>
          <w:rFonts w:asciiTheme="minorBidi" w:hAnsiTheme="minorBidi" w:cstheme="minorBidi"/>
        </w:rPr>
        <w:t>promono</w:t>
      </w:r>
      <w:proofErr w:type="spellEnd"/>
      <w:r w:rsidRPr="00702E05">
        <w:rPr>
          <w:rFonts w:asciiTheme="minorBidi" w:hAnsiTheme="minorBidi" w:cstheme="minorBidi"/>
        </w:rPr>
        <w:t xml:space="preserve">-like," they are using the van Galen taxonomy. </w:t>
      </w:r>
      <w:hyperlink r:id="rId5" w:tgtFrame="_blank" w:history="1"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>ScienceDirect + 2</w:t>
        </w:r>
      </w:hyperlink>
    </w:p>
    <w:p w14:paraId="56A57E60" w14:textId="77777777" w:rsidR="00104335" w:rsidRPr="00702E05" w:rsidRDefault="00104335" w:rsidP="00104335">
      <w:pPr>
        <w:pStyle w:val="font-claude-response-body"/>
        <w:rPr>
          <w:rFonts w:asciiTheme="minorBidi" w:hAnsiTheme="minorBidi" w:cstheme="minorBidi"/>
        </w:rPr>
      </w:pPr>
      <w:r w:rsidRPr="00702E05">
        <w:rPr>
          <w:rFonts w:asciiTheme="minorBidi" w:hAnsiTheme="minorBidi" w:cstheme="minorBidi"/>
        </w:rPr>
        <w:t xml:space="preserve">The reason van Galen has been so influential is that it solved a specific problem: gene expression alone cannot reliably identify AML cells because malignant cells can have expression profiles that mimic more highly differentiated normal cells. By anchoring cell-type labels to genotype-verified malignant cells, the resulting classifier can be applied to new patient datasets even when single-cell mutation calling is not available. </w:t>
      </w:r>
      <w:hyperlink r:id="rId6" w:tgtFrame="_blank" w:history="1"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>Nature</w:t>
        </w:r>
      </w:hyperlink>
    </w:p>
    <w:p w14:paraId="25EE0749" w14:textId="77777777" w:rsidR="00104335" w:rsidRPr="00702E05" w:rsidRDefault="00104335" w:rsidP="00104335">
      <w:pPr>
        <w:pStyle w:val="font-claude-response-body"/>
        <w:rPr>
          <w:rFonts w:asciiTheme="minorBidi" w:hAnsiTheme="minorBidi" w:cstheme="minorBidi"/>
        </w:rPr>
      </w:pPr>
      <w:r w:rsidRPr="00702E05">
        <w:rPr>
          <w:rFonts w:asciiTheme="minorBidi" w:hAnsiTheme="minorBidi" w:cstheme="minorBidi"/>
        </w:rPr>
        <w:t>Other commonly used healthy bone marrow references that pair well with van Galen for the "normal" side:</w:t>
      </w:r>
    </w:p>
    <w:p w14:paraId="379A5044" w14:textId="77777777" w:rsidR="00104335" w:rsidRPr="00702E05" w:rsidRDefault="00104335" w:rsidP="00104335">
      <w:pPr>
        <w:pStyle w:val="font-claude-response-body"/>
        <w:numPr>
          <w:ilvl w:val="0"/>
          <w:numId w:val="3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Triana et al. (2021)</w:t>
      </w:r>
      <w:r w:rsidRPr="00702E05">
        <w:rPr>
          <w:rFonts w:asciiTheme="minorBidi" w:hAnsiTheme="minorBidi" w:cstheme="minorBidi"/>
        </w:rPr>
        <w:t xml:space="preserve"> — CITE-</w:t>
      </w:r>
      <w:proofErr w:type="spellStart"/>
      <w:r w:rsidRPr="00702E05">
        <w:rPr>
          <w:rFonts w:asciiTheme="minorBidi" w:hAnsiTheme="minorBidi" w:cstheme="minorBidi"/>
        </w:rPr>
        <w:t>seq</w:t>
      </w:r>
      <w:proofErr w:type="spellEnd"/>
      <w:r w:rsidRPr="00702E05">
        <w:rPr>
          <w:rFonts w:asciiTheme="minorBidi" w:hAnsiTheme="minorBidi" w:cstheme="minorBidi"/>
        </w:rPr>
        <w:t xml:space="preserve"> atlas of healthy bone marrow, useful when you have surface protein data or want protein-corroborated annotations.</w:t>
      </w:r>
    </w:p>
    <w:p w14:paraId="360604E4" w14:textId="77777777" w:rsidR="00104335" w:rsidRPr="00702E05" w:rsidRDefault="00104335" w:rsidP="00104335">
      <w:pPr>
        <w:pStyle w:val="font-claude-response-body"/>
        <w:numPr>
          <w:ilvl w:val="0"/>
          <w:numId w:val="3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Granja et al. (2019)</w:t>
      </w:r>
      <w:r w:rsidRPr="00702E05">
        <w:rPr>
          <w:rFonts w:asciiTheme="minorBidi" w:hAnsiTheme="minorBidi" w:cstheme="minorBidi"/>
        </w:rPr>
        <w:t xml:space="preserve"> — multi-</w:t>
      </w:r>
      <w:proofErr w:type="spellStart"/>
      <w:r w:rsidRPr="00702E05">
        <w:rPr>
          <w:rFonts w:asciiTheme="minorBidi" w:hAnsiTheme="minorBidi" w:cstheme="minorBidi"/>
        </w:rPr>
        <w:t>omic</w:t>
      </w:r>
      <w:proofErr w:type="spellEnd"/>
      <w:r w:rsidRPr="00702E05">
        <w:rPr>
          <w:rFonts w:asciiTheme="minorBidi" w:hAnsiTheme="minorBidi" w:cstheme="minorBidi"/>
        </w:rPr>
        <w:t xml:space="preserve"> (</w:t>
      </w:r>
      <w:proofErr w:type="spellStart"/>
      <w:r w:rsidRPr="00702E05">
        <w:rPr>
          <w:rFonts w:asciiTheme="minorBidi" w:hAnsiTheme="minorBidi" w:cstheme="minorBidi"/>
        </w:rPr>
        <w:t>scRNA</w:t>
      </w:r>
      <w:proofErr w:type="spellEnd"/>
      <w:r w:rsidRPr="00702E05">
        <w:rPr>
          <w:rFonts w:asciiTheme="minorBidi" w:hAnsiTheme="minorBidi" w:cstheme="minorBidi"/>
        </w:rPr>
        <w:t xml:space="preserve"> + </w:t>
      </w:r>
      <w:proofErr w:type="spellStart"/>
      <w:r w:rsidRPr="00702E05">
        <w:rPr>
          <w:rFonts w:asciiTheme="minorBidi" w:hAnsiTheme="minorBidi" w:cstheme="minorBidi"/>
        </w:rPr>
        <w:t>scATAC</w:t>
      </w:r>
      <w:proofErr w:type="spellEnd"/>
      <w:r w:rsidRPr="00702E05">
        <w:rPr>
          <w:rFonts w:asciiTheme="minorBidi" w:hAnsiTheme="minorBidi" w:cstheme="minorBidi"/>
        </w:rPr>
        <w:t>) atlas of healthy and MPAL bone marrow.</w:t>
      </w:r>
    </w:p>
    <w:p w14:paraId="1FF65D8C" w14:textId="77777777" w:rsidR="00104335" w:rsidRPr="00702E05" w:rsidRDefault="00104335" w:rsidP="00104335">
      <w:pPr>
        <w:pStyle w:val="font-claude-response-body"/>
        <w:numPr>
          <w:ilvl w:val="0"/>
          <w:numId w:val="3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Setty et al. (2019, Palantir)</w:t>
      </w:r>
      <w:r w:rsidRPr="00702E05">
        <w:rPr>
          <w:rFonts w:asciiTheme="minorBidi" w:hAnsiTheme="minorBidi" w:cstheme="minorBidi"/>
        </w:rPr>
        <w:t xml:space="preserve"> and </w:t>
      </w:r>
      <w:r w:rsidRPr="00702E05">
        <w:rPr>
          <w:rStyle w:val="Strong"/>
          <w:rFonts w:asciiTheme="minorBidi" w:hAnsiTheme="minorBidi" w:cstheme="minorBidi"/>
        </w:rPr>
        <w:t>Oetjen et al. (2018, JCI Insight)</w:t>
      </w:r>
      <w:r w:rsidRPr="00702E05">
        <w:rPr>
          <w:rFonts w:asciiTheme="minorBidi" w:hAnsiTheme="minorBidi" w:cstheme="minorBidi"/>
        </w:rPr>
        <w:t xml:space="preserve"> — early healthy BM </w:t>
      </w:r>
      <w:proofErr w:type="spellStart"/>
      <w:r w:rsidRPr="00702E05">
        <w:rPr>
          <w:rFonts w:asciiTheme="minorBidi" w:hAnsiTheme="minorBidi" w:cstheme="minorBidi"/>
        </w:rPr>
        <w:t>scRNA-seq</w:t>
      </w:r>
      <w:proofErr w:type="spellEnd"/>
      <w:r w:rsidRPr="00702E05">
        <w:rPr>
          <w:rFonts w:asciiTheme="minorBidi" w:hAnsiTheme="minorBidi" w:cstheme="minorBidi"/>
        </w:rPr>
        <w:t xml:space="preserve"> references still widely used for trajectory and annotation work.</w:t>
      </w:r>
    </w:p>
    <w:p w14:paraId="496F789C" w14:textId="77777777" w:rsidR="00104335" w:rsidRPr="00702E05" w:rsidRDefault="00104335" w:rsidP="00104335">
      <w:pPr>
        <w:pStyle w:val="font-claude-response-body"/>
        <w:numPr>
          <w:ilvl w:val="0"/>
          <w:numId w:val="3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 xml:space="preserve">Hay et al. — </w:t>
      </w:r>
      <w:proofErr w:type="spellStart"/>
      <w:r w:rsidRPr="00702E05">
        <w:rPr>
          <w:rStyle w:val="Strong"/>
          <w:rFonts w:asciiTheme="minorBidi" w:hAnsiTheme="minorBidi" w:cstheme="minorBidi"/>
        </w:rPr>
        <w:t>BloodSpot</w:t>
      </w:r>
      <w:proofErr w:type="spellEnd"/>
      <w:r w:rsidRPr="00702E05">
        <w:rPr>
          <w:rStyle w:val="Strong"/>
          <w:rFonts w:asciiTheme="minorBidi" w:hAnsiTheme="minorBidi" w:cstheme="minorBidi"/>
        </w:rPr>
        <w:t xml:space="preserve"> / </w:t>
      </w:r>
      <w:proofErr w:type="spellStart"/>
      <w:r w:rsidRPr="00702E05">
        <w:rPr>
          <w:rStyle w:val="Strong"/>
          <w:rFonts w:asciiTheme="minorBidi" w:hAnsiTheme="minorBidi" w:cstheme="minorBidi"/>
        </w:rPr>
        <w:t>HemaExplorer</w:t>
      </w:r>
      <w:proofErr w:type="spellEnd"/>
      <w:r w:rsidRPr="00702E05">
        <w:rPr>
          <w:rFonts w:asciiTheme="minorBidi" w:hAnsiTheme="minorBidi" w:cstheme="minorBidi"/>
        </w:rPr>
        <w:t xml:space="preserve"> — bulk transcriptomic reference for hematopoietic populations, often used as a secondary check.</w:t>
      </w:r>
    </w:p>
    <w:p w14:paraId="5472CDB7" w14:textId="77777777" w:rsidR="00104335" w:rsidRPr="00702E05" w:rsidRDefault="00104335" w:rsidP="00104335">
      <w:pPr>
        <w:pStyle w:val="font-claude-response-body"/>
        <w:rPr>
          <w:rFonts w:asciiTheme="minorBidi" w:hAnsiTheme="minorBidi" w:cstheme="minorBidi"/>
        </w:rPr>
      </w:pPr>
      <w:r w:rsidRPr="00702E05">
        <w:rPr>
          <w:rFonts w:asciiTheme="minorBidi" w:hAnsiTheme="minorBidi" w:cstheme="minorBidi"/>
        </w:rPr>
        <w:t>Newer references worth knowing about:</w:t>
      </w:r>
    </w:p>
    <w:p w14:paraId="534AC58A" w14:textId="4B3445D1" w:rsidR="00104335" w:rsidRPr="00702E05" w:rsidRDefault="00104335" w:rsidP="00104335">
      <w:pPr>
        <w:pStyle w:val="font-claude-response-body"/>
        <w:numPr>
          <w:ilvl w:val="0"/>
          <w:numId w:val="4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Zeng et al. (2025, Blood Cancer Discovery)</w:t>
      </w:r>
      <w:r w:rsidRPr="00702E05">
        <w:rPr>
          <w:rFonts w:asciiTheme="minorBidi" w:hAnsiTheme="minorBidi" w:cstheme="minorBidi"/>
        </w:rPr>
        <w:t xml:space="preserve"> — a reference atlas of human hematopoiesis built from 263,159 single-cell transcriptomes spanning 55 cellular states, which they used to map more than 1.2 million cells across 318 leuk</w:t>
      </w:r>
      <w:r w:rsidR="004B4B7F">
        <w:rPr>
          <w:rFonts w:asciiTheme="minorBidi" w:hAnsiTheme="minorBidi" w:cstheme="minorBidi"/>
        </w:rPr>
        <w:t>a</w:t>
      </w:r>
      <w:r w:rsidRPr="00702E05">
        <w:rPr>
          <w:rFonts w:asciiTheme="minorBidi" w:hAnsiTheme="minorBidi" w:cstheme="minorBidi"/>
        </w:rPr>
        <w:t xml:space="preserve">emia samples, revealing 12 recurrent patterns of aberrant differentiation in AML. </w:t>
      </w:r>
      <w:r w:rsidRPr="004B4B7F">
        <w:rPr>
          <w:rFonts w:asciiTheme="minorBidi" w:hAnsiTheme="minorBidi" w:cstheme="minorBidi"/>
          <w:color w:val="00B0F0"/>
        </w:rPr>
        <w:t>This is becoming the modern successor to van Galen for large-scale projection studies</w:t>
      </w:r>
      <w:r w:rsidRPr="00702E05">
        <w:rPr>
          <w:rFonts w:asciiTheme="minorBidi" w:hAnsiTheme="minorBidi" w:cstheme="minorBidi"/>
        </w:rPr>
        <w:t xml:space="preserve"> </w:t>
      </w:r>
      <w:r w:rsidR="004B4B7F">
        <w:rPr>
          <w:rFonts w:asciiTheme="minorBidi" w:hAnsiTheme="minorBidi" w:cstheme="minorBidi"/>
        </w:rPr>
        <w:t>du</w:t>
      </w:r>
      <w:r w:rsidRPr="00702E05">
        <w:rPr>
          <w:rFonts w:asciiTheme="minorBidi" w:hAnsiTheme="minorBidi" w:cstheme="minorBidi"/>
        </w:rPr>
        <w:t xml:space="preserve">e </w:t>
      </w:r>
      <w:r w:rsidR="004B4B7F">
        <w:rPr>
          <w:rFonts w:asciiTheme="minorBidi" w:hAnsiTheme="minorBidi" w:cstheme="minorBidi"/>
        </w:rPr>
        <w:t>to</w:t>
      </w:r>
      <w:r w:rsidRPr="00702E05">
        <w:rPr>
          <w:rFonts w:asciiTheme="minorBidi" w:hAnsiTheme="minorBidi" w:cstheme="minorBidi"/>
        </w:rPr>
        <w:t xml:space="preserve"> </w:t>
      </w:r>
      <w:r w:rsidR="004B4B7F">
        <w:rPr>
          <w:rFonts w:asciiTheme="minorBidi" w:hAnsiTheme="minorBidi" w:cstheme="minorBidi"/>
        </w:rPr>
        <w:t>its</w:t>
      </w:r>
      <w:r w:rsidRPr="00702E05">
        <w:rPr>
          <w:rFonts w:asciiTheme="minorBidi" w:hAnsiTheme="minorBidi" w:cstheme="minorBidi"/>
        </w:rPr>
        <w:t xml:space="preserve"> much larger reference size. </w:t>
      </w:r>
      <w:hyperlink r:id="rId7" w:tgtFrame="_blank" w:history="1"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 xml:space="preserve">PubMed </w:t>
        </w:r>
        <w:proofErr w:type="spellStart"/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>Central</w:t>
        </w:r>
      </w:hyperlink>
      <w:hyperlink r:id="rId8" w:tgtFrame="_blank" w:history="1"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>American</w:t>
        </w:r>
        <w:proofErr w:type="spellEnd"/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 xml:space="preserve"> Association for Cancer Research</w:t>
        </w:r>
      </w:hyperlink>
    </w:p>
    <w:p w14:paraId="768913B9" w14:textId="77777777" w:rsidR="00104335" w:rsidRPr="00702E05" w:rsidRDefault="00104335" w:rsidP="00104335">
      <w:pPr>
        <w:pStyle w:val="font-claude-response-body"/>
        <w:numPr>
          <w:ilvl w:val="0"/>
          <w:numId w:val="4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Bandyopadhyay et al. (2024, Cell)</w:t>
      </w:r>
      <w:r w:rsidRPr="00702E05">
        <w:rPr>
          <w:rFonts w:asciiTheme="minorBidi" w:hAnsiTheme="minorBidi" w:cstheme="minorBidi"/>
        </w:rPr>
        <w:t xml:space="preserve"> — a spatially-resolved bone marrow atlas that uses reciprocal PCA reference mapping to classify cells in AML samples against a healthy atlas; useful for the niche-related populations you are working with, since it includes non-hematopoietic stromal compartments. </w:t>
      </w:r>
      <w:hyperlink r:id="rId9" w:tgtFrame="_blank" w:history="1">
        <w:r w:rsidRPr="00702E05">
          <w:rPr>
            <w:rStyle w:val="text-nowrap"/>
            <w:rFonts w:asciiTheme="minorBidi" w:hAnsiTheme="minorBidi" w:cstheme="minorBidi"/>
            <w:color w:val="0000FF"/>
            <w:u w:val="single"/>
          </w:rPr>
          <w:t>Cell Press</w:t>
        </w:r>
      </w:hyperlink>
    </w:p>
    <w:p w14:paraId="03C6A330" w14:textId="77777777" w:rsidR="00104335" w:rsidRPr="00702E05" w:rsidRDefault="00104335" w:rsidP="00104335">
      <w:pPr>
        <w:pStyle w:val="font-claude-response-body"/>
        <w:numPr>
          <w:ilvl w:val="0"/>
          <w:numId w:val="4"/>
        </w:numPr>
        <w:rPr>
          <w:rFonts w:asciiTheme="minorBidi" w:hAnsiTheme="minorBidi" w:cstheme="minorBidi"/>
        </w:rPr>
      </w:pPr>
      <w:r w:rsidRPr="00702E05">
        <w:rPr>
          <w:rStyle w:val="Strong"/>
          <w:rFonts w:asciiTheme="minorBidi" w:hAnsiTheme="minorBidi" w:cstheme="minorBidi"/>
        </w:rPr>
        <w:t>Lasry et al. (2022, Nature Cancer)</w:t>
      </w:r>
      <w:r w:rsidRPr="00702E05">
        <w:rPr>
          <w:rFonts w:asciiTheme="minorBidi" w:hAnsiTheme="minorBidi" w:cstheme="minorBidi"/>
        </w:rPr>
        <w:t xml:space="preserve"> — AML </w:t>
      </w:r>
      <w:proofErr w:type="spellStart"/>
      <w:r w:rsidRPr="00702E05">
        <w:rPr>
          <w:rFonts w:asciiTheme="minorBidi" w:hAnsiTheme="minorBidi" w:cstheme="minorBidi"/>
        </w:rPr>
        <w:t>scRNA-seq</w:t>
      </w:r>
      <w:proofErr w:type="spellEnd"/>
      <w:r w:rsidRPr="00702E05">
        <w:rPr>
          <w:rFonts w:asciiTheme="minorBidi" w:hAnsiTheme="minorBidi" w:cstheme="minorBidi"/>
        </w:rPr>
        <w:t xml:space="preserve"> with an inflammatory-microenvironment focus.</w:t>
      </w:r>
    </w:p>
    <w:p w14:paraId="766F0907" w14:textId="77777777" w:rsidR="00104335" w:rsidRPr="00702E05" w:rsidRDefault="00104335" w:rsidP="00104335">
      <w:pPr>
        <w:pStyle w:val="font-claude-response-body"/>
        <w:rPr>
          <w:rFonts w:asciiTheme="minorBidi" w:hAnsiTheme="minorBidi" w:cstheme="minorBidi"/>
        </w:rPr>
      </w:pPr>
      <w:r w:rsidRPr="00702E05">
        <w:rPr>
          <w:rFonts w:asciiTheme="minorBidi" w:hAnsiTheme="minorBidi" w:cstheme="minorBidi"/>
        </w:rPr>
        <w:lastRenderedPageBreak/>
        <w:t xml:space="preserve">A practical note specific to your study: identifying "AML vs normal" usually combines two strategies — reference mapping (van Galen or Zeng for the transcriptional comparison) plus an orthogonal genomic confirmation. For the latter, </w:t>
      </w:r>
      <w:proofErr w:type="spellStart"/>
      <w:r w:rsidRPr="00702E05">
        <w:rPr>
          <w:rStyle w:val="Strong"/>
          <w:rFonts w:asciiTheme="minorBidi" w:hAnsiTheme="minorBidi" w:cstheme="minorBidi"/>
        </w:rPr>
        <w:t>inferCNV</w:t>
      </w:r>
      <w:proofErr w:type="spellEnd"/>
      <w:r w:rsidRPr="00702E05">
        <w:rPr>
          <w:rStyle w:val="Strong"/>
          <w:rFonts w:asciiTheme="minorBidi" w:hAnsiTheme="minorBidi" w:cstheme="minorBidi"/>
        </w:rPr>
        <w:t xml:space="preserve"> / </w:t>
      </w:r>
      <w:proofErr w:type="spellStart"/>
      <w:r w:rsidRPr="00702E05">
        <w:rPr>
          <w:rStyle w:val="Strong"/>
          <w:rFonts w:asciiTheme="minorBidi" w:hAnsiTheme="minorBidi" w:cstheme="minorBidi"/>
        </w:rPr>
        <w:t>CopyKAT</w:t>
      </w:r>
      <w:proofErr w:type="spellEnd"/>
      <w:r w:rsidRPr="00702E05">
        <w:rPr>
          <w:rStyle w:val="Strong"/>
          <w:rFonts w:asciiTheme="minorBidi" w:hAnsiTheme="minorBidi" w:cstheme="minorBidi"/>
        </w:rPr>
        <w:t xml:space="preserve"> / numbat</w:t>
      </w:r>
      <w:r w:rsidRPr="00702E05">
        <w:rPr>
          <w:rFonts w:asciiTheme="minorBidi" w:hAnsiTheme="minorBidi" w:cstheme="minorBidi"/>
        </w:rPr>
        <w:t xml:space="preserve"> (CNV inference from </w:t>
      </w:r>
      <w:proofErr w:type="spellStart"/>
      <w:r w:rsidRPr="00702E05">
        <w:rPr>
          <w:rFonts w:asciiTheme="minorBidi" w:hAnsiTheme="minorBidi" w:cstheme="minorBidi"/>
        </w:rPr>
        <w:t>scRNA-seq</w:t>
      </w:r>
      <w:proofErr w:type="spellEnd"/>
      <w:r w:rsidRPr="00702E05">
        <w:rPr>
          <w:rFonts w:asciiTheme="minorBidi" w:hAnsiTheme="minorBidi" w:cstheme="minorBidi"/>
        </w:rPr>
        <w:t xml:space="preserve">) or </w:t>
      </w:r>
      <w:proofErr w:type="spellStart"/>
      <w:r w:rsidRPr="00702E05">
        <w:rPr>
          <w:rStyle w:val="Strong"/>
          <w:rFonts w:asciiTheme="minorBidi" w:hAnsiTheme="minorBidi" w:cstheme="minorBidi"/>
        </w:rPr>
        <w:t>Vartrix</w:t>
      </w:r>
      <w:proofErr w:type="spellEnd"/>
      <w:r w:rsidRPr="00702E05">
        <w:rPr>
          <w:rStyle w:val="Strong"/>
          <w:rFonts w:asciiTheme="minorBidi" w:hAnsiTheme="minorBidi" w:cstheme="minorBidi"/>
        </w:rPr>
        <w:t xml:space="preserve"> / MAESTER</w:t>
      </w:r>
      <w:r w:rsidRPr="00702E05">
        <w:rPr>
          <w:rFonts w:asciiTheme="minorBidi" w:hAnsiTheme="minorBidi" w:cstheme="minorBidi"/>
        </w:rPr>
        <w:t xml:space="preserve"> (mutation calling from </w:t>
      </w:r>
      <w:proofErr w:type="spellStart"/>
      <w:r w:rsidRPr="00702E05">
        <w:rPr>
          <w:rFonts w:asciiTheme="minorBidi" w:hAnsiTheme="minorBidi" w:cstheme="minorBidi"/>
        </w:rPr>
        <w:t>scRNA-seq</w:t>
      </w:r>
      <w:proofErr w:type="spellEnd"/>
      <w:r w:rsidRPr="00702E05">
        <w:rPr>
          <w:rFonts w:asciiTheme="minorBidi" w:hAnsiTheme="minorBidi" w:cstheme="minorBidi"/>
        </w:rPr>
        <w:t>) are the standard tools, and they are particularly important for ambiguous clusters like your CD16+ Mono/Macrophage — reference mapping alone may not resolve whether those cells are AML-derived monocytes or contaminating normal monocytes, but a CNV or mutation signal will.</w:t>
      </w:r>
    </w:p>
    <w:p w14:paraId="58C6BC38" w14:textId="77777777" w:rsidR="00104335" w:rsidRPr="00702E05" w:rsidRDefault="00104335">
      <w:pPr>
        <w:spacing w:after="120"/>
        <w:rPr>
          <w:rFonts w:asciiTheme="minorBidi" w:hAnsiTheme="minorBidi" w:cstheme="minorBidi"/>
        </w:rPr>
      </w:pPr>
    </w:p>
    <w:sectPr w:rsidR="00104335" w:rsidRPr="00702E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743"/>
    <w:multiLevelType w:val="multilevel"/>
    <w:tmpl w:val="43E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1EBB"/>
    <w:multiLevelType w:val="hybridMultilevel"/>
    <w:tmpl w:val="61CAE4C6"/>
    <w:lvl w:ilvl="0" w:tplc="05A4E010">
      <w:start w:val="1"/>
      <w:numFmt w:val="bullet"/>
      <w:lvlText w:val="●"/>
      <w:lvlJc w:val="left"/>
      <w:pPr>
        <w:ind w:left="720" w:hanging="360"/>
      </w:pPr>
    </w:lvl>
    <w:lvl w:ilvl="1" w:tplc="71A66872">
      <w:start w:val="1"/>
      <w:numFmt w:val="bullet"/>
      <w:lvlText w:val="○"/>
      <w:lvlJc w:val="left"/>
      <w:pPr>
        <w:ind w:left="1440" w:hanging="360"/>
      </w:pPr>
    </w:lvl>
    <w:lvl w:ilvl="2" w:tplc="3BD4AA32">
      <w:start w:val="1"/>
      <w:numFmt w:val="bullet"/>
      <w:lvlText w:val="■"/>
      <w:lvlJc w:val="left"/>
      <w:pPr>
        <w:ind w:left="2160" w:hanging="360"/>
      </w:pPr>
    </w:lvl>
    <w:lvl w:ilvl="3" w:tplc="E2789D68">
      <w:start w:val="1"/>
      <w:numFmt w:val="bullet"/>
      <w:lvlText w:val="●"/>
      <w:lvlJc w:val="left"/>
      <w:pPr>
        <w:ind w:left="2880" w:hanging="360"/>
      </w:pPr>
    </w:lvl>
    <w:lvl w:ilvl="4" w:tplc="1736B6FC">
      <w:start w:val="1"/>
      <w:numFmt w:val="bullet"/>
      <w:lvlText w:val="○"/>
      <w:lvlJc w:val="left"/>
      <w:pPr>
        <w:ind w:left="3600" w:hanging="360"/>
      </w:pPr>
    </w:lvl>
    <w:lvl w:ilvl="5" w:tplc="7E922A3E">
      <w:start w:val="1"/>
      <w:numFmt w:val="bullet"/>
      <w:lvlText w:val="■"/>
      <w:lvlJc w:val="left"/>
      <w:pPr>
        <w:ind w:left="4320" w:hanging="360"/>
      </w:pPr>
    </w:lvl>
    <w:lvl w:ilvl="6" w:tplc="183E8294">
      <w:start w:val="1"/>
      <w:numFmt w:val="bullet"/>
      <w:lvlText w:val="●"/>
      <w:lvlJc w:val="left"/>
      <w:pPr>
        <w:ind w:left="5040" w:hanging="360"/>
      </w:pPr>
    </w:lvl>
    <w:lvl w:ilvl="7" w:tplc="EBD863BA">
      <w:start w:val="1"/>
      <w:numFmt w:val="bullet"/>
      <w:lvlText w:val="●"/>
      <w:lvlJc w:val="left"/>
      <w:pPr>
        <w:ind w:left="5760" w:hanging="360"/>
      </w:pPr>
    </w:lvl>
    <w:lvl w:ilvl="8" w:tplc="540E32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A37EBB"/>
    <w:multiLevelType w:val="hybridMultilevel"/>
    <w:tmpl w:val="3C28398A"/>
    <w:lvl w:ilvl="0" w:tplc="E780D230">
      <w:start w:val="1"/>
      <w:numFmt w:val="bullet"/>
      <w:lvlText w:val="•"/>
      <w:lvlJc w:val="left"/>
      <w:pPr>
        <w:ind w:left="720" w:hanging="360"/>
      </w:pPr>
    </w:lvl>
    <w:lvl w:ilvl="1" w:tplc="13ACEE9E">
      <w:start w:val="1"/>
      <w:numFmt w:val="bullet"/>
      <w:lvlText w:val="◦"/>
      <w:lvlJc w:val="left"/>
      <w:pPr>
        <w:ind w:left="1440" w:hanging="360"/>
      </w:pPr>
    </w:lvl>
    <w:lvl w:ilvl="2" w:tplc="C3F05016">
      <w:numFmt w:val="decimal"/>
      <w:lvlText w:val=""/>
      <w:lvlJc w:val="left"/>
    </w:lvl>
    <w:lvl w:ilvl="3" w:tplc="DACE89B8">
      <w:numFmt w:val="decimal"/>
      <w:lvlText w:val=""/>
      <w:lvlJc w:val="left"/>
    </w:lvl>
    <w:lvl w:ilvl="4" w:tplc="F91EA822">
      <w:numFmt w:val="decimal"/>
      <w:lvlText w:val=""/>
      <w:lvlJc w:val="left"/>
    </w:lvl>
    <w:lvl w:ilvl="5" w:tplc="BBD6AAE4">
      <w:numFmt w:val="decimal"/>
      <w:lvlText w:val=""/>
      <w:lvlJc w:val="left"/>
    </w:lvl>
    <w:lvl w:ilvl="6" w:tplc="83ACC3B2">
      <w:numFmt w:val="decimal"/>
      <w:lvlText w:val=""/>
      <w:lvlJc w:val="left"/>
    </w:lvl>
    <w:lvl w:ilvl="7" w:tplc="F5A43AD0">
      <w:numFmt w:val="decimal"/>
      <w:lvlText w:val=""/>
      <w:lvlJc w:val="left"/>
    </w:lvl>
    <w:lvl w:ilvl="8" w:tplc="C526D48C">
      <w:numFmt w:val="decimal"/>
      <w:lvlText w:val=""/>
      <w:lvlJc w:val="left"/>
    </w:lvl>
  </w:abstractNum>
  <w:abstractNum w:abstractNumId="3" w15:restartNumberingAfterBreak="0">
    <w:nsid w:val="670B51BC"/>
    <w:multiLevelType w:val="multilevel"/>
    <w:tmpl w:val="B05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94430">
    <w:abstractNumId w:val="1"/>
    <w:lvlOverride w:ilvl="0">
      <w:startOverride w:val="1"/>
    </w:lvlOverride>
  </w:num>
  <w:num w:numId="2" w16cid:durableId="244926337">
    <w:abstractNumId w:val="2"/>
    <w:lvlOverride w:ilvl="0">
      <w:startOverride w:val="1"/>
    </w:lvlOverride>
  </w:num>
  <w:num w:numId="3" w16cid:durableId="926622294">
    <w:abstractNumId w:val="0"/>
  </w:num>
  <w:num w:numId="4" w16cid:durableId="110272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A6A"/>
    <w:rsid w:val="000759B6"/>
    <w:rsid w:val="00100F42"/>
    <w:rsid w:val="00104335"/>
    <w:rsid w:val="001A573E"/>
    <w:rsid w:val="003B4A8E"/>
    <w:rsid w:val="004B4B7F"/>
    <w:rsid w:val="005A2C78"/>
    <w:rsid w:val="00702E05"/>
    <w:rsid w:val="008511EA"/>
    <w:rsid w:val="008635EA"/>
    <w:rsid w:val="008A7A6A"/>
    <w:rsid w:val="00A13A6A"/>
    <w:rsid w:val="00E92D59"/>
    <w:rsid w:val="00F4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C1B50"/>
  <w15:docId w15:val="{ABEAC64D-FE39-0F4E-9B47-78D552CB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1043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104335"/>
  </w:style>
  <w:style w:type="character" w:customStyle="1" w:styleId="text-nowrap">
    <w:name w:val="text-nowrap"/>
    <w:basedOn w:val="DefaultParagraphFont"/>
    <w:rsid w:val="00104335"/>
  </w:style>
  <w:style w:type="character" w:styleId="Strong">
    <w:name w:val="Strong"/>
    <w:basedOn w:val="DefaultParagraphFont"/>
    <w:uiPriority w:val="22"/>
    <w:qFormat/>
    <w:rsid w:val="00104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crjournals.org/bloodcancerdiscov/article/6/4/307/763153/Single-cell-Transcriptional-Atlas-of-Hum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220977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467-019-11591-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science/article/pii/S000649711936591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ell.com/cell/fulltext/S0092-8674(24)00408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2101</Words>
  <Characters>11979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Ayeh Sadr</cp:lastModifiedBy>
  <cp:revision>4</cp:revision>
  <dcterms:created xsi:type="dcterms:W3CDTF">2026-05-13T15:47:00Z</dcterms:created>
  <dcterms:modified xsi:type="dcterms:W3CDTF">2026-05-23T07:33:00Z</dcterms:modified>
</cp:coreProperties>
</file>