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5E26" w14:textId="77777777" w:rsidR="008118C6" w:rsidRDefault="00000000">
      <w:pPr>
        <w:spacing w:after="4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scRNA-seq</w:t>
      </w:r>
      <w:proofErr w:type="spellEnd"/>
      <w:r>
        <w:rPr>
          <w:b/>
          <w:bCs/>
          <w:color w:val="1F3864"/>
          <w:sz w:val="26"/>
          <w:szCs w:val="26"/>
        </w:rPr>
        <w:t xml:space="preserve"> Analysis Instructions  —  ICR Project S34</w:t>
      </w:r>
    </w:p>
    <w:p w14:paraId="2DB59134" w14:textId="77777777" w:rsidR="008118C6" w:rsidRDefault="00000000">
      <w:pPr>
        <w:spacing w:after="100"/>
        <w:jc w:val="center"/>
      </w:pPr>
      <w:r>
        <w:rPr>
          <w:i/>
          <w:iCs/>
          <w:color w:val="555555"/>
          <w:sz w:val="19"/>
          <w:szCs w:val="19"/>
        </w:rPr>
        <w:t>Cardiff University  ·  3 patients (SRAML7, SRAML10, SRAML13)  ·  12 fixed samples  ·  March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1198"/>
        <w:gridCol w:w="795"/>
        <w:gridCol w:w="815"/>
        <w:gridCol w:w="815"/>
        <w:gridCol w:w="1154"/>
        <w:gridCol w:w="795"/>
        <w:gridCol w:w="815"/>
        <w:gridCol w:w="815"/>
        <w:gridCol w:w="452"/>
        <w:gridCol w:w="891"/>
      </w:tblGrid>
      <w:tr w:rsidR="008118C6" w14:paraId="1BA5BDC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</w:trPr>
        <w:tc>
          <w:tcPr>
            <w:tcW w:w="9360" w:type="dxa"/>
            <w:gridSpan w:val="10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990309D" w14:textId="77777777" w:rsidR="008118C6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1.  Sample Manifest  (n = 12 fixed samples — all carry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CloneTracker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XP barcodes)</w:t>
            </w:r>
          </w:p>
        </w:tc>
      </w:tr>
      <w:tr w:rsidR="008118C6" w14:paraId="783292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DF406" w14:textId="77777777" w:rsidR="008118C6" w:rsidRDefault="00000000">
            <w:r>
              <w:rPr>
                <w:b/>
                <w:bCs/>
                <w:color w:val="FFFFFF"/>
                <w:sz w:val="17"/>
                <w:szCs w:val="17"/>
              </w:rPr>
              <w:t>Tube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772A1" w14:textId="77777777" w:rsidR="008118C6" w:rsidRDefault="00000000">
            <w:r>
              <w:rPr>
                <w:b/>
                <w:bCs/>
                <w:color w:val="FFFFFF"/>
                <w:sz w:val="17"/>
                <w:szCs w:val="17"/>
              </w:rPr>
              <w:t>Patient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56C45" w14:textId="77777777" w:rsidR="008118C6" w:rsidRDefault="00000000">
            <w:r>
              <w:rPr>
                <w:b/>
                <w:bCs/>
                <w:color w:val="FFFFFF"/>
                <w:sz w:val="17"/>
                <w:szCs w:val="17"/>
              </w:rPr>
              <w:t>HS5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76E7A" w14:textId="77777777" w:rsidR="008118C6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AraC</w:t>
            </w:r>
            <w:proofErr w:type="spellEnd"/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62F3C" w14:textId="77777777" w:rsidR="008118C6" w:rsidRDefault="00000000">
            <w:r>
              <w:rPr>
                <w:b/>
                <w:bCs/>
                <w:color w:val="FFFFFF"/>
                <w:sz w:val="17"/>
                <w:szCs w:val="17"/>
              </w:rPr>
              <w:t>Cells ×10⁴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F06BD" w14:textId="77777777" w:rsidR="008118C6" w:rsidRDefault="00000000">
            <w:r>
              <w:rPr>
                <w:b/>
                <w:bCs/>
                <w:color w:val="FFFFFF"/>
                <w:sz w:val="17"/>
                <w:szCs w:val="17"/>
              </w:rPr>
              <w:t>Patient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2308A" w14:textId="77777777" w:rsidR="008118C6" w:rsidRDefault="00000000">
            <w:r>
              <w:rPr>
                <w:b/>
                <w:bCs/>
                <w:color w:val="FFFFFF"/>
                <w:sz w:val="17"/>
                <w:szCs w:val="17"/>
              </w:rPr>
              <w:t>HS5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CFA98" w14:textId="77777777" w:rsidR="008118C6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AraC</w:t>
            </w:r>
            <w:proofErr w:type="spellEnd"/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6789A" w14:textId="77777777" w:rsidR="008118C6" w:rsidRDefault="00000000">
            <w:r>
              <w:rPr>
                <w:b/>
                <w:bCs/>
                <w:color w:val="FFFFFF"/>
                <w:sz w:val="17"/>
                <w:szCs w:val="17"/>
              </w:rPr>
              <w:t>Cells ×10⁴</w:t>
            </w:r>
          </w:p>
        </w:tc>
        <w:tc>
          <w:tcPr>
            <w:tcW w:w="14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D8E8D" w14:textId="77777777" w:rsidR="008118C6" w:rsidRDefault="00000000">
            <w:r>
              <w:rPr>
                <w:b/>
                <w:bCs/>
                <w:color w:val="FFFFFF"/>
                <w:sz w:val="17"/>
                <w:szCs w:val="17"/>
              </w:rPr>
              <w:t>Condition label</w:t>
            </w:r>
          </w:p>
        </w:tc>
      </w:tr>
      <w:tr w:rsidR="008118C6" w14:paraId="3CA3ED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D61E6" w14:textId="77777777" w:rsidR="008118C6" w:rsidRDefault="00000000"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18867" w14:textId="77777777" w:rsidR="008118C6" w:rsidRDefault="00000000">
            <w:r>
              <w:rPr>
                <w:b/>
                <w:bCs/>
                <w:color w:val="000000"/>
                <w:sz w:val="18"/>
                <w:szCs w:val="18"/>
              </w:rPr>
              <w:t>SRAML7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A94B6" w14:textId="77777777" w:rsidR="008118C6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7D3EC" w14:textId="77777777" w:rsidR="008118C6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9DB5B" w14:textId="77777777" w:rsidR="008118C6" w:rsidRDefault="00000000">
            <w:r>
              <w:rPr>
                <w:color w:val="000000"/>
                <w:sz w:val="18"/>
                <w:szCs w:val="18"/>
              </w:rPr>
              <w:t>56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0E4A3" w14:textId="77777777" w:rsidR="008118C6" w:rsidRDefault="00000000"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00BFE" w14:textId="77777777" w:rsidR="008118C6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8F3C0" w14:textId="77777777" w:rsidR="008118C6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BFCD7" w14:textId="77777777" w:rsidR="008118C6" w:rsidRDefault="00000000">
            <w:r>
              <w:rPr>
                <w:color w:val="000000"/>
                <w:sz w:val="18"/>
                <w:szCs w:val="18"/>
              </w:rPr>
              <w:t>81</w:t>
            </w:r>
          </w:p>
        </w:tc>
        <w:tc>
          <w:tcPr>
            <w:tcW w:w="1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FBA1D" w14:textId="77777777" w:rsidR="008118C6" w:rsidRDefault="00000000">
            <w:r>
              <w:rPr>
                <w:color w:val="000000"/>
                <w:sz w:val="18"/>
                <w:szCs w:val="18"/>
              </w:rPr>
              <w:t>Untreated, no stromal</w:t>
            </w:r>
          </w:p>
        </w:tc>
      </w:tr>
      <w:tr w:rsidR="008118C6" w14:paraId="4CADDD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CC0EB" w14:textId="77777777" w:rsidR="008118C6" w:rsidRDefault="00000000"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1ED4F" w14:textId="77777777" w:rsidR="008118C6" w:rsidRDefault="00000000">
            <w:r>
              <w:rPr>
                <w:b/>
                <w:bCs/>
                <w:color w:val="000000"/>
                <w:sz w:val="18"/>
                <w:szCs w:val="18"/>
              </w:rPr>
              <w:t>SRAML7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9C5F1" w14:textId="77777777" w:rsidR="008118C6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B8B04" w14:textId="77777777" w:rsidR="008118C6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0D178" w14:textId="77777777" w:rsidR="008118C6" w:rsidRDefault="00000000"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0F191" w14:textId="77777777" w:rsidR="008118C6" w:rsidRDefault="00000000"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FFCA7" w14:textId="77777777" w:rsidR="008118C6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C5641" w14:textId="77777777" w:rsidR="008118C6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5CF50" w14:textId="77777777" w:rsidR="008118C6" w:rsidRDefault="00000000"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1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EDF6B" w14:textId="77777777" w:rsidR="008118C6" w:rsidRDefault="00000000">
            <w:proofErr w:type="spellStart"/>
            <w:r>
              <w:rPr>
                <w:color w:val="000000"/>
                <w:sz w:val="18"/>
                <w:szCs w:val="18"/>
              </w:rPr>
              <w:t>AraC</w:t>
            </w:r>
            <w:proofErr w:type="spellEnd"/>
            <w:r>
              <w:rPr>
                <w:color w:val="000000"/>
                <w:sz w:val="18"/>
                <w:szCs w:val="18"/>
              </w:rPr>
              <w:t>-treated, no stromal</w:t>
            </w:r>
          </w:p>
        </w:tc>
      </w:tr>
      <w:tr w:rsidR="008118C6" w14:paraId="26D8EB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76D3E" w14:textId="77777777" w:rsidR="008118C6" w:rsidRDefault="00000000"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6BA71" w14:textId="77777777" w:rsidR="008118C6" w:rsidRDefault="00000000">
            <w:r>
              <w:rPr>
                <w:b/>
                <w:bCs/>
                <w:color w:val="000000"/>
                <w:sz w:val="18"/>
                <w:szCs w:val="18"/>
              </w:rPr>
              <w:t>SRAML7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B4F7F" w14:textId="77777777" w:rsidR="008118C6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5C229" w14:textId="77777777" w:rsidR="008118C6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4F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65EA8" w14:textId="77777777" w:rsidR="008118C6" w:rsidRDefault="00000000"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A42FA" w14:textId="77777777" w:rsidR="008118C6" w:rsidRDefault="00000000"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832AF" w14:textId="77777777" w:rsidR="008118C6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D3073" w14:textId="77777777" w:rsidR="008118C6" w:rsidRDefault="00000000">
            <w:r>
              <w:rPr>
                <w:color w:val="000000"/>
                <w:sz w:val="18"/>
                <w:szCs w:val="18"/>
              </w:rPr>
              <w:t>−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8938E" w14:textId="77777777" w:rsidR="008118C6" w:rsidRDefault="00000000">
            <w:r>
              <w:rPr>
                <w:color w:val="000000"/>
                <w:sz w:val="18"/>
                <w:szCs w:val="18"/>
              </w:rPr>
              <w:t>52.5</w:t>
            </w:r>
          </w:p>
        </w:tc>
        <w:tc>
          <w:tcPr>
            <w:tcW w:w="1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F0E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17818" w14:textId="77777777" w:rsidR="008118C6" w:rsidRDefault="00000000">
            <w:r>
              <w:rPr>
                <w:color w:val="000000"/>
                <w:sz w:val="18"/>
                <w:szCs w:val="18"/>
              </w:rPr>
              <w:t>Untreated, +stromal</w:t>
            </w:r>
          </w:p>
        </w:tc>
      </w:tr>
      <w:tr w:rsidR="008118C6" w14:paraId="7ACE72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DF74A" w14:textId="77777777" w:rsidR="008118C6" w:rsidRDefault="00000000"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4C186" w14:textId="77777777" w:rsidR="008118C6" w:rsidRDefault="00000000">
            <w:r>
              <w:rPr>
                <w:b/>
                <w:bCs/>
                <w:color w:val="000000"/>
                <w:sz w:val="18"/>
                <w:szCs w:val="18"/>
              </w:rPr>
              <w:t>SRAML7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12465" w14:textId="77777777" w:rsidR="008118C6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E1420" w14:textId="77777777" w:rsidR="008118C6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6FCDF" w14:textId="77777777" w:rsidR="008118C6" w:rsidRDefault="00000000"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FCA8F" w14:textId="77777777" w:rsidR="008118C6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A97BC" w14:textId="77777777" w:rsidR="008118C6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BBB38" w14:textId="77777777" w:rsidR="008118C6" w:rsidRDefault="00000000"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A4ED3" w14:textId="77777777" w:rsidR="008118C6" w:rsidRDefault="00000000">
            <w:r>
              <w:rPr>
                <w:color w:val="000000"/>
                <w:sz w:val="18"/>
                <w:szCs w:val="18"/>
              </w:rPr>
              <w:t>18.2</w:t>
            </w:r>
          </w:p>
        </w:tc>
        <w:tc>
          <w:tcPr>
            <w:tcW w:w="14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EDBAD" w14:textId="77777777" w:rsidR="008118C6" w:rsidRDefault="00000000">
            <w:proofErr w:type="spellStart"/>
            <w:r>
              <w:rPr>
                <w:color w:val="000000"/>
                <w:sz w:val="18"/>
                <w:szCs w:val="18"/>
              </w:rPr>
              <w:t>AraC</w:t>
            </w:r>
            <w:proofErr w:type="spellEnd"/>
            <w:r>
              <w:rPr>
                <w:color w:val="000000"/>
                <w:sz w:val="18"/>
                <w:szCs w:val="18"/>
              </w:rPr>
              <w:t>-treated, +stromal</w:t>
            </w:r>
          </w:p>
        </w:tc>
      </w:tr>
    </w:tbl>
    <w:p w14:paraId="5D12808F" w14:textId="77777777" w:rsidR="008118C6" w:rsidRDefault="00000000">
      <w:pPr>
        <w:spacing w:before="36" w:after="60"/>
      </w:pPr>
      <w:r>
        <w:rPr>
          <w:i/>
          <w:iCs/>
          <w:color w:val="555555"/>
          <w:sz w:val="17"/>
          <w:szCs w:val="17"/>
        </w:rPr>
        <w:t>Columns 2–5: SRAML7 (Patient 1)  /  Columns 6–9: SRAML13 (Patient 3).  SRAML10 (Patient 2): tubes 11 (−/−, 28), 12 (−/+, 17), 15 (+/−, 7.5*), 16 (+/+, 6.75*).  * Low cell count — use with caution.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8C6" w14:paraId="4B9686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9DAD7D3" w14:textId="77777777" w:rsidR="008118C6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2.  Analysis 1  —  Effect of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AraC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treatment  (within each niche condition)</w:t>
            </w:r>
          </w:p>
        </w:tc>
      </w:tr>
    </w:tbl>
    <w:p w14:paraId="68AE1113" w14:textId="77777777" w:rsidR="008118C6" w:rsidRDefault="00000000">
      <w:pPr>
        <w:spacing w:before="50" w:after="28"/>
      </w:pPr>
      <w:r>
        <w:rPr>
          <w:b/>
          <w:bCs/>
          <w:color w:val="000000"/>
          <w:sz w:val="19"/>
          <w:szCs w:val="19"/>
        </w:rPr>
        <w:t xml:space="preserve">Compare:  </w:t>
      </w:r>
      <w:r>
        <w:rPr>
          <w:color w:val="000000"/>
          <w:sz w:val="19"/>
          <w:szCs w:val="19"/>
        </w:rPr>
        <w:t>3 vs 4  ·  7 vs 8  (SRAML7)    11 vs 12  ·  15 vs 16  (SRAML10)    17 vs 18  ·  19 vs 20  (SRAML13)</w:t>
      </w:r>
    </w:p>
    <w:p w14:paraId="78D1FDEF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>Is any cell population or cluster enriched in +</w:t>
      </w:r>
      <w:proofErr w:type="spellStart"/>
      <w:r>
        <w:rPr>
          <w:color w:val="000000"/>
          <w:sz w:val="19"/>
          <w:szCs w:val="19"/>
        </w:rPr>
        <w:t>AraC</w:t>
      </w:r>
      <w:proofErr w:type="spellEnd"/>
      <w:r>
        <w:rPr>
          <w:color w:val="000000"/>
          <w:sz w:val="19"/>
          <w:szCs w:val="19"/>
        </w:rPr>
        <w:t xml:space="preserve"> relative to −</w:t>
      </w:r>
      <w:proofErr w:type="spellStart"/>
      <w:r>
        <w:rPr>
          <w:color w:val="000000"/>
          <w:sz w:val="19"/>
          <w:szCs w:val="19"/>
        </w:rPr>
        <w:t>AraC</w:t>
      </w:r>
      <w:proofErr w:type="spellEnd"/>
      <w:r>
        <w:rPr>
          <w:color w:val="000000"/>
          <w:sz w:val="19"/>
          <w:szCs w:val="19"/>
        </w:rPr>
        <w:t>?</w:t>
      </w:r>
    </w:p>
    <w:p w14:paraId="2B07B994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>Test in both the no-stromal condition (−HS5) and the stromal condition (+HS5) separately.</w:t>
      </w:r>
    </w:p>
    <w:p w14:paraId="62673110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>Is there any transcriptional signature present in +</w:t>
      </w:r>
      <w:proofErr w:type="spellStart"/>
      <w:r>
        <w:rPr>
          <w:color w:val="000000"/>
          <w:sz w:val="19"/>
          <w:szCs w:val="19"/>
        </w:rPr>
        <w:t>AraC</w:t>
      </w:r>
      <w:proofErr w:type="spellEnd"/>
      <w:r>
        <w:rPr>
          <w:color w:val="000000"/>
          <w:sz w:val="19"/>
          <w:szCs w:val="19"/>
        </w:rPr>
        <w:t xml:space="preserve"> that was absent in −</w:t>
      </w:r>
      <w:proofErr w:type="spellStart"/>
      <w:r>
        <w:rPr>
          <w:color w:val="000000"/>
          <w:sz w:val="19"/>
          <w:szCs w:val="19"/>
        </w:rPr>
        <w:t>AraC</w:t>
      </w:r>
      <w:proofErr w:type="spellEnd"/>
      <w:r>
        <w:rPr>
          <w:color w:val="000000"/>
          <w:sz w:val="19"/>
          <w:szCs w:val="19"/>
        </w:rPr>
        <w:t>?</w:t>
      </w:r>
    </w:p>
    <w:p w14:paraId="2BD22BE6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 xml:space="preserve">Report clusters unique to treated samples; use differential cluster abundance analysis (Milo or </w:t>
      </w:r>
      <w:proofErr w:type="spellStart"/>
      <w:r>
        <w:rPr>
          <w:color w:val="000000"/>
          <w:sz w:val="19"/>
          <w:szCs w:val="19"/>
        </w:rPr>
        <w:t>scCODA</w:t>
      </w:r>
      <w:proofErr w:type="spellEnd"/>
      <w:r>
        <w:rPr>
          <w:color w:val="000000"/>
          <w:sz w:val="19"/>
          <w:szCs w:val="19"/>
        </w:rPr>
        <w:t>).</w:t>
      </w:r>
    </w:p>
    <w:p w14:paraId="38EADE69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 xml:space="preserve">Pseudo-bulk DGE (DESeq2 / </w:t>
      </w:r>
      <w:proofErr w:type="spellStart"/>
      <w:r>
        <w:rPr>
          <w:color w:val="000000"/>
          <w:sz w:val="19"/>
          <w:szCs w:val="19"/>
        </w:rPr>
        <w:t>edgeR</w:t>
      </w:r>
      <w:proofErr w:type="spellEnd"/>
      <w:r>
        <w:rPr>
          <w:color w:val="000000"/>
          <w:sz w:val="19"/>
          <w:szCs w:val="19"/>
        </w:rPr>
        <w:t>); adj. p &lt; 0.05, |log2FC| ≥ 0.5. Report volcano plots and top-DEG heatmaps.</w:t>
      </w:r>
    </w:p>
    <w:p w14:paraId="25634367" w14:textId="77777777" w:rsidR="008118C6" w:rsidRDefault="008118C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8C6" w14:paraId="4646A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C1D976A" w14:textId="77777777" w:rsidR="008118C6" w:rsidRDefault="00000000">
            <w:r>
              <w:rPr>
                <w:b/>
                <w:bCs/>
                <w:color w:val="FFFFFF"/>
                <w:sz w:val="21"/>
                <w:szCs w:val="21"/>
              </w:rPr>
              <w:t>3.  Analysis 2  —  Effect of HS5 stromal niche</w:t>
            </w:r>
          </w:p>
        </w:tc>
      </w:tr>
    </w:tbl>
    <w:p w14:paraId="1F314B99" w14:textId="77777777" w:rsidR="008118C6" w:rsidRDefault="00000000">
      <w:pPr>
        <w:spacing w:before="50" w:after="28"/>
      </w:pPr>
      <w:r>
        <w:rPr>
          <w:b/>
          <w:bCs/>
          <w:color w:val="000000"/>
          <w:sz w:val="19"/>
          <w:szCs w:val="19"/>
        </w:rPr>
        <w:t xml:space="preserve">Compare:  </w:t>
      </w:r>
      <w:r>
        <w:rPr>
          <w:color w:val="000000"/>
          <w:sz w:val="19"/>
          <w:szCs w:val="19"/>
        </w:rPr>
        <w:t>3 vs 7  ·  4 vs 8  (SRAML7)    11 vs 15  ·  12 vs 16  (SRAML10)    17 vs 19  ·  18 vs 20  (SRAML13)</w:t>
      </w:r>
    </w:p>
    <w:p w14:paraId="412DF4F7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>3 vs 7 / 11 vs 15 / 17 vs 19 — effect of HS5 niche on untreated leukaemia.</w:t>
      </w:r>
    </w:p>
    <w:p w14:paraId="1B1B6D0B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 xml:space="preserve">4 vs 8 / 12 vs 16 / 18 vs 20 — effect of HS5 niche on </w:t>
      </w:r>
      <w:proofErr w:type="spellStart"/>
      <w:r>
        <w:rPr>
          <w:color w:val="000000"/>
          <w:sz w:val="19"/>
          <w:szCs w:val="19"/>
        </w:rPr>
        <w:t>AraC</w:t>
      </w:r>
      <w:proofErr w:type="spellEnd"/>
      <w:r>
        <w:rPr>
          <w:color w:val="000000"/>
          <w:sz w:val="19"/>
          <w:szCs w:val="19"/>
        </w:rPr>
        <w:t>-treated leukaemia (niche-mediated resistance).</w:t>
      </w:r>
    </w:p>
    <w:p w14:paraId="0632F326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>For each comparison: is there any signature in the +HS5 sample that is different from −HS5?</w:t>
      </w:r>
    </w:p>
    <w:p w14:paraId="6BA6BC76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>If yes: perform gene enrichment analysis and pathway analysis (activated / deactivated signalling).</w:t>
      </w:r>
    </w:p>
    <w:p w14:paraId="7698FBE4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 xml:space="preserve">Use </w:t>
      </w:r>
      <w:proofErr w:type="spellStart"/>
      <w:r>
        <w:rPr>
          <w:color w:val="000000"/>
          <w:sz w:val="19"/>
          <w:szCs w:val="19"/>
        </w:rPr>
        <w:t>MSigDB</w:t>
      </w:r>
      <w:proofErr w:type="spellEnd"/>
      <w:r>
        <w:rPr>
          <w:color w:val="000000"/>
          <w:sz w:val="19"/>
          <w:szCs w:val="19"/>
        </w:rPr>
        <w:t xml:space="preserve"> gene sets: Hallmark, KEGG, </w:t>
      </w:r>
      <w:proofErr w:type="spellStart"/>
      <w:r>
        <w:rPr>
          <w:color w:val="000000"/>
          <w:sz w:val="19"/>
          <w:szCs w:val="19"/>
        </w:rPr>
        <w:t>Reactome</w:t>
      </w:r>
      <w:proofErr w:type="spellEnd"/>
      <w:r>
        <w:rPr>
          <w:color w:val="000000"/>
          <w:sz w:val="19"/>
          <w:szCs w:val="19"/>
        </w:rPr>
        <w:t>, GO Biological Process (</w:t>
      </w:r>
      <w:proofErr w:type="spellStart"/>
      <w:r>
        <w:rPr>
          <w:color w:val="000000"/>
          <w:sz w:val="19"/>
          <w:szCs w:val="19"/>
        </w:rPr>
        <w:t>fgsea</w:t>
      </w:r>
      <w:proofErr w:type="spellEnd"/>
      <w:r>
        <w:rPr>
          <w:color w:val="000000"/>
          <w:sz w:val="19"/>
          <w:szCs w:val="19"/>
        </w:rPr>
        <w:t xml:space="preserve"> / </w:t>
      </w:r>
      <w:proofErr w:type="spellStart"/>
      <w:r>
        <w:rPr>
          <w:color w:val="000000"/>
          <w:sz w:val="19"/>
          <w:szCs w:val="19"/>
        </w:rPr>
        <w:t>clusterProfiler</w:t>
      </w:r>
      <w:proofErr w:type="spellEnd"/>
      <w:r>
        <w:rPr>
          <w:color w:val="000000"/>
          <w:sz w:val="19"/>
          <w:szCs w:val="19"/>
        </w:rPr>
        <w:t xml:space="preserve"> / </w:t>
      </w:r>
      <w:proofErr w:type="spellStart"/>
      <w:r>
        <w:rPr>
          <w:color w:val="000000"/>
          <w:sz w:val="19"/>
          <w:szCs w:val="19"/>
        </w:rPr>
        <w:t>gseapy</w:t>
      </w:r>
      <w:proofErr w:type="spellEnd"/>
      <w:r>
        <w:rPr>
          <w:color w:val="000000"/>
          <w:sz w:val="19"/>
          <w:szCs w:val="19"/>
        </w:rPr>
        <w:t>).</w:t>
      </w:r>
    </w:p>
    <w:p w14:paraId="660451F0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>Report top 20 pathways per comparison as ranked bubble plots (NES vs −log10 adj. p).</w:t>
      </w:r>
    </w:p>
    <w:p w14:paraId="4EC8449F" w14:textId="77777777" w:rsidR="008118C6" w:rsidRDefault="008118C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8C6" w14:paraId="5945D1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3FD58D5" w14:textId="77777777" w:rsidR="008118C6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4.  Analysis 3  — 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CloneTracker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barcode detection and clonal tracking</w:t>
            </w:r>
          </w:p>
        </w:tc>
      </w:tr>
      <w:tr w:rsidR="008118C6" w14:paraId="3670AB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42B2B"/>
              <w:left w:val="single" w:sz="1" w:space="0" w:color="842B2B"/>
              <w:bottom w:val="single" w:sz="1" w:space="0" w:color="842B2B"/>
              <w:right w:val="single" w:sz="1" w:space="0" w:color="842B2B"/>
            </w:tcBorders>
            <w:shd w:val="clear" w:color="auto" w:fill="FDECEC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668C7BA7" w14:textId="77777777" w:rsidR="008118C6" w:rsidRDefault="00000000">
            <w:r>
              <w:rPr>
                <w:color w:val="000000"/>
                <w:sz w:val="19"/>
                <w:szCs w:val="19"/>
              </w:rPr>
              <w:t xml:space="preserve">Pre-requisite: confirm with ICR that </w:t>
            </w:r>
            <w:proofErr w:type="spellStart"/>
            <w:r>
              <w:rPr>
                <w:color w:val="000000"/>
                <w:sz w:val="19"/>
                <w:szCs w:val="19"/>
              </w:rPr>
              <w:t>CloneTracker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barcode sequences were captured in the sequencing library</w:t>
            </w:r>
          </w:p>
        </w:tc>
      </w:tr>
      <w:tr w:rsidR="008118C6" w14:paraId="2FD82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42B2B"/>
              <w:left w:val="single" w:sz="1" w:space="0" w:color="842B2B"/>
              <w:bottom w:val="single" w:sz="1" w:space="0" w:color="842B2B"/>
              <w:right w:val="single" w:sz="1" w:space="0" w:color="842B2B"/>
            </w:tcBorders>
            <w:shd w:val="clear" w:color="auto" w:fill="FDECEC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1B79EF25" w14:textId="77777777" w:rsidR="008118C6" w:rsidRDefault="00000000">
            <w:r>
              <w:rPr>
                <w:color w:val="000000"/>
                <w:sz w:val="19"/>
                <w:szCs w:val="19"/>
              </w:rPr>
              <w:t>(feature barcoding / Cell Ranger multi). If not, a separate targeted amplicon-</w:t>
            </w:r>
            <w:proofErr w:type="spellStart"/>
            <w:r>
              <w:rPr>
                <w:color w:val="000000"/>
                <w:sz w:val="19"/>
                <w:szCs w:val="19"/>
              </w:rPr>
              <w:t>seq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run may be required.</w:t>
            </w:r>
          </w:p>
        </w:tc>
      </w:tr>
    </w:tbl>
    <w:p w14:paraId="1205B596" w14:textId="77777777" w:rsidR="008118C6" w:rsidRDefault="00000000">
      <w:pPr>
        <w:spacing w:before="40" w:after="20"/>
      </w:pPr>
      <w:r>
        <w:rPr>
          <w:b/>
          <w:bCs/>
          <w:color w:val="000000"/>
          <w:sz w:val="19"/>
          <w:szCs w:val="19"/>
        </w:rPr>
        <w:t xml:space="preserve">Detection  </w:t>
      </w:r>
    </w:p>
    <w:p w14:paraId="0013EFF2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 xml:space="preserve">Can </w:t>
      </w:r>
      <w:proofErr w:type="spellStart"/>
      <w:r>
        <w:rPr>
          <w:color w:val="000000"/>
          <w:sz w:val="19"/>
          <w:szCs w:val="19"/>
        </w:rPr>
        <w:t>CloneTracker</w:t>
      </w:r>
      <w:proofErr w:type="spellEnd"/>
      <w:r>
        <w:rPr>
          <w:color w:val="000000"/>
          <w:sz w:val="19"/>
          <w:szCs w:val="19"/>
        </w:rPr>
        <w:t xml:space="preserve"> barcodes be detected in all 12 samples? Report: % cells with barcode, UMI distribution, unique barcode count per sample.</w:t>
      </w:r>
    </w:p>
    <w:p w14:paraId="17E8D016" w14:textId="77777777" w:rsidR="008118C6" w:rsidRDefault="00000000">
      <w:pPr>
        <w:spacing w:before="40" w:after="20"/>
      </w:pPr>
      <w:r>
        <w:rPr>
          <w:b/>
          <w:bCs/>
          <w:color w:val="000000"/>
          <w:sz w:val="19"/>
          <w:szCs w:val="19"/>
        </w:rPr>
        <w:t xml:space="preserve">Clonal overlap  </w:t>
      </w:r>
    </w:p>
    <w:p w14:paraId="5983A62C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>Can the same barcode(s) be identified in both −</w:t>
      </w:r>
      <w:proofErr w:type="spellStart"/>
      <w:r>
        <w:rPr>
          <w:color w:val="000000"/>
          <w:sz w:val="19"/>
          <w:szCs w:val="19"/>
        </w:rPr>
        <w:t>AraC</w:t>
      </w:r>
      <w:proofErr w:type="spellEnd"/>
      <w:r>
        <w:rPr>
          <w:color w:val="000000"/>
          <w:sz w:val="19"/>
          <w:szCs w:val="19"/>
        </w:rPr>
        <w:t xml:space="preserve"> and +</w:t>
      </w:r>
      <w:proofErr w:type="spellStart"/>
      <w:r>
        <w:rPr>
          <w:color w:val="000000"/>
          <w:sz w:val="19"/>
          <w:szCs w:val="19"/>
        </w:rPr>
        <w:t>AraC</w:t>
      </w:r>
      <w:proofErr w:type="spellEnd"/>
      <w:r>
        <w:rPr>
          <w:color w:val="000000"/>
          <w:sz w:val="19"/>
          <w:szCs w:val="19"/>
        </w:rPr>
        <w:t xml:space="preserve"> samples of the same patient?</w:t>
      </w:r>
    </w:p>
    <w:p w14:paraId="2A8AC6BD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>Pairs to test (</w:t>
      </w:r>
      <w:proofErr w:type="gramStart"/>
      <w:r>
        <w:rPr>
          <w:color w:val="000000"/>
          <w:sz w:val="19"/>
          <w:szCs w:val="19"/>
        </w:rPr>
        <w:t>no-stromal</w:t>
      </w:r>
      <w:proofErr w:type="gramEnd"/>
      <w:r>
        <w:rPr>
          <w:color w:val="000000"/>
          <w:sz w:val="19"/>
          <w:szCs w:val="19"/>
        </w:rPr>
        <w:t>): 3↔4, 11↔12, 17↔18.  Pairs to test (stromal): 7↔8, 15↔16, 19↔20.</w:t>
      </w:r>
    </w:p>
    <w:p w14:paraId="28F6FF60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 xml:space="preserve">Report Jaccard similarity; Sankey / alluvial plots; proportion of barcodes surviving </w:t>
      </w:r>
      <w:proofErr w:type="spellStart"/>
      <w:r>
        <w:rPr>
          <w:color w:val="000000"/>
          <w:sz w:val="19"/>
          <w:szCs w:val="19"/>
        </w:rPr>
        <w:t>AraC</w:t>
      </w:r>
      <w:proofErr w:type="spellEnd"/>
      <w:r>
        <w:rPr>
          <w:color w:val="000000"/>
          <w:sz w:val="19"/>
          <w:szCs w:val="19"/>
        </w:rPr>
        <w:t xml:space="preserve"> treatment.</w:t>
      </w:r>
    </w:p>
    <w:p w14:paraId="26AFE0FD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>Can the same barcode(s) be identified across all four conditions of a patient (3,4,7,8 / 11,12,15,16 / 17,18,19,20)?</w:t>
      </w:r>
    </w:p>
    <w:p w14:paraId="44571EF4" w14:textId="77777777" w:rsidR="008118C6" w:rsidRDefault="00000000">
      <w:pPr>
        <w:spacing w:before="40" w:after="20"/>
      </w:pPr>
      <w:r>
        <w:rPr>
          <w:b/>
          <w:bCs/>
          <w:color w:val="000000"/>
          <w:sz w:val="19"/>
          <w:szCs w:val="19"/>
        </w:rPr>
        <w:t xml:space="preserve">Clone-specific gene expression  </w:t>
      </w:r>
    </w:p>
    <w:p w14:paraId="5D4B56B2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>For cells sharing the same barcode in −</w:t>
      </w:r>
      <w:proofErr w:type="spellStart"/>
      <w:r>
        <w:rPr>
          <w:color w:val="000000"/>
          <w:sz w:val="19"/>
          <w:szCs w:val="19"/>
        </w:rPr>
        <w:t>AraC</w:t>
      </w:r>
      <w:proofErr w:type="spellEnd"/>
      <w:r>
        <w:rPr>
          <w:color w:val="000000"/>
          <w:sz w:val="19"/>
          <w:szCs w:val="19"/>
        </w:rPr>
        <w:t xml:space="preserve"> vs +</w:t>
      </w:r>
      <w:proofErr w:type="spellStart"/>
      <w:r>
        <w:rPr>
          <w:color w:val="000000"/>
          <w:sz w:val="19"/>
          <w:szCs w:val="19"/>
        </w:rPr>
        <w:t>AraC</w:t>
      </w:r>
      <w:proofErr w:type="spellEnd"/>
      <w:r>
        <w:rPr>
          <w:color w:val="000000"/>
          <w:sz w:val="19"/>
          <w:szCs w:val="19"/>
        </w:rPr>
        <w:t>: has the gene expression signature changed?</w:t>
      </w:r>
    </w:p>
    <w:p w14:paraId="2E49E59F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>Perform DGE on same-barcode cells between conditions. Repeat per niche condition (−HS5 and +HS5).</w:t>
      </w:r>
    </w:p>
    <w:p w14:paraId="63FAE15F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>For barcodes present across all four conditions: what gene expression alterations can be observed?</w:t>
      </w:r>
    </w:p>
    <w:p w14:paraId="2AA4E6D5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 xml:space="preserve">Construct </w:t>
      </w:r>
      <w:proofErr w:type="spellStart"/>
      <w:r>
        <w:rPr>
          <w:color w:val="000000"/>
          <w:sz w:val="19"/>
          <w:szCs w:val="19"/>
        </w:rPr>
        <w:t>pseudotime</w:t>
      </w:r>
      <w:proofErr w:type="spellEnd"/>
      <w:r>
        <w:rPr>
          <w:color w:val="000000"/>
          <w:sz w:val="19"/>
          <w:szCs w:val="19"/>
        </w:rPr>
        <w:t xml:space="preserve"> / trajectory analysis (Monocle3 or </w:t>
      </w:r>
      <w:proofErr w:type="spellStart"/>
      <w:r>
        <w:rPr>
          <w:color w:val="000000"/>
          <w:sz w:val="19"/>
          <w:szCs w:val="19"/>
        </w:rPr>
        <w:t>scVelo</w:t>
      </w:r>
      <w:proofErr w:type="spellEnd"/>
      <w:r>
        <w:rPr>
          <w:color w:val="000000"/>
          <w:sz w:val="19"/>
          <w:szCs w:val="19"/>
        </w:rPr>
        <w:t>) for multi-condition shared clones.</w:t>
      </w:r>
    </w:p>
    <w:p w14:paraId="133853BF" w14:textId="77777777" w:rsidR="008118C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18C6" w14:paraId="353321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2F17C1C" w14:textId="77777777" w:rsidR="008118C6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5.  Analysis 4  —  AML differentiation staging and cell cycle</w:t>
            </w:r>
          </w:p>
        </w:tc>
      </w:tr>
    </w:tbl>
    <w:p w14:paraId="0588CD1E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>AML cells span a continuum from leukaemic stem cells (LSCs) to committed progenitors and differentiated lineages.</w:t>
      </w:r>
    </w:p>
    <w:p w14:paraId="6C31AAFF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>Using the AML reference datasets provided (and/or publicly available references below), cluster all analysed cells by differentiation stage and cell cycle phase.</w:t>
      </w:r>
    </w:p>
    <w:p w14:paraId="4879F431" w14:textId="77777777" w:rsidR="008118C6" w:rsidRDefault="00000000">
      <w:pPr>
        <w:spacing w:before="40" w:after="20"/>
      </w:pPr>
      <w:r>
        <w:rPr>
          <w:b/>
          <w:bCs/>
          <w:color w:val="000000"/>
          <w:sz w:val="19"/>
          <w:szCs w:val="19"/>
        </w:rPr>
        <w:t xml:space="preserve">Reference datasets to use:  </w:t>
      </w:r>
    </w:p>
    <w:p w14:paraId="0999E9E0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 xml:space="preserve">van Galen et al. 2019 (Cell) — AML single-cell hierarchy: LSC, MLP, GMP, </w:t>
      </w:r>
      <w:proofErr w:type="spellStart"/>
      <w:r>
        <w:rPr>
          <w:color w:val="000000"/>
          <w:sz w:val="19"/>
          <w:szCs w:val="19"/>
        </w:rPr>
        <w:t>ProMono</w:t>
      </w:r>
      <w:proofErr w:type="spellEnd"/>
      <w:r>
        <w:rPr>
          <w:color w:val="000000"/>
          <w:sz w:val="19"/>
          <w:szCs w:val="19"/>
        </w:rPr>
        <w:t xml:space="preserve">, Mono, </w:t>
      </w:r>
      <w:proofErr w:type="spellStart"/>
      <w:r>
        <w:rPr>
          <w:color w:val="000000"/>
          <w:sz w:val="19"/>
          <w:szCs w:val="19"/>
        </w:rPr>
        <w:t>cDC</w:t>
      </w:r>
      <w:proofErr w:type="spellEnd"/>
      <w:r>
        <w:rPr>
          <w:color w:val="000000"/>
          <w:sz w:val="19"/>
          <w:szCs w:val="19"/>
        </w:rPr>
        <w:t xml:space="preserve"> labels.  [Primary reference — use for label transfer via </w:t>
      </w:r>
      <w:proofErr w:type="gramStart"/>
      <w:r>
        <w:rPr>
          <w:color w:val="000000"/>
          <w:sz w:val="19"/>
          <w:szCs w:val="19"/>
        </w:rPr>
        <w:t>Seurat::</w:t>
      </w:r>
      <w:proofErr w:type="spellStart"/>
      <w:proofErr w:type="gramEnd"/>
      <w:r>
        <w:rPr>
          <w:color w:val="000000"/>
          <w:sz w:val="19"/>
          <w:szCs w:val="19"/>
        </w:rPr>
        <w:t>TransferData</w:t>
      </w:r>
      <w:proofErr w:type="spellEnd"/>
      <w:r>
        <w:rPr>
          <w:color w:val="000000"/>
          <w:sz w:val="19"/>
          <w:szCs w:val="19"/>
        </w:rPr>
        <w:t xml:space="preserve">() or </w:t>
      </w:r>
      <w:proofErr w:type="spellStart"/>
      <w:r>
        <w:rPr>
          <w:color w:val="000000"/>
          <w:sz w:val="19"/>
          <w:szCs w:val="19"/>
        </w:rPr>
        <w:t>scArches</w:t>
      </w:r>
      <w:proofErr w:type="spellEnd"/>
      <w:r>
        <w:rPr>
          <w:color w:val="000000"/>
          <w:sz w:val="19"/>
          <w:szCs w:val="19"/>
        </w:rPr>
        <w:t>/</w:t>
      </w:r>
      <w:proofErr w:type="spellStart"/>
      <w:r>
        <w:rPr>
          <w:color w:val="000000"/>
          <w:sz w:val="19"/>
          <w:szCs w:val="19"/>
        </w:rPr>
        <w:t>scANVI</w:t>
      </w:r>
      <w:proofErr w:type="spellEnd"/>
      <w:r>
        <w:rPr>
          <w:color w:val="000000"/>
          <w:sz w:val="19"/>
          <w:szCs w:val="19"/>
        </w:rPr>
        <w:t>]</w:t>
      </w:r>
    </w:p>
    <w:p w14:paraId="70ADE354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 xml:space="preserve">LSC17 gene signature (Ng et al. 2016, Nature) — score each cell using </w:t>
      </w:r>
      <w:proofErr w:type="spellStart"/>
      <w:r>
        <w:rPr>
          <w:color w:val="000000"/>
          <w:sz w:val="19"/>
          <w:szCs w:val="19"/>
        </w:rPr>
        <w:t>AddModuleScore</w:t>
      </w:r>
      <w:proofErr w:type="spellEnd"/>
      <w:r>
        <w:rPr>
          <w:color w:val="000000"/>
          <w:sz w:val="19"/>
          <w:szCs w:val="19"/>
        </w:rPr>
        <w:t xml:space="preserve">() or </w:t>
      </w:r>
      <w:proofErr w:type="spellStart"/>
      <w:r>
        <w:rPr>
          <w:color w:val="000000"/>
          <w:sz w:val="19"/>
          <w:szCs w:val="19"/>
        </w:rPr>
        <w:t>AUCell</w:t>
      </w:r>
      <w:proofErr w:type="spellEnd"/>
      <w:r>
        <w:rPr>
          <w:color w:val="000000"/>
          <w:sz w:val="19"/>
          <w:szCs w:val="19"/>
        </w:rPr>
        <w:t>.</w:t>
      </w:r>
    </w:p>
    <w:p w14:paraId="59F70D1E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r>
        <w:rPr>
          <w:color w:val="000000"/>
          <w:sz w:val="19"/>
          <w:szCs w:val="19"/>
        </w:rPr>
        <w:t>Tirosh et al. 2016 G1/S/G2M gene lists — cell cycle regression and phase assignment.</w:t>
      </w:r>
    </w:p>
    <w:p w14:paraId="75BF1E9F" w14:textId="77777777" w:rsidR="008118C6" w:rsidRDefault="00000000">
      <w:pPr>
        <w:pStyle w:val="ListParagraph"/>
        <w:numPr>
          <w:ilvl w:val="1"/>
          <w:numId w:val="2"/>
        </w:numPr>
        <w:spacing w:before="28" w:after="28"/>
      </w:pPr>
      <w:proofErr w:type="spellStart"/>
      <w:r>
        <w:rPr>
          <w:color w:val="000000"/>
          <w:sz w:val="19"/>
          <w:szCs w:val="19"/>
        </w:rPr>
        <w:t>BeatAML</w:t>
      </w:r>
      <w:proofErr w:type="spellEnd"/>
      <w:r>
        <w:rPr>
          <w:color w:val="000000"/>
          <w:sz w:val="19"/>
          <w:szCs w:val="19"/>
        </w:rPr>
        <w:t xml:space="preserve"> (Tyner et al. 2018, Nature) — for cross-reference of transcriptional subtypes.</w:t>
      </w:r>
    </w:p>
    <w:p w14:paraId="4006BB17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>Report per condition and per patient: proportions of each differentiation state; LSC17 score distribution; cell cycle phase distribution.</w:t>
      </w:r>
    </w:p>
    <w:p w14:paraId="5D44289C" w14:textId="77777777" w:rsidR="008118C6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000000"/>
          <w:sz w:val="19"/>
          <w:szCs w:val="19"/>
        </w:rPr>
        <w:t xml:space="preserve">Key question: does </w:t>
      </w:r>
      <w:proofErr w:type="spellStart"/>
      <w:r>
        <w:rPr>
          <w:color w:val="000000"/>
          <w:sz w:val="19"/>
          <w:szCs w:val="19"/>
        </w:rPr>
        <w:t>AraC</w:t>
      </w:r>
      <w:proofErr w:type="spellEnd"/>
      <w:r>
        <w:rPr>
          <w:color w:val="000000"/>
          <w:sz w:val="19"/>
          <w:szCs w:val="19"/>
        </w:rPr>
        <w:t xml:space="preserve"> treatment or HS5 co-culture shift the differentiation state composition (e.g., enrichment of quiescent LSC-like cells in surviving / niche-protected populations)?</w:t>
      </w:r>
    </w:p>
    <w:p w14:paraId="1AD6DEE9" w14:textId="77777777" w:rsidR="008118C6" w:rsidRDefault="008118C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118C6" w14:paraId="6709C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0325C3F" w14:textId="77777777" w:rsidR="008118C6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6.  Data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Pre-processing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 (apply uniformly to all 12 samples)</w:t>
            </w:r>
          </w:p>
        </w:tc>
      </w:tr>
      <w:tr w:rsidR="008118C6" w14:paraId="147549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91D01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Alignment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AA980" w14:textId="77777777" w:rsidR="008118C6" w:rsidRDefault="00000000">
            <w:r>
              <w:rPr>
                <w:color w:val="000000"/>
                <w:sz w:val="19"/>
                <w:szCs w:val="19"/>
              </w:rPr>
              <w:t xml:space="preserve">Cell Ranger v8+; GRCh38 reference; include pre-mRNA for </w:t>
            </w:r>
            <w:proofErr w:type="spellStart"/>
            <w:r>
              <w:rPr>
                <w:color w:val="000000"/>
                <w:sz w:val="19"/>
                <w:szCs w:val="19"/>
              </w:rPr>
              <w:t>unspliced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reads.</w:t>
            </w:r>
          </w:p>
        </w:tc>
      </w:tr>
      <w:tr w:rsidR="008118C6" w14:paraId="17E576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3B151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QC thresholds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664CB" w14:textId="77777777" w:rsidR="008118C6" w:rsidRDefault="00000000">
            <w:r>
              <w:rPr>
                <w:color w:val="000000"/>
                <w:sz w:val="19"/>
                <w:szCs w:val="19"/>
              </w:rPr>
              <w:t xml:space="preserve">Genes per cell: 200–6,000. UMI ≥ 500. MT% &lt; 20% (note: </w:t>
            </w:r>
            <w:proofErr w:type="spellStart"/>
            <w:r>
              <w:rPr>
                <w:color w:val="000000"/>
                <w:sz w:val="19"/>
                <w:szCs w:val="19"/>
              </w:rPr>
              <w:t>AraC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samples may show elevated MT% — report distribution before applying hard cut-off). Run </w:t>
            </w:r>
            <w:proofErr w:type="spellStart"/>
            <w:r>
              <w:rPr>
                <w:color w:val="000000"/>
                <w:sz w:val="19"/>
                <w:szCs w:val="19"/>
              </w:rPr>
              <w:t>DoubletFinder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Scrublet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 sample.</w:t>
            </w:r>
          </w:p>
        </w:tc>
      </w:tr>
      <w:tr w:rsidR="008118C6" w14:paraId="4B5E6D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65D6E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Normalisation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B2099" w14:textId="77777777" w:rsidR="008118C6" w:rsidRDefault="00000000">
            <w:r>
              <w:rPr>
                <w:color w:val="000000"/>
                <w:sz w:val="19"/>
                <w:szCs w:val="19"/>
              </w:rPr>
              <w:t>Library-size normalisation to 10,000 counts, then log1p. Top 2,000–3,000 HVGs (VST).</w:t>
            </w:r>
          </w:p>
        </w:tc>
      </w:tr>
      <w:tr w:rsidR="008118C6" w14:paraId="55311F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A0236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Clustering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38278" w14:textId="77777777" w:rsidR="008118C6" w:rsidRDefault="00000000">
            <w:r>
              <w:rPr>
                <w:color w:val="000000"/>
                <w:sz w:val="19"/>
                <w:szCs w:val="19"/>
              </w:rPr>
              <w:t>PCA (top 30–50 PCs) → SNN graph (k = 20) → Leiden clustering (resolution 0.4–1.0). Embed with UMAP.</w:t>
            </w:r>
          </w:p>
        </w:tc>
      </w:tr>
      <w:tr w:rsidR="008118C6" w14:paraId="7E5876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25602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A6A2F" w14:textId="77777777" w:rsidR="008118C6" w:rsidRDefault="00000000">
            <w:r>
              <w:rPr>
                <w:color w:val="000000"/>
                <w:sz w:val="19"/>
                <w:szCs w:val="19"/>
              </w:rPr>
              <w:t xml:space="preserve">Harmony or </w:t>
            </w:r>
            <w:proofErr w:type="spellStart"/>
            <w:r>
              <w:rPr>
                <w:color w:val="000000"/>
                <w:sz w:val="19"/>
                <w:szCs w:val="19"/>
              </w:rPr>
              <w:t>scVI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on patient ID for cross-patient analyses. Use uncorrected data for all within-patient pairwise comparisons (Analyses 1 and 2).</w:t>
            </w:r>
          </w:p>
        </w:tc>
      </w:tr>
      <w:tr w:rsidR="008118C6" w14:paraId="5DC5D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C9586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Low-input samples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C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0F9A4" w14:textId="77777777" w:rsidR="008118C6" w:rsidRDefault="00000000">
            <w:r>
              <w:rPr>
                <w:color w:val="000000"/>
                <w:sz w:val="19"/>
                <w:szCs w:val="19"/>
              </w:rPr>
              <w:t>Tubes 15 and 16 (SRAML10, +HS5): ~6,750–7,500 cells. Relax min. gene threshold to ≥ 150 if needed. Flag in all reports.</w:t>
            </w:r>
          </w:p>
        </w:tc>
      </w:tr>
    </w:tbl>
    <w:p w14:paraId="0A19253B" w14:textId="77777777" w:rsidR="008118C6" w:rsidRDefault="008118C6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118C6" w14:paraId="3CAAD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3864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1B5F5FE" w14:textId="77777777" w:rsidR="008118C6" w:rsidRDefault="00000000">
            <w:r>
              <w:rPr>
                <w:b/>
                <w:bCs/>
                <w:color w:val="FFFFFF"/>
                <w:sz w:val="21"/>
                <w:szCs w:val="21"/>
              </w:rPr>
              <w:t>7.  Deliverables</w:t>
            </w:r>
          </w:p>
        </w:tc>
      </w:tr>
      <w:tr w:rsidR="008118C6" w14:paraId="7FB1B9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EAE76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QC report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78623" w14:textId="77777777" w:rsidR="008118C6" w:rsidRDefault="00000000">
            <w:r>
              <w:rPr>
                <w:color w:val="000000"/>
                <w:sz w:val="19"/>
                <w:szCs w:val="19"/>
              </w:rPr>
              <w:t>Per-sample metrics table; violin plots (genes/cell, UMI, MT%). Flag any sample failing thresholds.</w:t>
            </w:r>
          </w:p>
        </w:tc>
      </w:tr>
      <w:tr w:rsidR="008118C6" w14:paraId="54609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5AA09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UMAP figures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9103C" w14:textId="77777777" w:rsidR="008118C6" w:rsidRDefault="00000000">
            <w:r>
              <w:rPr>
                <w:color w:val="000000"/>
                <w:sz w:val="19"/>
                <w:szCs w:val="19"/>
              </w:rPr>
              <w:t xml:space="preserve">Per-patient and integrated. Colour </w:t>
            </w:r>
            <w:proofErr w:type="gramStart"/>
            <w:r>
              <w:rPr>
                <w:color w:val="000000"/>
                <w:sz w:val="19"/>
                <w:szCs w:val="19"/>
              </w:rPr>
              <w:t>by: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condition, cluster, patient, differentiation state, cell cycle phase.</w:t>
            </w:r>
          </w:p>
        </w:tc>
      </w:tr>
      <w:tr w:rsidR="008118C6" w14:paraId="47533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86848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Analysis 1 &amp; 2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54E8C" w14:textId="77777777" w:rsidR="008118C6" w:rsidRDefault="00000000">
            <w:r>
              <w:rPr>
                <w:color w:val="000000"/>
                <w:sz w:val="19"/>
                <w:szCs w:val="19"/>
              </w:rPr>
              <w:t>DGE tables (CSV); volcano plots; GSEA results (CSV); pathway bubble plots.</w:t>
            </w:r>
          </w:p>
        </w:tc>
      </w:tr>
      <w:tr w:rsidR="008118C6" w14:paraId="5F60DC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A0C22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Analysis 3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04FC3" w14:textId="77777777" w:rsidR="008118C6" w:rsidRDefault="00000000">
            <w:r>
              <w:rPr>
                <w:color w:val="000000"/>
                <w:sz w:val="19"/>
                <w:szCs w:val="19"/>
              </w:rPr>
              <w:t>Barcode detection table; Sankey plots; clonal overlap matrices; clone-specific DGE tables.</w:t>
            </w:r>
          </w:p>
        </w:tc>
      </w:tr>
      <w:tr w:rsidR="008118C6" w14:paraId="5BBB86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1CE0D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Analysis 4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4A9ED1" w14:textId="77777777" w:rsidR="008118C6" w:rsidRDefault="00000000">
            <w:r>
              <w:rPr>
                <w:color w:val="000000"/>
                <w:sz w:val="19"/>
                <w:szCs w:val="19"/>
              </w:rPr>
              <w:t>Differentiation state UMAP + proportion bar plots; LSC17 score plots; cell cycle plots.</w:t>
            </w:r>
          </w:p>
        </w:tc>
      </w:tr>
      <w:tr w:rsidR="008118C6" w14:paraId="0D40E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1D167" w14:textId="77777777" w:rsidR="008118C6" w:rsidRDefault="00000000">
            <w:r>
              <w:rPr>
                <w:b/>
                <w:bCs/>
                <w:color w:val="000000"/>
                <w:sz w:val="19"/>
                <w:szCs w:val="19"/>
              </w:rPr>
              <w:t>Data objects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6B3E46" w14:textId="77777777" w:rsidR="008118C6" w:rsidRDefault="00000000">
            <w:r>
              <w:rPr>
                <w:color w:val="000000"/>
                <w:sz w:val="19"/>
                <w:szCs w:val="19"/>
              </w:rPr>
              <w:t>Annotated RDS (Seurat) or H5AD (</w:t>
            </w:r>
            <w:proofErr w:type="spellStart"/>
            <w:r>
              <w:rPr>
                <w:color w:val="000000"/>
                <w:sz w:val="19"/>
                <w:szCs w:val="19"/>
              </w:rPr>
              <w:t>Scanpy</w:t>
            </w:r>
            <w:proofErr w:type="spellEnd"/>
            <w:r>
              <w:rPr>
                <w:color w:val="000000"/>
                <w:sz w:val="19"/>
                <w:szCs w:val="19"/>
              </w:rPr>
              <w:t>) files per patient and integrated dataset.</w:t>
            </w:r>
          </w:p>
        </w:tc>
      </w:tr>
    </w:tbl>
    <w:p w14:paraId="0DBD2300" w14:textId="77777777" w:rsidR="008118C6" w:rsidRDefault="008118C6">
      <w:pPr>
        <w:spacing w:before="30" w:after="30"/>
      </w:pPr>
    </w:p>
    <w:p w14:paraId="2BF46096" w14:textId="77777777" w:rsidR="008118C6" w:rsidRDefault="00000000">
      <w:pPr>
        <w:spacing w:before="60"/>
        <w:jc w:val="center"/>
      </w:pPr>
      <w:r>
        <w:rPr>
          <w:i/>
          <w:iCs/>
          <w:color w:val="888888"/>
          <w:sz w:val="17"/>
          <w:szCs w:val="17"/>
        </w:rPr>
        <w:t>ICR Project S34  ·  Cardiff University  ·  S. Rizzo / A. Tonks / J. Khorashad  ·  March 2026</w:t>
      </w:r>
    </w:p>
    <w:sectPr w:rsidR="008118C6">
      <w:pgSz w:w="12240" w:h="15840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260D8"/>
    <w:multiLevelType w:val="hybridMultilevel"/>
    <w:tmpl w:val="2182E2FE"/>
    <w:lvl w:ilvl="0" w:tplc="EEA0FADE">
      <w:start w:val="1"/>
      <w:numFmt w:val="bullet"/>
      <w:lvlText w:val="•"/>
      <w:lvlJc w:val="left"/>
      <w:pPr>
        <w:ind w:left="560" w:hanging="280"/>
      </w:pPr>
    </w:lvl>
    <w:lvl w:ilvl="1" w:tplc="C29C4C80">
      <w:start w:val="1"/>
      <w:numFmt w:val="bullet"/>
      <w:lvlText w:val="◦"/>
      <w:lvlJc w:val="left"/>
      <w:pPr>
        <w:ind w:left="1000" w:hanging="280"/>
      </w:pPr>
    </w:lvl>
    <w:lvl w:ilvl="2" w:tplc="32CACBD0">
      <w:numFmt w:val="decimal"/>
      <w:lvlText w:val=""/>
      <w:lvlJc w:val="left"/>
    </w:lvl>
    <w:lvl w:ilvl="3" w:tplc="607833CC">
      <w:numFmt w:val="decimal"/>
      <w:lvlText w:val=""/>
      <w:lvlJc w:val="left"/>
    </w:lvl>
    <w:lvl w:ilvl="4" w:tplc="63B0D494">
      <w:numFmt w:val="decimal"/>
      <w:lvlText w:val=""/>
      <w:lvlJc w:val="left"/>
    </w:lvl>
    <w:lvl w:ilvl="5" w:tplc="DE5E65EE">
      <w:numFmt w:val="decimal"/>
      <w:lvlText w:val=""/>
      <w:lvlJc w:val="left"/>
    </w:lvl>
    <w:lvl w:ilvl="6" w:tplc="F092D9E8">
      <w:numFmt w:val="decimal"/>
      <w:lvlText w:val=""/>
      <w:lvlJc w:val="left"/>
    </w:lvl>
    <w:lvl w:ilvl="7" w:tplc="2DEAB824">
      <w:numFmt w:val="decimal"/>
      <w:lvlText w:val=""/>
      <w:lvlJc w:val="left"/>
    </w:lvl>
    <w:lvl w:ilvl="8" w:tplc="C220FC3E">
      <w:numFmt w:val="decimal"/>
      <w:lvlText w:val=""/>
      <w:lvlJc w:val="left"/>
    </w:lvl>
  </w:abstractNum>
  <w:abstractNum w:abstractNumId="1" w15:restartNumberingAfterBreak="0">
    <w:nsid w:val="1AE27E2B"/>
    <w:multiLevelType w:val="hybridMultilevel"/>
    <w:tmpl w:val="2878EB02"/>
    <w:lvl w:ilvl="0" w:tplc="60482FB8">
      <w:start w:val="1"/>
      <w:numFmt w:val="bullet"/>
      <w:lvlText w:val="●"/>
      <w:lvlJc w:val="left"/>
      <w:pPr>
        <w:ind w:left="720" w:hanging="360"/>
      </w:pPr>
    </w:lvl>
    <w:lvl w:ilvl="1" w:tplc="EE5CF046">
      <w:start w:val="1"/>
      <w:numFmt w:val="bullet"/>
      <w:lvlText w:val="○"/>
      <w:lvlJc w:val="left"/>
      <w:pPr>
        <w:ind w:left="1440" w:hanging="360"/>
      </w:pPr>
    </w:lvl>
    <w:lvl w:ilvl="2" w:tplc="6E0AF174">
      <w:start w:val="1"/>
      <w:numFmt w:val="bullet"/>
      <w:lvlText w:val="■"/>
      <w:lvlJc w:val="left"/>
      <w:pPr>
        <w:ind w:left="2160" w:hanging="360"/>
      </w:pPr>
    </w:lvl>
    <w:lvl w:ilvl="3" w:tplc="A1CEF404">
      <w:start w:val="1"/>
      <w:numFmt w:val="bullet"/>
      <w:lvlText w:val="●"/>
      <w:lvlJc w:val="left"/>
      <w:pPr>
        <w:ind w:left="2880" w:hanging="360"/>
      </w:pPr>
    </w:lvl>
    <w:lvl w:ilvl="4" w:tplc="C132554A">
      <w:start w:val="1"/>
      <w:numFmt w:val="bullet"/>
      <w:lvlText w:val="○"/>
      <w:lvlJc w:val="left"/>
      <w:pPr>
        <w:ind w:left="3600" w:hanging="360"/>
      </w:pPr>
    </w:lvl>
    <w:lvl w:ilvl="5" w:tplc="93C8F3F4">
      <w:start w:val="1"/>
      <w:numFmt w:val="bullet"/>
      <w:lvlText w:val="■"/>
      <w:lvlJc w:val="left"/>
      <w:pPr>
        <w:ind w:left="4320" w:hanging="360"/>
      </w:pPr>
    </w:lvl>
    <w:lvl w:ilvl="6" w:tplc="9F7CEEB4">
      <w:start w:val="1"/>
      <w:numFmt w:val="bullet"/>
      <w:lvlText w:val="●"/>
      <w:lvlJc w:val="left"/>
      <w:pPr>
        <w:ind w:left="5040" w:hanging="360"/>
      </w:pPr>
    </w:lvl>
    <w:lvl w:ilvl="7" w:tplc="3530E63A">
      <w:start w:val="1"/>
      <w:numFmt w:val="bullet"/>
      <w:lvlText w:val="●"/>
      <w:lvlJc w:val="left"/>
      <w:pPr>
        <w:ind w:left="5760" w:hanging="360"/>
      </w:pPr>
    </w:lvl>
    <w:lvl w:ilvl="8" w:tplc="F15ACE82">
      <w:start w:val="1"/>
      <w:numFmt w:val="bullet"/>
      <w:lvlText w:val="●"/>
      <w:lvlJc w:val="left"/>
      <w:pPr>
        <w:ind w:left="6480" w:hanging="360"/>
      </w:pPr>
    </w:lvl>
  </w:abstractNum>
  <w:num w:numId="1" w16cid:durableId="1652559650">
    <w:abstractNumId w:val="1"/>
    <w:lvlOverride w:ilvl="0">
      <w:startOverride w:val="1"/>
    </w:lvlOverride>
  </w:num>
  <w:num w:numId="2" w16cid:durableId="1438214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8C6"/>
    <w:rsid w:val="003A14A3"/>
    <w:rsid w:val="00605E44"/>
    <w:rsid w:val="0081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74597"/>
  <w15:docId w15:val="{F51EBF22-E854-174A-96CB-EFA8E935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60"/>
      <w:outlineLvl w:val="0"/>
    </w:pPr>
    <w:rPr>
      <w:b/>
      <w:bCs/>
      <w:color w:val="1F3864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959</Words>
  <Characters>5062</Characters>
  <Application>Microsoft Office Word</Application>
  <DocSecurity>0</DocSecurity>
  <Lines>152</Lines>
  <Paragraphs>121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Jamshid Khorashad</cp:lastModifiedBy>
  <cp:revision>2</cp:revision>
  <dcterms:created xsi:type="dcterms:W3CDTF">2026-05-04T10:19:00Z</dcterms:created>
  <dcterms:modified xsi:type="dcterms:W3CDTF">2026-05-04T10:19:00Z</dcterms:modified>
</cp:coreProperties>
</file>