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3A5C" w:sz="24" w:space="0"/>
        </w:pBdr>
        <w:spacing w:after="0" w:before="0"/>
      </w:pPr>
      <w:r>
        <w:t xml:space="preserve"/>
      </w:r>
    </w:p>
    <w:p>
      <w:pPr>
        <w:spacing w:after="320" w:before="0"/>
      </w:pPr>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0392B" w:sz="1"/>
              <w:left w:val="single" w:color="C0392B" w:sz="1"/>
              <w:bottom w:val="single" w:color="C0392B" w:sz="1"/>
              <w:right w:val="single" w:color="C0392B" w:sz="1"/>
            </w:tcBorders>
            <w:shd w:fill="C0392B" w:val="clear"/>
            <w:tcMar>
              <w:top w:type="dxa" w:w="60"/>
              <w:left w:type="dxa" w:w="180"/>
              <w:bottom w:type="dxa" w:w="60"/>
              <w:right w:type="dxa" w:w="180"/>
            </w:tcMar>
          </w:tcPr>
          <w:p>
            <w:pPr>
              <w:jc w:val="center"/>
            </w:pPr>
            <w:r>
              <w:rPr>
                <w:rFonts w:ascii="Arial" w:cs="Arial" w:eastAsia="Arial" w:hAnsi="Arial"/>
                <w:b/>
                <w:bCs/>
                <w:color w:val="FFFFFF"/>
                <w:sz w:val="18"/>
                <w:szCs w:val="18"/>
              </w:rPr>
              <w:t xml:space="preserve">CONFIDENTIAL</w:t>
            </w:r>
          </w:p>
        </w:tc>
      </w:tr>
    </w:tbl>
    <w:p>
      <w:pPr>
        <w:spacing w:after="240" w:before="0"/>
      </w:pPr>
      <w:r>
        <w:t xml:space="preserve"/>
      </w:r>
    </w:p>
    <w:p>
      <w:r>
        <w:rPr>
          <w:rFonts w:ascii="Arial" w:cs="Arial" w:eastAsia="Arial" w:hAnsi="Arial"/>
          <w:b/>
          <w:bCs/>
          <w:color w:val="1B3A5C"/>
          <w:sz w:val="72"/>
          <w:szCs w:val="72"/>
        </w:rPr>
        <w:t xml:space="preserve">IDMatr</w:t>
      </w:r>
    </w:p>
    <w:p>
      <w:pPr>
        <w:spacing w:after="80" w:before="0"/>
      </w:pPr>
      <w:r>
        <w:rPr>
          <w:rFonts w:ascii="Arial" w:cs="Arial" w:eastAsia="Arial" w:hAnsi="Arial"/>
          <w:color w:val="2563A8"/>
          <w:sz w:val="52"/>
          <w:szCs w:val="52"/>
        </w:rPr>
        <w:t xml:space="preserve">Enterprise Security &amp; Compliance</w:t>
      </w:r>
    </w:p>
    <w:p>
      <w:pPr>
        <w:spacing w:after="80" w:before="0"/>
      </w:pPr>
      <w:r>
        <w:rPr>
          <w:rFonts w:ascii="Arial" w:cs="Arial" w:eastAsia="Arial" w:hAnsi="Arial"/>
          <w:b/>
          <w:bCs/>
          <w:color w:val="1B3A5C"/>
          <w:sz w:val="52"/>
          <w:szCs w:val="52"/>
        </w:rPr>
        <w:t xml:space="preserve">Audit Report</w:t>
      </w:r>
    </w:p>
    <w:p>
      <w:pPr>
        <w:pBdr>
          <w:bottom w:val="single" w:color="2563A8" w:sz="6" w:space="1"/>
        </w:pBdr>
        <w:spacing w:after="120" w:before="120"/>
      </w:pPr>
      <w:r>
        <w:t xml:space="preserve"/>
      </w:r>
    </w:p>
    <w:p>
      <w:pPr>
        <w:spacing w:after="80" w:before="0"/>
      </w:pPr>
      <w:r>
        <w:t xml:space="preserve"/>
      </w:r>
    </w:p>
    <w:p>
      <w:r>
        <w:rPr>
          <w:rFonts w:ascii="Arial" w:cs="Arial" w:eastAsia="Arial" w:hAnsi="Arial"/>
          <w:b/>
          <w:bCs/>
          <w:color w:val="1A1A2E"/>
          <w:sz w:val="22"/>
          <w:szCs w:val="22"/>
        </w:rPr>
        <w:t xml:space="preserve">Audit Date: </w:t>
      </w:r>
      <w:r>
        <w:rPr>
          <w:rFonts w:ascii="Arial" w:cs="Arial" w:eastAsia="Arial" w:hAnsi="Arial"/>
          <w:color w:val="1A1A2E"/>
          <w:sz w:val="22"/>
          <w:szCs w:val="22"/>
        </w:rPr>
        <w:t xml:space="preserve">March 14, 2026</w:t>
      </w:r>
    </w:p>
    <w:p>
      <w:pPr>
        <w:spacing w:after="40" w:before="40"/>
      </w:pPr>
      <w:r>
        <w:rPr>
          <w:rFonts w:ascii="Arial" w:cs="Arial" w:eastAsia="Arial" w:hAnsi="Arial"/>
          <w:b/>
          <w:bCs/>
          <w:color w:val="1A1A2E"/>
          <w:sz w:val="22"/>
          <w:szCs w:val="22"/>
        </w:rPr>
        <w:t xml:space="preserve">Scope: </w:t>
      </w:r>
      <w:r>
        <w:rPr>
          <w:rFonts w:ascii="Arial" w:cs="Arial" w:eastAsia="Arial" w:hAnsi="Arial"/>
          <w:color w:val="1A1A2E"/>
          <w:sz w:val="22"/>
          <w:szCs w:val="22"/>
        </w:rPr>
        <w:t xml:space="preserve">Full repository review — application code, backend services, frontend clients, control plane, authentication, authorization, database schemas, Docker deployment, internal messaging, audit logging, multi-tenant isolation, and CI security controls.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FDECEA" w:val="clear"/>
            <w:tcMar>
              <w:top w:type="dxa" w:w="160"/>
              <w:left w:type="dxa" w:w="240"/>
              <w:bottom w:type="dxa" w:w="160"/>
              <w:right w:type="dxa" w:w="240"/>
            </w:tcMar>
          </w:tcPr>
          <w:p>
            <w:pPr>
              <w:jc w:val="center"/>
            </w:pPr>
            <w:r>
              <w:rPr>
                <w:rFonts w:ascii="Arial" w:cs="Arial" w:eastAsia="Arial" w:hAnsi="Arial"/>
                <w:b/>
                <w:bCs/>
                <w:color w:val="C0392B"/>
                <w:sz w:val="24"/>
                <w:szCs w:val="24"/>
              </w:rPr>
              <w:t xml:space="preserve">OVERALL VERDICT</w:t>
            </w:r>
          </w:p>
          <w:p>
            <w:pPr>
              <w:spacing w:after="40" w:before="0"/>
            </w:pPr>
            <w:r>
              <w:t xml:space="preserve"/>
            </w:r>
          </w:p>
          <w:p>
            <w:pPr>
              <w:jc w:val="center"/>
            </w:pPr>
            <w:r>
              <w:rPr>
                <w:rFonts w:ascii="Arial" w:cs="Arial" w:eastAsia="Arial" w:hAnsi="Arial"/>
                <w:b/>
                <w:bCs/>
                <w:color w:val="1A1A2E"/>
                <w:sz w:val="26"/>
                <w:szCs w:val="26"/>
              </w:rPr>
              <w:t xml:space="preserve">Not Ready for Enterprise Production or Compliance Certification</w:t>
            </w:r>
          </w:p>
          <w:p>
            <w:pPr>
              <w:spacing w:after="40" w:before="0"/>
            </w:pPr>
            <w:r>
              <w:t xml:space="preserve"/>
            </w:r>
          </w:p>
          <w:p>
            <w:pPr>
              <w:jc w:val="center"/>
            </w:pPr>
            <w:r>
              <w:rPr>
                <w:rFonts w:ascii="Arial" w:cs="Arial" w:eastAsia="Arial" w:hAnsi="Arial"/>
                <w:color w:val="1A1A2E"/>
                <w:sz w:val="18"/>
                <w:szCs w:val="18"/>
              </w:rPr>
              <w:t xml:space="preserve">Significant material progress achieved since baseline audit. Remaining blockers concentrated in privacy lifecycle completeness, immutable audit retention, production validation evidence, and SDLC hardening.</w:t>
            </w:r>
          </w:p>
        </w:tc>
      </w:tr>
    </w:tbl>
    <w:p>
      <w:pPr>
        <w:spacing w:after="320" w:before="0"/>
      </w:pPr>
      <w:r>
        <w:t xml:space="preserve"/>
      </w:r>
    </w:p>
    <w:p>
      <w:r>
        <w:br w:type="page"/>
      </w:r>
    </w:p>
    <w:p>
      <w:pPr>
        <w:sectPr>
          <w:pgSz w:w="12240" w:h="15840" w:orient="portrait"/>
          <w:pgMar w:top="1440" w:right="1440" w:bottom="1440" w:left="1440" w:header="708" w:footer="708" w:gutter="0"/>
          <w:pgNumType/>
          <w:docGrid w:linePitch="360"/>
        </w:sectPr>
      </w:pPr>
    </w:p>
    <w:p>
      <w:pPr>
        <w:pStyle w:val="Heading1"/>
      </w:pPr>
      <w:bookmarkStart w:name="toc" w:id="1"/>
      <w:r>
        <w:t xml:space="preserve">Table of Contents</w:t>
      </w:r>
      <w:bookmarkEnd w:id="1"/>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bookmarkStart w:name="exec" w:id="2"/>
      <w:r>
        <w:t xml:space="preserve">1. Executive Summary</w:t>
      </w:r>
      <w:bookmarkEnd w:id="2"/>
    </w:p>
    <w:p>
      <w:pPr>
        <w:pBdr>
          <w:bottom w:val="single" w:color="2563A8" w:sz="6" w:space="1"/>
        </w:pBdr>
        <w:spacing w:after="120" w:before="120"/>
      </w:pPr>
      <w:r>
        <w:t xml:space="preserve"/>
      </w:r>
    </w:p>
    <w:p>
      <w:pPr>
        <w:spacing w:after="120" w:before="80"/>
      </w:pPr>
      <w:r>
        <w:rPr>
          <w:rFonts w:ascii="Arial" w:cs="Arial" w:eastAsia="Arial" w:hAnsi="Arial"/>
          <w:b w:val="false"/>
          <w:bCs w:val="false"/>
          <w:color w:val="1A1A2E"/>
          <w:sz w:val="20"/>
          <w:szCs w:val="20"/>
        </w:rPr>
        <w:t xml:space="preserve">IDMatr has materially improved since the earlier baseline audit. The current repository enforces JWT-derived tenant context, requires core secrets at startup, moves browser authentication to HTTP-only cookies, introduces TOTP MFA for privileged users, restricts NATS with service credentials and subject permissions, and encrypts sensitive configuration at rest.</w:t>
      </w:r>
    </w:p>
    <w:p>
      <w:pPr>
        <w:spacing w:after="120" w:before="0"/>
      </w:pPr>
      <w:r>
        <w:rPr>
          <w:rFonts w:ascii="Arial" w:cs="Arial" w:eastAsia="Arial" w:hAnsi="Arial"/>
          <w:b w:val="false"/>
          <w:bCs w:val="false"/>
          <w:color w:val="1A1A2E"/>
          <w:sz w:val="20"/>
          <w:szCs w:val="20"/>
        </w:rPr>
        <w:t xml:space="preserve">The platform is still not ready for enterprise production deployment or certification preparation. Remaining blockers are now concentrated in privacy lifecycle completeness, service-wide immutable logging and evidence retention, production validation evidence, and infrastructure/SDLC hardening gaps. Most notably, GDPR and HIPAA readiness remain below enterprise expectations because the product has operator-driven tenant export and hard-delete capabilities, but lacks complete subject-level DSAR workflows, consent/legal-basis recording, or automated retention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single" w:color="2563A8" w:sz="12"/>
              <w:bottom w:val="single" w:color="2563A8" w:sz="2"/>
              <w:right w:val="single" w:color="2563A8" w:sz="1"/>
            </w:tcBorders>
            <w:shd w:fill="EBF5FB" w:val="clear"/>
            <w:tcMar>
              <w:top w:type="dxa" w:w="120"/>
              <w:left w:type="dxa" w:w="240"/>
              <w:bottom w:type="dxa" w:w="120"/>
              <w:right w:type="dxa" w:w="240"/>
            </w:tcMar>
          </w:tcPr>
          <w:p>
            <w:pPr>
              <w:spacing w:after="80" w:before="0"/>
            </w:pPr>
            <w:r>
              <w:rPr>
                <w:rFonts w:ascii="Arial" w:cs="Arial" w:eastAsia="Arial" w:hAnsi="Arial"/>
                <w:b/>
                <w:bCs/>
                <w:color w:val="2563A8"/>
                <w:sz w:val="22"/>
                <w:szCs w:val="22"/>
              </w:rPr>
              <w:t xml:space="preserve">Key Improvements Since Baseline</w:t>
            </w:r>
          </w:p>
          <w:p>
            <w:pPr>
              <w:pStyle w:val="ListParagraph"/>
              <w:numPr>
                <w:ilvl w:val="0"/>
                <w:numId w:val="2"/>
              </w:numPr>
              <w:spacing w:after="40" w:before="40"/>
            </w:pPr>
            <w:r>
              <w:rPr>
                <w:rFonts w:ascii="Arial" w:cs="Arial" w:eastAsia="Arial" w:hAnsi="Arial"/>
                <w:color w:val="1A1A2E"/>
                <w:sz w:val="20"/>
                <w:szCs w:val="20"/>
              </w:rPr>
              <w:t xml:space="preserve">JWT-derived tenant context enforced; X-Tenant-ID override removed</w:t>
            </w:r>
          </w:p>
          <w:p>
            <w:pPr>
              <w:pStyle w:val="ListParagraph"/>
              <w:numPr>
                <w:ilvl w:val="0"/>
                <w:numId w:val="2"/>
              </w:numPr>
              <w:spacing w:after="40" w:before="40"/>
            </w:pPr>
            <w:r>
              <w:rPr>
                <w:rFonts w:ascii="Arial" w:cs="Arial" w:eastAsia="Arial" w:hAnsi="Arial"/>
                <w:color w:val="1A1A2E"/>
                <w:sz w:val="20"/>
                <w:szCs w:val="20"/>
              </w:rPr>
              <w:t xml:space="preserve">Core authentication and encryption secrets mandatory at startup with no fallback values</w:t>
            </w:r>
          </w:p>
          <w:p>
            <w:pPr>
              <w:pStyle w:val="ListParagraph"/>
              <w:numPr>
                <w:ilvl w:val="0"/>
                <w:numId w:val="2"/>
              </w:numPr>
              <w:spacing w:after="40" w:before="40"/>
            </w:pPr>
            <w:r>
              <w:rPr>
                <w:rFonts w:ascii="Arial" w:cs="Arial" w:eastAsia="Arial" w:hAnsi="Arial"/>
                <w:color w:val="1A1A2E"/>
                <w:sz w:val="20"/>
                <w:szCs w:val="20"/>
              </w:rPr>
              <w:t xml:space="preserve">Browser authentication migrated to HTTP-only, SameSite=Strict cookies</w:t>
            </w:r>
          </w:p>
          <w:p>
            <w:pPr>
              <w:pStyle w:val="ListParagraph"/>
              <w:numPr>
                <w:ilvl w:val="0"/>
                <w:numId w:val="2"/>
              </w:numPr>
              <w:spacing w:after="40" w:before="40"/>
            </w:pPr>
            <w:r>
              <w:rPr>
                <w:rFonts w:ascii="Arial" w:cs="Arial" w:eastAsia="Arial" w:hAnsi="Arial"/>
                <w:color w:val="1A1A2E"/>
                <w:sz w:val="20"/>
                <w:szCs w:val="20"/>
              </w:rPr>
              <w:t xml:space="preserve">TOTP MFA implemented for platform operators and tenant administrators</w:t>
            </w:r>
          </w:p>
          <w:p>
            <w:pPr>
              <w:pStyle w:val="ListParagraph"/>
              <w:numPr>
                <w:ilvl w:val="0"/>
                <w:numId w:val="2"/>
              </w:numPr>
              <w:spacing w:after="40" w:before="40"/>
            </w:pPr>
            <w:r>
              <w:rPr>
                <w:rFonts w:ascii="Arial" w:cs="Arial" w:eastAsia="Arial" w:hAnsi="Arial"/>
                <w:color w:val="1A1A2E"/>
                <w:sz w:val="20"/>
                <w:szCs w:val="20"/>
              </w:rPr>
              <w:t xml:space="preserve">NATS secured with per-service credentials and subject-level permissions</w:t>
            </w:r>
          </w:p>
          <w:p>
            <w:pPr>
              <w:pStyle w:val="ListParagraph"/>
              <w:numPr>
                <w:ilvl w:val="0"/>
                <w:numId w:val="2"/>
              </w:numPr>
              <w:spacing w:after="40" w:before="40"/>
            </w:pPr>
            <w:r>
              <w:rPr>
                <w:rFonts w:ascii="Arial" w:cs="Arial" w:eastAsia="Arial" w:hAnsi="Arial"/>
                <w:color w:val="1A1A2E"/>
                <w:sz w:val="20"/>
                <w:szCs w:val="20"/>
              </w:rPr>
              <w:t xml:space="preserve">Sensitive configuration protected with AES-256-GCM envelope encryption</w:t>
            </w:r>
          </w:p>
          <w:p>
            <w:pPr>
              <w:pStyle w:val="ListParagraph"/>
              <w:numPr>
                <w:ilvl w:val="0"/>
                <w:numId w:val="2"/>
              </w:numPr>
              <w:spacing w:after="40" w:before="40"/>
            </w:pPr>
            <w:r>
              <w:rPr>
                <w:rFonts w:ascii="Arial" w:cs="Arial" w:eastAsia="Arial" w:hAnsi="Arial"/>
                <w:color w:val="1A1A2E"/>
                <w:sz w:val="20"/>
                <w:szCs w:val="20"/>
              </w:rPr>
              <w:t xml:space="preserve">Hash-chained audit entries in the control plane</w:t>
            </w:r>
          </w:p>
        </w:tc>
      </w:tr>
    </w:tbl>
    <w:p>
      <w:pPr>
        <w:spacing w:after="80" w:before="0"/>
      </w:pPr>
      <w:r>
        <w:t xml:space="preserve"/>
      </w:r>
    </w:p>
    <w:p>
      <w:pPr>
        <w:pStyle w:val="Heading1"/>
      </w:pPr>
      <w:bookmarkStart w:name="scores" w:id="3"/>
      <w:r>
        <w:t xml:space="preserve">2. Readiness Scores</w:t>
      </w:r>
      <w:bookmarkEnd w:id="3"/>
    </w:p>
    <w:p>
      <w:pPr>
        <w:pBdr>
          <w:bottom w:val="single" w:color="2563A8" w:sz="6" w:space="1"/>
        </w:pBdr>
        <w:spacing w:after="120" w:before="120"/>
      </w:pPr>
      <w:r>
        <w:t xml:space="preserve"/>
      </w:r>
    </w:p>
    <w:p>
      <w:pPr>
        <w:spacing w:after="60" w:before="60"/>
      </w:pPr>
      <w:r>
        <w:rPr>
          <w:rFonts w:ascii="Arial" w:cs="Arial" w:eastAsia="Arial" w:hAnsi="Arial"/>
          <w:b w:val="false"/>
          <w:bCs w:val="false"/>
          <w:color w:val="1A1A2E"/>
          <w:sz w:val="20"/>
          <w:szCs w:val="20"/>
        </w:rPr>
        <w:t xml:space="preserve">The following scores reflect the current state of technical controls, process evidence, and compliance posture across eight dimensions.</w:t>
      </w:r>
    </w:p>
    <w:p>
      <w:pPr>
        <w:spacing w:after="40" w:before="0"/>
      </w:pPr>
      <w:r>
        <w:t xml:space="preserve"/>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400"/>
        <w:gridCol w:w="1200"/>
      </w:tblGrid>
      <w:tr>
        <w:tc>
          <w:tcPr>
            <w:tcW w:type="dxa" w:w="1200"/>
            <w:tcBorders>
              <w:top w:val="none" w:color="FFFFFF" w:sz="0"/>
              <w:left w:val="none" w:color="FFFFFF" w:sz="0"/>
              <w:bottom w:val="none" w:color="FFFFFF" w:sz="0"/>
              <w:right w:val="none" w:color="FFFFFF" w:sz="0"/>
            </w:tcBorders>
            <w:shd w:fill="1A7A3A"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75+ Strong</w:t>
            </w:r>
          </w:p>
        </w:tc>
        <w:tc>
          <w:tcPr>
            <w:tcW w:type="dxa" w:w="1000"/>
            <w:tcBorders>
              <w:top w:val="none" w:color="FFFFFF" w:sz="0"/>
              <w:left w:val="none" w:color="FFFFFF" w:sz="0"/>
              <w:bottom w:val="none" w:color="FFFFFF" w:sz="0"/>
              <w:right w:val="none" w:color="FFFFFF" w:sz="0"/>
            </w:tcBorders>
            <w:shd w:fill="FFFFFF" w:val="clear"/>
          </w:tcPr>
          <w:p>
            <w:r>
              <w:t xml:space="preserve"/>
            </w:r>
          </w:p>
        </w:tc>
        <w:tc>
          <w:tcPr>
            <w:tcW w:type="dxa" w:w="1400"/>
            <w:tcBorders>
              <w:top w:val="none" w:color="FFFFFF" w:sz="0"/>
              <w:left w:val="none" w:color="FFFFFF" w:sz="0"/>
              <w:bottom w:val="none" w:color="FFFFFF" w:sz="0"/>
              <w:right w:val="none" w:color="FFFFFF" w:sz="0"/>
            </w:tcBorders>
            <w:shd w:fill="D35400" w:val="clear"/>
            <w:tcMar>
              <w:top w:type="dxa" w:w="40"/>
              <w:left w:type="dxa" w:w="120"/>
              <w:bottom w:type="dxa" w:w="40"/>
              <w:right w:type="dxa" w:w="120"/>
            </w:tcMar>
          </w:tcPr>
          <w:p>
            <w:pPr>
              <w:jc w:val="center"/>
            </w:pPr>
            <w:r>
              <w:rPr>
                <w:rFonts w:ascii="Arial" w:cs="Arial" w:eastAsia="Arial" w:hAnsi="Arial"/>
                <w:b/>
                <w:bCs/>
                <w:color w:val="FFFFFF"/>
                <w:sz w:val="17"/>
                <w:szCs w:val="17"/>
              </w:rPr>
              <w:t xml:space="preserve">65-74 Moderate</w:t>
            </w:r>
          </w:p>
        </w:tc>
        <w:tc>
          <w:tcPr>
            <w:tcW w:type="dxa" w:w="1200"/>
            <w:tcBorders>
              <w:top w:val="none" w:color="FFFFFF" w:sz="0"/>
              <w:left w:val="none" w:color="FFFFFF" w:sz="0"/>
              <w:bottom w:val="none" w:color="FFFFFF" w:sz="0"/>
              <w:right w:val="none" w:color="FFFFFF" w:sz="0"/>
            </w:tcBorders>
            <w:shd w:fill="FFFFFF" w:val="clear"/>
          </w:tcPr>
          <w:p>
            <w:r>
              <w:t xml:space="preserve"/>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Framework / Domain</w:t>
            </w:r>
          </w:p>
        </w:tc>
        <w:tc>
          <w:tcPr>
            <w:tcW w:type="dxa" w:w="14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center"/>
            </w:pPr>
            <w:r>
              <w:rPr>
                <w:rFonts w:ascii="Arial" w:cs="Arial" w:eastAsia="Arial" w:hAnsi="Arial"/>
                <w:b/>
                <w:bCs/>
                <w:color w:val="FFFFFF"/>
                <w:sz w:val="19"/>
                <w:szCs w:val="19"/>
              </w:rPr>
              <w:t xml:space="preserve">Score</w:t>
            </w:r>
          </w:p>
        </w:tc>
        <w:tc>
          <w:tcPr>
            <w:tcW w:type="dxa" w:w="476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Assessment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SOC 2 Readiness</w:t>
            </w:r>
          </w:p>
        </w:tc>
        <w:tc>
          <w:tcPr>
            <w:tcW w:type="dxa" w:w="1400"/>
            <w:tcBorders>
              <w:top w:val="single" w:color="1A7A3A" w:sz="1"/>
              <w:left w:val="single" w:color="1A7A3A" w:sz="1"/>
              <w:bottom w:val="single" w:color="1A7A3A" w:sz="1"/>
              <w:right w:val="single" w:color="1A7A3A" w:sz="1"/>
            </w:tcBorders>
            <w:shd w:fill="1A7A3A"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76/100</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Strong technical progress, but evidence, privacy, and audit retention gaps remain.</w:t>
            </w:r>
          </w:p>
        </w:tc>
      </w:tr>
      <w:tr>
        <w:tc>
          <w:tcPr>
            <w:tcW w:type="dxa" w:w="32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ISO 27001 Readiness</w:t>
            </w:r>
          </w:p>
        </w:tc>
        <w:tc>
          <w:tcPr>
            <w:tcW w:type="dxa" w:w="1400"/>
            <w:tcBorders>
              <w:top w:val="single" w:color="D35400" w:sz="1"/>
              <w:left w:val="single" w:color="D35400" w:sz="1"/>
              <w:bottom w:val="single" w:color="D35400" w:sz="1"/>
              <w:right w:val="single" w:color="D35400" w:sz="1"/>
            </w:tcBorders>
            <w:shd w:fill="D35400"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69/100</w:t>
            </w:r>
          </w:p>
        </w:tc>
        <w:tc>
          <w:tcPr>
            <w:tcW w:type="dxa" w:w="47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Technical controls improved; ISMS governance evidence is still incomplete.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PCI-DSS Readiness</w:t>
            </w:r>
          </w:p>
        </w:tc>
        <w:tc>
          <w:tcPr>
            <w:tcW w:type="dxa" w:w="1400"/>
            <w:tcBorders>
              <w:top w:val="single" w:color="C0392B" w:sz="1"/>
              <w:left w:val="single" w:color="C0392B" w:sz="1"/>
              <w:bottom w:val="single" w:color="C0392B" w:sz="1"/>
              <w:right w:val="single" w:color="C0392B" w:sz="1"/>
            </w:tcBorders>
            <w:shd w:fill="C0392B"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64/100</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Secure engineering posture better, but distributed controls and validation evidence incomplete.</w:t>
            </w:r>
          </w:p>
        </w:tc>
      </w:tr>
      <w:tr>
        <w:tc>
          <w:tcPr>
            <w:tcW w:type="dxa" w:w="32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GDPR Readiness</w:t>
            </w:r>
          </w:p>
        </w:tc>
        <w:tc>
          <w:tcPr>
            <w:tcW w:type="dxa" w:w="1400"/>
            <w:tcBorders>
              <w:top w:val="single" w:color="C0392B" w:sz="1"/>
              <w:left w:val="single" w:color="C0392B" w:sz="1"/>
              <w:bottom w:val="single" w:color="C0392B" w:sz="1"/>
              <w:right w:val="single" w:color="C0392B" w:sz="1"/>
            </w:tcBorders>
            <w:shd w:fill="C0392B"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58/100</w:t>
            </w:r>
          </w:p>
        </w:tc>
        <w:tc>
          <w:tcPr>
            <w:tcW w:type="dxa" w:w="47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Export/delete foundations exist, but no full data subject rights or retention automation.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HIPAA Readiness</w:t>
            </w:r>
          </w:p>
        </w:tc>
        <w:tc>
          <w:tcPr>
            <w:tcW w:type="dxa" w:w="1400"/>
            <w:tcBorders>
              <w:top w:val="single" w:color="C0392B" w:sz="1"/>
              <w:left w:val="single" w:color="C0392B" w:sz="1"/>
              <w:bottom w:val="single" w:color="C0392B" w:sz="1"/>
              <w:right w:val="single" w:color="C0392B" w:sz="1"/>
            </w:tcBorders>
            <w:shd w:fill="C0392B"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56/100</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Encryption, MFA, and auditability improved, but PHI-oriented administrative safeguards incomplete.</w:t>
            </w:r>
          </w:p>
        </w:tc>
      </w:tr>
      <w:tr>
        <w:tc>
          <w:tcPr>
            <w:tcW w:type="dxa" w:w="32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NIST CSF Alignment</w:t>
            </w:r>
          </w:p>
        </w:tc>
        <w:tc>
          <w:tcPr>
            <w:tcW w:type="dxa" w:w="1400"/>
            <w:tcBorders>
              <w:top w:val="single" w:color="D35400" w:sz="1"/>
              <w:left w:val="single" w:color="D35400" w:sz="1"/>
              <w:bottom w:val="single" w:color="D35400" w:sz="1"/>
              <w:right w:val="single" w:color="D35400" w:sz="1"/>
            </w:tcBorders>
            <w:shd w:fill="D35400"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72/100</w:t>
            </w:r>
          </w:p>
        </w:tc>
        <w:tc>
          <w:tcPr>
            <w:tcW w:type="dxa" w:w="47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Moderate-to-strong alignment across Identify/Protect/Detect; Respond/Recover evidence partial.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CIS Controls Alignment</w:t>
            </w:r>
          </w:p>
        </w:tc>
        <w:tc>
          <w:tcPr>
            <w:tcW w:type="dxa" w:w="1400"/>
            <w:tcBorders>
              <w:top w:val="single" w:color="D35400" w:sz="1"/>
              <w:left w:val="single" w:color="D35400" w:sz="1"/>
              <w:bottom w:val="single" w:color="D35400" w:sz="1"/>
              <w:right w:val="single" w:color="D35400" w:sz="1"/>
            </w:tcBorders>
            <w:shd w:fill="D35400"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70/100</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Core safeguards exist, but centralized logging, secrets governance, and validation maturity need work.</w:t>
            </w:r>
          </w:p>
        </w:tc>
      </w:tr>
      <w:tr>
        <w:tc>
          <w:tcPr>
            <w:tcW w:type="dxa" w:w="32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Go-Live Deployment</w:t>
            </w:r>
          </w:p>
        </w:tc>
        <w:tc>
          <w:tcPr>
            <w:tcW w:type="dxa" w:w="1400"/>
            <w:tcBorders>
              <w:top w:val="single" w:color="D35400" w:sz="1"/>
              <w:left w:val="single" w:color="D35400" w:sz="1"/>
              <w:bottom w:val="single" w:color="D35400" w:sz="1"/>
              <w:right w:val="single" w:color="D35400" w:sz="1"/>
            </w:tcBorders>
            <w:shd w:fill="D35400"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68/100</w:t>
            </w:r>
          </w:p>
        </w:tc>
        <w:tc>
          <w:tcPr>
            <w:tcW w:type="dxa" w:w="47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Suitable for controlled staging after validation; not ready for enterprise production sign-off.</w:t>
            </w:r>
          </w:p>
        </w:tc>
      </w:tr>
    </w:tbl>
    <w:p>
      <w:pPr>
        <w:spacing w:after="80" w:before="0"/>
      </w:pPr>
      <w:r>
        <w:t xml:space="preserve"/>
      </w:r>
    </w:p>
    <w:p>
      <w:r>
        <w:br w:type="page"/>
      </w:r>
    </w:p>
    <w:p>
      <w:pPr>
        <w:pStyle w:val="Heading1"/>
      </w:pPr>
      <w:bookmarkStart w:name="arch" w:id="4"/>
      <w:r>
        <w:t xml:space="preserve">3. Architecture Overview</w:t>
      </w:r>
      <w:bookmarkEnd w:id="4"/>
    </w:p>
    <w:p>
      <w:pPr>
        <w:pBdr>
          <w:bottom w:val="single" w:color="2563A8" w:sz="6" w:space="1"/>
        </w:pBdr>
        <w:spacing w:after="120" w:before="120"/>
      </w:pPr>
      <w:r>
        <w:t xml:space="preserve"/>
      </w:r>
    </w:p>
    <w:p>
      <w:pPr>
        <w:spacing w:after="60" w:before="60"/>
      </w:pPr>
      <w:r>
        <w:rPr>
          <w:rFonts w:ascii="Arial" w:cs="Arial" w:eastAsia="Arial" w:hAnsi="Arial"/>
          <w:b w:val="false"/>
          <w:bCs w:val="false"/>
          <w:color w:val="1A1A2E"/>
          <w:sz w:val="20"/>
          <w:szCs w:val="20"/>
        </w:rPr>
        <w:t xml:space="preserve">IDMatr is a multi-tenant SaaS platform built around a NestJS API gateway, a NestJS control plane, multiple backend microservices, Next.js frontends, PostgreSQL, Redis, Neo4j, and NATS for internal service messaging. Production exposure is materially narrowed in Docker: NATS is no longer port-mapped, PostgreSQL and Redis are internal-only, Neo4j is loopback-bound, and the control plane is loopback-bound rather than internet-exposed.</w:t>
      </w:r>
    </w:p>
    <w:p>
      <w:pPr>
        <w:spacing w:after="40" w:before="0"/>
      </w:pPr>
      <w:r>
        <w:t xml:space="preserve"/>
      </w:r>
    </w:p>
    <w:p>
      <w:pPr>
        <w:pStyle w:val="Heading2"/>
      </w:pPr>
      <w:r>
        <w:t xml:space="preserve">Security-Critical Design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Domain</w:t>
            </w:r>
          </w:p>
        </w:tc>
        <w:tc>
          <w:tcPr>
            <w:tcW w:type="dxa" w:w="40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Current State</w:t>
            </w:r>
          </w:p>
        </w:tc>
        <w:tc>
          <w:tcPr>
            <w:tcW w:type="dxa" w:w="336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Evidence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Internal Messaging</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NATS requires per-service credentials and subject restrictions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563A8"/>
                <w:sz w:val="17"/>
                <w:szCs w:val="17"/>
              </w:rPr>
              <w:t xml:space="preserve">nats-server.conf</w:t>
            </w:r>
          </w:p>
        </w:tc>
      </w:tr>
      <w:tr>
        <w:tc>
          <w:tcPr>
            <w:tcW w:type="dxa" w:w="20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Tenant Isolation</w:t>
            </w:r>
          </w:p>
        </w:tc>
        <w:tc>
          <w:tcPr>
            <w:tcW w:type="dxa" w:w="40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Tenant context derives from JWT claims only; flows downstream to all services</w:t>
            </w:r>
          </w:p>
        </w:tc>
        <w:tc>
          <w:tcPr>
            <w:tcW w:type="dxa" w:w="33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2563A8"/>
                <w:sz w:val="17"/>
                <w:szCs w:val="17"/>
              </w:rPr>
              <w:t xml:space="preserve">tenant.middleware.ts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Graph Isolation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Neo4j queries include tenantId on nodes and traversals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563A8"/>
                <w:sz w:val="17"/>
                <w:szCs w:val="17"/>
              </w:rPr>
              <w:t xml:space="preserve">graph-service/app.service.ts</w:t>
            </w:r>
          </w:p>
        </w:tc>
      </w:tr>
      <w:tr>
        <w:tc>
          <w:tcPr>
            <w:tcW w:type="dxa" w:w="20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Policy Isolation</w:t>
            </w:r>
          </w:p>
        </w:tc>
        <w:tc>
          <w:tcPr>
            <w:tcW w:type="dxa" w:w="40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Prisma queries filter policy data by tenantId</w:t>
            </w:r>
          </w:p>
        </w:tc>
        <w:tc>
          <w:tcPr>
            <w:tcW w:type="dxa" w:w="33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2563A8"/>
                <w:sz w:val="17"/>
                <w:szCs w:val="17"/>
              </w:rPr>
              <w:t xml:space="preserve">policy-engine/app.service.ts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Session Handling</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Cookie-based with HttpOnly, SameSite=Strict, and Secure in production</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563A8"/>
                <w:sz w:val="17"/>
                <w:szCs w:val="17"/>
              </w:rPr>
              <w:t xml:space="preserve">security.ts, cookies.ts</w:t>
            </w:r>
          </w:p>
        </w:tc>
      </w:tr>
      <w:tr>
        <w:tc>
          <w:tcPr>
            <w:tcW w:type="dxa" w:w="20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MFA</w:t>
            </w:r>
          </w:p>
        </w:tc>
        <w:tc>
          <w:tcPr>
            <w:tcW w:type="dxa" w:w="40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TOTP for platform_operator and tenant_admin workflows</w:t>
            </w:r>
          </w:p>
        </w:tc>
        <w:tc>
          <w:tcPr>
            <w:tcW w:type="dxa" w:w="33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2563A8"/>
                <w:sz w:val="17"/>
                <w:szCs w:val="17"/>
              </w:rPr>
              <w:t xml:space="preserve">auth.controller.ts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Config Protection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Envelope encryption protects secrets at rest</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563A8"/>
                <w:sz w:val="17"/>
                <w:szCs w:val="17"/>
              </w:rPr>
              <w:t xml:space="preserve">envelope-encryption.service.ts</w:t>
            </w:r>
          </w:p>
        </w:tc>
      </w:tr>
      <w:tr>
        <w:tc>
          <w:tcPr>
            <w:tcW w:type="dxa" w:w="20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Auditability</w:t>
            </w:r>
          </w:p>
        </w:tc>
        <w:tc>
          <w:tcPr>
            <w:tcW w:type="dxa" w:w="40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Control-plane audit entries are hash-chained</w:t>
            </w:r>
          </w:p>
        </w:tc>
        <w:tc>
          <w:tcPr>
            <w:tcW w:type="dxa" w:w="33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2563A8"/>
                <w:sz w:val="17"/>
                <w:szCs w:val="17"/>
              </w:rPr>
              <w:t xml:space="preserve">audit-log.service.ts</w:t>
            </w:r>
          </w:p>
        </w:tc>
      </w:tr>
    </w:tbl>
    <w:p>
      <w:pPr>
        <w:spacing w:after="80" w:before="0"/>
      </w:pPr>
      <w:r>
        <w:t xml:space="preserve"/>
      </w:r>
    </w:p>
    <w:p>
      <w:r>
        <w:br w:type="page"/>
      </w:r>
    </w:p>
    <w:p>
      <w:pPr>
        <w:pStyle w:val="Heading1"/>
      </w:pPr>
      <w:bookmarkStart w:name="posture" w:id="5"/>
      <w:r>
        <w:t xml:space="preserve">4. Security Posture Assessment</w:t>
      </w:r>
      <w:bookmarkEnd w:id="5"/>
    </w:p>
    <w:p>
      <w:pPr>
        <w:pBdr>
          <w:bottom w:val="single" w:color="2563A8" w:sz="6" w:space="1"/>
        </w:pBdr>
        <w:spacing w:after="120" w:before="120"/>
      </w:pPr>
      <w:r>
        <w:t xml:space="preserve"/>
      </w:r>
    </w:p>
    <w:p>
      <w:pPr>
        <w:pStyle w:val="Heading2"/>
      </w:pPr>
      <w:r>
        <w:t xml:space="preserve">4.1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gridSpan w:val="1"/>
            <w:tcBorders>
              <w:top w:val="single" w:color="CCCCCC" w:sz="1"/>
              <w:left w:val="single" w:color="CCCCCC" w:sz="1"/>
              <w:bottom w:val="single" w:color="CCCCCC" w:sz="1"/>
              <w:right w:val="single" w:color="CCCCCC" w:sz="1"/>
            </w:tcBorders>
            <w:shd w:fill="1A7A3A"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Control Area</w:t>
            </w:r>
          </w:p>
        </w:tc>
        <w:tc>
          <w:tcPr>
            <w:tcW w:type="dxa" w:w="4560"/>
            <w:gridSpan w:val="1"/>
            <w:tcBorders>
              <w:top w:val="single" w:color="CCCCCC" w:sz="1"/>
              <w:left w:val="single" w:color="CCCCCC" w:sz="1"/>
              <w:bottom w:val="single" w:color="CCCCCC" w:sz="1"/>
              <w:right w:val="single" w:color="CCCCCC" w:sz="1"/>
            </w:tcBorders>
            <w:shd w:fill="1A7A3A"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Assessment</w:t>
            </w:r>
          </w:p>
        </w:tc>
        <w:tc>
          <w:tcPr>
            <w:tcW w:type="dxa" w:w="2600"/>
            <w:gridSpan w:val="1"/>
            <w:tcBorders>
              <w:top w:val="single" w:color="CCCCCC" w:sz="1"/>
              <w:left w:val="single" w:color="CCCCCC" w:sz="1"/>
              <w:bottom w:val="single" w:color="CCCCCC" w:sz="1"/>
              <w:right w:val="single" w:color="CCCCCC" w:sz="1"/>
            </w:tcBorders>
            <w:shd w:fill="1A7A3A"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Key Evidence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Secret Enforcement</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Core auth and encryption secrets mandatory at startup — no fallback values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55555"/>
                <w:sz w:val="17"/>
                <w:szCs w:val="17"/>
              </w:rPr>
              <w:t xml:space="preserve">main.ts (gateway &amp; control-plane)</w:t>
            </w:r>
          </w:p>
        </w:tc>
      </w:tr>
      <w:tr>
        <w:tc>
          <w:tcPr>
            <w:tcW w:type="dxa" w:w="2200"/>
            <w:gridSpan w:val="1"/>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Trust Boundary Hardening</w:t>
            </w:r>
          </w:p>
        </w:tc>
        <w:tc>
          <w:tcPr>
            <w:tcW w:type="dxa" w:w="4560"/>
            <w:gridSpan w:val="1"/>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NATS unexposed in production; service-specific credentials and permissions</w:t>
            </w:r>
          </w:p>
        </w:tc>
        <w:tc>
          <w:tcPr>
            <w:tcW w:type="dxa" w:w="2600"/>
            <w:gridSpan w:val="1"/>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555555"/>
                <w:sz w:val="17"/>
                <w:szCs w:val="17"/>
              </w:rPr>
              <w:t xml:space="preserve">docker-compose.prod.yml, nats-server.conf</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Tenant Isolation</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X-Tenant-ID override removed; tenant context derives exclusively from JWT</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55555"/>
                <w:sz w:val="17"/>
                <w:szCs w:val="17"/>
              </w:rPr>
              <w:t xml:space="preserve">tenant.middleware.ts</w:t>
            </w:r>
          </w:p>
        </w:tc>
      </w:tr>
      <w:tr>
        <w:tc>
          <w:tcPr>
            <w:tcW w:type="dxa" w:w="2200"/>
            <w:gridSpan w:val="1"/>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Session Security</w:t>
            </w:r>
          </w:p>
        </w:tc>
        <w:tc>
          <w:tcPr>
            <w:tcW w:type="dxa" w:w="4560"/>
            <w:gridSpan w:val="1"/>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Privileged clients no longer store bearer tokens in localStorage; cookie-only implementation</w:t>
            </w:r>
          </w:p>
        </w:tc>
        <w:tc>
          <w:tcPr>
            <w:tcW w:type="dxa" w:w="2600"/>
            <w:gridSpan w:val="1"/>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555555"/>
                <w:sz w:val="17"/>
                <w:szCs w:val="17"/>
              </w:rPr>
              <w:t xml:space="preserve">security.ts, cookies.ts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Authentication Hardening</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Account lockout, password complexity, MFA, and auth audit logging for operators and admins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55555"/>
                <w:sz w:val="17"/>
                <w:szCs w:val="17"/>
              </w:rPr>
              <w:t xml:space="preserve">auth.service.ts</w:t>
            </w:r>
          </w:p>
        </w:tc>
      </w:tr>
      <w:tr>
        <w:tc>
          <w:tcPr>
            <w:tcW w:type="dxa" w:w="2200"/>
            <w:gridSpan w:val="1"/>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Onboarding Security</w:t>
            </w:r>
          </w:p>
        </w:tc>
        <w:tc>
          <w:tcPr>
            <w:tcW w:type="dxa" w:w="4560"/>
            <w:gridSpan w:val="1"/>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One-time tokens hashed, expire after 15 minutes, and are single-use</w:t>
            </w:r>
          </w:p>
        </w:tc>
        <w:tc>
          <w:tcPr>
            <w:tcW w:type="dxa" w:w="2600"/>
            <w:gridSpan w:val="1"/>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555555"/>
                <w:sz w:val="17"/>
                <w:szCs w:val="17"/>
              </w:rPr>
              <w:t xml:space="preserve">tenants.service.ts, auth.service.ts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Container Runtime</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Service containers run as non-root users; health checks included</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55555"/>
                <w:sz w:val="17"/>
                <w:szCs w:val="17"/>
              </w:rPr>
              <w:t xml:space="preserve">Dockerfiles</w:t>
            </w:r>
          </w:p>
        </w:tc>
      </w:tr>
      <w:tr>
        <w:tc>
          <w:tcPr>
            <w:tcW w:type="dxa" w:w="2200"/>
            <w:gridSpan w:val="1"/>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CI Security Controls</w:t>
            </w:r>
          </w:p>
        </w:tc>
        <w:tc>
          <w:tcPr>
            <w:tcW w:type="dxa" w:w="4560"/>
            <w:gridSpan w:val="1"/>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Secret scanning, SAST, dependency auditing, and unit tests wired into CI</w:t>
            </w:r>
          </w:p>
        </w:tc>
        <w:tc>
          <w:tcPr>
            <w:tcW w:type="dxa" w:w="2600"/>
            <w:gridSpan w:val="1"/>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555555"/>
                <w:sz w:val="17"/>
                <w:szCs w:val="17"/>
              </w:rPr>
              <w:t xml:space="preserve">security-ci.yml</w:t>
            </w:r>
          </w:p>
        </w:tc>
      </w:tr>
    </w:tbl>
    <w:p>
      <w:pPr>
        <w:spacing w:after="80" w:before="0"/>
      </w:pPr>
      <w:r>
        <w:t xml:space="preserve"/>
      </w:r>
    </w:p>
    <w:p>
      <w:pPr>
        <w:pStyle w:val="Heading2"/>
      </w:pPr>
      <w:r>
        <w:t xml:space="preserve">4.2  Residual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Domain</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Risk Level</w:t>
            </w:r>
          </w:p>
        </w:tc>
        <w:tc>
          <w:tcPr>
            <w:tcW w:type="dxa" w:w="536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Rationale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Access Control</w:t>
            </w:r>
          </w:p>
        </w:tc>
        <w:tc>
          <w:tcPr>
            <w:tcW w:type="dxa" w:w="2000"/>
            <w:tcBorders>
              <w:top w:val="single" w:color="D35400" w:sz="1"/>
              <w:left w:val="single" w:color="D35400" w:sz="1"/>
              <w:bottom w:val="single" w:color="D35400" w:sz="1"/>
              <w:right w:val="single" w:color="D35400"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Moderate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RBAC and MFA in place, but validation remains partly route- and code-based rather than centrally policy-driven.</w:t>
            </w:r>
          </w:p>
        </w:tc>
      </w:tr>
      <w:tr>
        <w:tc>
          <w:tcPr>
            <w:tcW w:type="dxa" w:w="20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Data Protection</w:t>
            </w:r>
          </w:p>
        </w:tc>
        <w:tc>
          <w:tcPr>
            <w:tcW w:type="dxa" w:w="2000"/>
            <w:tcBorders>
              <w:top w:val="single" w:color="D35400" w:sz="1"/>
              <w:left w:val="single" w:color="D35400" w:sz="1"/>
              <w:bottom w:val="single" w:color="D35400" w:sz="1"/>
              <w:right w:val="single" w:color="D35400"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Moderate</w:t>
            </w:r>
          </w:p>
        </w:tc>
        <w:tc>
          <w:tcPr>
            <w:tcW w:type="dxa" w:w="53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At-rest secret encryption implemented; privacy lifecycle automation incomplete.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Audit &amp; Monitoring</w:t>
            </w:r>
          </w:p>
        </w:tc>
        <w:tc>
          <w:tcPr>
            <w:tcW w:type="dxa" w:w="20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Moderate to High</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Control-plane audit integrity improved; service-wide immutable log retention not demonstrated.</w:t>
            </w:r>
          </w:p>
        </w:tc>
      </w:tr>
      <w:tr>
        <w:tc>
          <w:tcPr>
            <w:tcW w:type="dxa" w:w="20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Infrastructure</w:t>
            </w:r>
          </w:p>
        </w:tc>
        <w:tc>
          <w:tcPr>
            <w:tcW w:type="dxa" w:w="2000"/>
            <w:tcBorders>
              <w:top w:val="single" w:color="D35400" w:sz="1"/>
              <w:left w:val="single" w:color="D35400" w:sz="1"/>
              <w:bottom w:val="single" w:color="D35400" w:sz="1"/>
              <w:right w:val="single" w:color="D35400"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Moderate</w:t>
            </w:r>
          </w:p>
        </w:tc>
        <w:tc>
          <w:tcPr>
            <w:tcW w:type="dxa" w:w="53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Network exposure much tighter; some production defaults and plugin exposure remain too permissive.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SDLC Assurance</w:t>
            </w:r>
          </w:p>
        </w:tc>
        <w:tc>
          <w:tcPr>
            <w:tcW w:type="dxa" w:w="20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Moderate to High</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Security CI exists; several Docker builds tolerate TypeScript compile failures; Node validation could not be executed in this audit.</w:t>
            </w:r>
          </w:p>
        </w:tc>
      </w:tr>
      <w:tr>
        <w:tc>
          <w:tcPr>
            <w:tcW w:type="dxa" w:w="20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Compliance Evidence</w:t>
            </w:r>
          </w:p>
        </w:tc>
        <w:tc>
          <w:tcPr>
            <w:tcW w:type="dxa" w:w="2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High</w:t>
            </w:r>
          </w:p>
        </w:tc>
        <w:tc>
          <w:tcPr>
            <w:tcW w:type="dxa" w:w="53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Technical controls are ahead of process/evidence controls for GDPR, HIPAA, and ISO 27001.</w:t>
            </w:r>
          </w:p>
        </w:tc>
      </w:tr>
    </w:tbl>
    <w:p>
      <w:pPr>
        <w:spacing w:after="80" w:before="0"/>
      </w:pPr>
      <w:r>
        <w:t xml:space="preserve"/>
      </w:r>
    </w:p>
    <w:p>
      <w:r>
        <w:br w:type="page"/>
      </w:r>
    </w:p>
    <w:p>
      <w:pPr>
        <w:pStyle w:val="Heading1"/>
      </w:pPr>
      <w:bookmarkStart w:name="critical" w:id="6"/>
      <w:r>
        <w:t xml:space="preserve">5. Critical Findings</w:t>
      </w:r>
      <w:bookmarkEnd w:id="6"/>
    </w:p>
    <w:p>
      <w:pPr>
        <w:pBdr>
          <w:bottom w:val="single" w:color="C0392B" w:sz="6" w:space="1"/>
        </w:pBdr>
        <w:spacing w:after="120" w:before="120"/>
      </w:pPr>
      <w:r>
        <w:t xml:space="preserve"/>
      </w:r>
    </w:p>
    <w:p>
      <w:pPr>
        <w:spacing w:after="60" w:before="60"/>
      </w:pPr>
      <w:r>
        <w:rPr>
          <w:rFonts w:ascii="Arial" w:cs="Arial" w:eastAsia="Arial" w:hAnsi="Arial"/>
          <w:b w:val="false"/>
          <w:bCs w:val="false"/>
          <w:color w:val="1A1A2E"/>
          <w:sz w:val="20"/>
          <w:szCs w:val="20"/>
        </w:rPr>
        <w:t xml:space="preserve">The following findings represent certification blockers that must be resolved before enterprise production deployment.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220"/>
              <w:bottom w:type="dxa" w:w="100"/>
              <w:right w:type="dxa" w:w="220"/>
            </w:tcMar>
          </w:tcPr>
          <w:p>
            <w:r>
              <w:rPr>
                <w:rFonts w:ascii="Arial" w:cs="Arial" w:eastAsia="Arial" w:hAnsi="Arial"/>
                <w:b/>
                <w:bCs/>
                <w:color w:val="FFFFFF"/>
                <w:sz w:val="22"/>
                <w:szCs w:val="22"/>
              </w:rPr>
              <w:t>CR-01  Privacy Rights &amp; Retention Controls Incomplete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gridSpan w:val="1"/>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vAlign w:val="center"/>
          </w:tcPr>
          <w:p>
            <w:pPr>
              <w:jc w:val="left"/>
            </w:pPr>
            <w:r>
              <w:rPr>
                <w:rFonts w:ascii="Arial" w:cs="Arial" w:eastAsia="Arial" w:hAnsi="Arial"/>
                <w:b/>
                <w:bCs/>
                <w:color w:val="C0392B"/>
                <w:sz w:val="18"/>
                <w:szCs w:val="18"/>
              </w:rPr>
              <w:t xml:space="preserve">Finding</w:t>
            </w:r>
          </w:p>
        </w:tc>
        <w:tc>
          <w:tcPr>
            <w:tcW w:type="dxa" w:w="79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The platform supports operator-driven tenant export and hard-delete and stores retention metadata, but does not implement subject-level DSAR export/deletion, legal-basis or consent capture, privacy notice delivery, or automated retention enforcement.</w:t>
            </w:r>
          </w:p>
        </w:tc>
      </w:tr>
      <w:tr>
        <w:tc>
          <w:tcPr>
            <w:tcW w:type="dxa" w:w="1440"/>
            <w:gridSpan w:val="1"/>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vAlign w:val="center"/>
          </w:tcPr>
          <w:p>
            <w:pPr>
              <w:jc w:val="left"/>
            </w:pPr>
            <w:r>
              <w:rPr>
                <w:rFonts w:ascii="Arial" w:cs="Arial" w:eastAsia="Arial" w:hAnsi="Arial"/>
                <w:b/>
                <w:bCs/>
                <w:color w:val="C0392B"/>
                <w:sz w:val="18"/>
                <w:szCs w:val="18"/>
              </w:rPr>
              <w:t xml:space="preserve">Impact</w:t>
            </w:r>
          </w:p>
        </w:tc>
        <w:tc>
          <w:tcPr>
            <w:tcW w:type="dxa" w:w="792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Certification blockers for GDPR and HIPAA; weak support for regulated data handling and privacy-by-design claims.</w:t>
            </w:r>
          </w:p>
        </w:tc>
      </w:tr>
      <w:tr>
        <w:tc>
          <w:tcPr>
            <w:tcW w:type="dxa" w:w="1440"/>
            <w:gridSpan w:val="1"/>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vAlign w:val="center"/>
          </w:tcPr>
          <w:p>
            <w:pPr>
              <w:jc w:val="left"/>
            </w:pPr>
            <w:r>
              <w:rPr>
                <w:rFonts w:ascii="Arial" w:cs="Arial" w:eastAsia="Arial" w:hAnsi="Arial"/>
                <w:b/>
                <w:bCs/>
                <w:color w:val="C0392B"/>
                <w:sz w:val="18"/>
                <w:szCs w:val="18"/>
              </w:rPr>
              <w:t xml:space="preserve">Evidence</w:t>
            </w:r>
          </w:p>
        </w:tc>
        <w:tc>
          <w:tcPr>
            <w:tcW w:type="dxa" w:w="79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55555"/>
                <w:sz w:val="17"/>
                <w:szCs w:val="17"/>
              </w:rPr>
              <w:t xml:space="preserve">tenants.controller.ts, tenants.service.ts, schema.prisma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220"/>
              <w:bottom w:type="dxa" w:w="100"/>
              <w:right w:type="dxa" w:w="220"/>
            </w:tcMar>
          </w:tcPr>
          <w:p>
            <w:r>
              <w:rPr>
                <w:rFonts w:ascii="Arial" w:cs="Arial" w:eastAsia="Arial" w:hAnsi="Arial"/>
                <w:b/>
                <w:bCs/>
                <w:color w:val="FFFFFF"/>
                <w:sz w:val="22"/>
                <w:szCs w:val="22"/>
              </w:rPr>
              <w:t>CR-02  Immutable Audit Evidence Partially Implemented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gridSpan w:val="1"/>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vAlign w:val="center"/>
          </w:tcPr>
          <w:p>
            <w:pPr>
              <w:jc w:val="left"/>
            </w:pPr>
            <w:r>
              <w:rPr>
                <w:rFonts w:ascii="Arial" w:cs="Arial" w:eastAsia="Arial" w:hAnsi="Arial"/>
                <w:b/>
                <w:bCs/>
                <w:color w:val="C0392B"/>
                <w:sz w:val="18"/>
                <w:szCs w:val="18"/>
              </w:rPr>
              <w:t xml:space="preserve">Finding</w:t>
            </w:r>
          </w:p>
        </w:tc>
        <w:tc>
          <w:tcPr>
            <w:tcW w:type="dxa" w:w="79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Control-plane audit entries are hash-chained, but equivalent tamper-evident logging and off-platform immutable retention are not demonstrated across the rest of the services.</w:t>
            </w:r>
          </w:p>
        </w:tc>
      </w:tr>
      <w:tr>
        <w:tc>
          <w:tcPr>
            <w:tcW w:type="dxa" w:w="1440"/>
            <w:gridSpan w:val="1"/>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vAlign w:val="center"/>
          </w:tcPr>
          <w:p>
            <w:pPr>
              <w:jc w:val="left"/>
            </w:pPr>
            <w:r>
              <w:rPr>
                <w:rFonts w:ascii="Arial" w:cs="Arial" w:eastAsia="Arial" w:hAnsi="Arial"/>
                <w:b/>
                <w:bCs/>
                <w:color w:val="C0392B"/>
                <w:sz w:val="18"/>
                <w:szCs w:val="18"/>
              </w:rPr>
              <w:t xml:space="preserve">Impact</w:t>
            </w:r>
          </w:p>
        </w:tc>
        <w:tc>
          <w:tcPr>
            <w:tcW w:type="dxa" w:w="792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SOC 2, HIPAA, ISO 27001, and PCI evidence packages remain weak; post-incident forensics and administrative accountability are incomplete.</w:t>
            </w:r>
          </w:p>
        </w:tc>
      </w:tr>
      <w:tr>
        <w:tc>
          <w:tcPr>
            <w:tcW w:type="dxa" w:w="1440"/>
            <w:gridSpan w:val="1"/>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vAlign w:val="center"/>
          </w:tcPr>
          <w:p>
            <w:pPr>
              <w:jc w:val="left"/>
            </w:pPr>
            <w:r>
              <w:rPr>
                <w:rFonts w:ascii="Arial" w:cs="Arial" w:eastAsia="Arial" w:hAnsi="Arial"/>
                <w:b/>
                <w:bCs/>
                <w:color w:val="C0392B"/>
                <w:sz w:val="18"/>
                <w:szCs w:val="18"/>
              </w:rPr>
              <w:t xml:space="preserve">Evidence</w:t>
            </w:r>
          </w:p>
        </w:tc>
        <w:tc>
          <w:tcPr>
            <w:tcW w:type="dxa" w:w="79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55555"/>
                <w:sz w:val="17"/>
                <w:szCs w:val="17"/>
              </w:rPr>
              <w:t xml:space="preserve">audit-log.service.ts, schema.prisma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220"/>
              <w:bottom w:type="dxa" w:w="100"/>
              <w:right w:type="dxa" w:w="220"/>
            </w:tcMar>
          </w:tcPr>
          <w:p>
            <w:r>
              <w:rPr>
                <w:rFonts w:ascii="Arial" w:cs="Arial" w:eastAsia="Arial" w:hAnsi="Arial"/>
                <w:b/>
                <w:bCs/>
                <w:color w:val="FFFFFF"/>
                <w:sz w:val="22"/>
                <w:szCs w:val="22"/>
              </w:rPr>
              <w:t>CR-03  Release Assurance Evidence Incomplete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gridSpan w:val="1"/>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vAlign w:val="center"/>
          </w:tcPr>
          <w:p>
            <w:pPr>
              <w:jc w:val="left"/>
            </w:pPr>
            <w:r>
              <w:rPr>
                <w:rFonts w:ascii="Arial" w:cs="Arial" w:eastAsia="Arial" w:hAnsi="Arial"/>
                <w:b/>
                <w:bCs/>
                <w:color w:val="C0392B"/>
                <w:sz w:val="18"/>
                <w:szCs w:val="18"/>
              </w:rPr>
              <w:t xml:space="preserve">Finding</w:t>
            </w:r>
          </w:p>
        </w:tc>
        <w:tc>
          <w:tcPr>
            <w:tcW w:type="dxa" w:w="79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Go vulnerability scanning succeeded with no findings. However, Node-based build, test, and dependency audit execution could not be completed during this audit because the local runtime would not execute node directly.</w:t>
            </w:r>
          </w:p>
        </w:tc>
      </w:tr>
      <w:tr>
        <w:tc>
          <w:tcPr>
            <w:tcW w:type="dxa" w:w="1440"/>
            <w:gridSpan w:val="1"/>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vAlign w:val="center"/>
          </w:tcPr>
          <w:p>
            <w:pPr>
              <w:jc w:val="left"/>
            </w:pPr>
            <w:r>
              <w:rPr>
                <w:rFonts w:ascii="Arial" w:cs="Arial" w:eastAsia="Arial" w:hAnsi="Arial"/>
                <w:b/>
                <w:bCs/>
                <w:color w:val="C0392B"/>
                <w:sz w:val="18"/>
                <w:szCs w:val="18"/>
              </w:rPr>
              <w:t xml:space="preserve">Impact</w:t>
            </w:r>
          </w:p>
        </w:tc>
        <w:tc>
          <w:tcPr>
            <w:tcW w:type="dxa" w:w="792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Enterprise sign-off cannot rely on fully reproduced build/test/dependency evidence from this audit run.</w:t>
            </w:r>
          </w:p>
        </w:tc>
      </w:tr>
      <w:tr>
        <w:tc>
          <w:tcPr>
            <w:tcW w:type="dxa" w:w="1440"/>
            <w:gridSpan w:val="1"/>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vAlign w:val="center"/>
          </w:tcPr>
          <w:p>
            <w:pPr>
              <w:jc w:val="left"/>
            </w:pPr>
            <w:r>
              <w:rPr>
                <w:rFonts w:ascii="Arial" w:cs="Arial" w:eastAsia="Arial" w:hAnsi="Arial"/>
                <w:b/>
                <w:bCs/>
                <w:color w:val="C0392B"/>
                <w:sz w:val="18"/>
                <w:szCs w:val="18"/>
              </w:rPr>
              <w:t xml:space="preserve">Evidence</w:t>
            </w:r>
          </w:p>
        </w:tc>
        <w:tc>
          <w:tcPr>
            <w:tcW w:type="dxa" w:w="79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55555"/>
                <w:sz w:val="17"/>
                <w:szCs w:val="17"/>
              </w:rPr>
              <w:t xml:space="preserve">security-ci.yml, local audit execution March 14, 2026</w:t>
            </w:r>
          </w:p>
        </w:tc>
      </w:tr>
    </w:tbl>
    <w:p>
      <w:pPr>
        <w:spacing w:after="80" w:before="0"/>
      </w:pPr>
      <w:r>
        <w:t xml:space="preserve"/>
      </w:r>
    </w:p>
    <w:p>
      <w:r>
        <w:br w:type="page"/>
      </w:r>
    </w:p>
    <w:p>
      <w:pPr>
        <w:pStyle w:val="Heading1"/>
      </w:pPr>
      <w:bookmarkStart w:name="medium" w:id="7"/>
      <w:r>
        <w:t xml:space="preserve">6. Medium Risk Findings</w:t>
      </w:r>
      <w:bookmarkEnd w:id="7"/>
    </w:p>
    <w:p>
      <w:pPr>
        <w:pBdr>
          <w:bottom w:val="single" w:color="D35400" w:sz="6" w:space="1"/>
        </w:pBdr>
        <w:spacing w:after="120" w:before="12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900"/>
        <w:gridCol w:w="2600"/>
        <w:gridCol w:w="1760"/>
      </w:tblGrid>
      <w:tr>
        <w:tc>
          <w:tcPr>
            <w:tcW w:type="dxa" w:w="9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ID</w:t>
            </w:r>
          </w:p>
        </w:tc>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Severity</w:t>
            </w:r>
          </w:p>
        </w:tc>
        <w:tc>
          <w:tcPr>
            <w:tcW w:type="dxa" w:w="29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Finding</w:t>
            </w:r>
          </w:p>
        </w:tc>
        <w:tc>
          <w:tcPr>
            <w:tcW w:type="dxa" w:w="26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Impact</w:t>
            </w:r>
          </w:p>
        </w:tc>
        <w:tc>
          <w:tcPr>
            <w:tcW w:type="dxa" w:w="176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Evidence</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HM-01</w:t>
            </w:r>
          </w:p>
        </w:tc>
        <w:tc>
          <w:tcPr>
            <w:tcW w:type="dxa" w:w="120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MEDIUM</w:t>
            </w:r>
          </w:p>
        </w:tc>
        <w:tc>
          <w:tcPr>
            <w:tcW w:type="dxa" w:w="2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In-memory rate limiting not shared across instances; resets on restart</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Horizontal scaling or failover weakens brute-force and abuse protection</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55555"/>
                <w:sz w:val="16"/>
                <w:szCs w:val="16"/>
              </w:rPr>
              <w:t xml:space="preserve">main.ts, rate-limit.ts</w:t>
            </w:r>
          </w:p>
        </w:tc>
      </w:tr>
      <w:tr>
        <w:tc>
          <w:tcPr>
            <w:tcW w:type="dxa" w:w="9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HM-02</w:t>
            </w:r>
          </w:p>
        </w:tc>
        <w:tc>
          <w:tcPr>
            <w:tcW w:type="dxa" w:w="120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MEDIUM</w:t>
            </w:r>
          </w:p>
        </w:tc>
        <w:tc>
          <w:tcPr>
            <w:tcW w:type="dxa" w:w="29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Input validation permissive — whitelist: false in both gateway and control-plane</w:t>
            </w:r>
          </w:p>
        </w:tc>
        <w:tc>
          <w:tcPr>
            <w:tcW w:type="dxa" w:w="26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Over-posting and unexpected payload acceptance risk higher than enterprise defaults</w:t>
            </w:r>
          </w:p>
        </w:tc>
        <w:tc>
          <w:tcPr>
            <w:tcW w:type="dxa" w:w="17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555555"/>
                <w:sz w:val="16"/>
                <w:szCs w:val="16"/>
              </w:rPr>
              <w:t xml:space="preserve">main.ts (gateway &amp; control-plane)</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HM-03</w:t>
            </w:r>
          </w:p>
        </w:tc>
        <w:tc>
          <w:tcPr>
            <w:tcW w:type="dxa" w:w="120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MEDIUM</w:t>
            </w:r>
          </w:p>
        </w:tc>
        <w:tc>
          <w:tcPr>
            <w:tcW w:type="dxa" w:w="2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Production Redis has fallback password changeme if REDIS_PASSWORD is omitted</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Misconfigured deployments could expose an internal service with a weak credential</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55555"/>
                <w:sz w:val="16"/>
                <w:szCs w:val="16"/>
              </w:rPr>
              <w:t xml:space="preserve">docker-compose.prod.yml</w:t>
            </w:r>
          </w:p>
        </w:tc>
      </w:tr>
      <w:tr>
        <w:tc>
          <w:tcPr>
            <w:tcW w:type="dxa" w:w="9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HM-04</w:t>
            </w:r>
          </w:p>
        </w:tc>
        <w:tc>
          <w:tcPr>
            <w:tcW w:type="dxa" w:w="120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MEDIUM</w:t>
            </w:r>
          </w:p>
        </w:tc>
        <w:tc>
          <w:tcPr>
            <w:tcW w:type="dxa" w:w="29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Production Neo4j enables unrestricted apoc.* procedures</w:t>
            </w:r>
          </w:p>
        </w:tc>
        <w:tc>
          <w:tcPr>
            <w:tcW w:type="dxa" w:w="26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If APOC present and a Neo4j session is compromised, attack surface is materially broader</w:t>
            </w:r>
          </w:p>
        </w:tc>
        <w:tc>
          <w:tcPr>
            <w:tcW w:type="dxa" w:w="17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555555"/>
                <w:sz w:val="16"/>
                <w:szCs w:val="16"/>
              </w:rPr>
              <w:t xml:space="preserve">docker-compose.prod.yml</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HM-05</w:t>
            </w:r>
          </w:p>
        </w:tc>
        <w:tc>
          <w:tcPr>
            <w:tcW w:type="dxa" w:w="120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MEDIUM</w:t>
            </w:r>
          </w:p>
        </w:tc>
        <w:tc>
          <w:tcPr>
            <w:tcW w:type="dxa" w:w="2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Docker builds tolerate TypeScript compile failures via tsc ... || true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Weakens SDLC assurances; increases chance of shipping broken builds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55555"/>
                <w:sz w:val="16"/>
                <w:szCs w:val="16"/>
              </w:rPr>
              <w:t xml:space="preserve">Multiple Dockerfiles</w:t>
            </w:r>
          </w:p>
        </w:tc>
      </w:tr>
      <w:tr>
        <w:tc>
          <w:tcPr>
            <w:tcW w:type="dxa" w:w="9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HM-06</w:t>
            </w:r>
          </w:p>
        </w:tc>
        <w:tc>
          <w:tcPr>
            <w:tcW w:type="dxa" w:w="120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MEDIUM</w:t>
            </w:r>
          </w:p>
        </w:tc>
        <w:tc>
          <w:tcPr>
            <w:tcW w:type="dxa" w:w="29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NATS monitoring enabled on http_port: 8222 without explicit authentication</w:t>
            </w:r>
          </w:p>
        </w:tc>
        <w:tc>
          <w:tcPr>
            <w:tcW w:type="dxa" w:w="26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Internal service compromise could expose broker metadata and operational information</w:t>
            </w:r>
          </w:p>
        </w:tc>
        <w:tc>
          <w:tcPr>
            <w:tcW w:type="dxa" w:w="17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555555"/>
                <w:sz w:val="16"/>
                <w:szCs w:val="16"/>
              </w:rPr>
              <w:t xml:space="preserve">nats-server.conf</w:t>
            </w:r>
          </w:p>
        </w:tc>
      </w:tr>
    </w:tbl>
    <w:p>
      <w:pPr>
        <w:spacing w:after="80" w:before="0"/>
      </w:pPr>
      <w:r>
        <w:t xml:space="preserve"/>
      </w:r>
    </w:p>
    <w:p>
      <w:pPr>
        <w:pStyle w:val="Heading1"/>
      </w:pPr>
      <w:bookmarkStart w:name="low" w:id="8"/>
      <w:r>
        <w:t xml:space="preserve">7. Low Risk Findings</w:t>
      </w:r>
      <w:bookmarkEnd w:id="8"/>
    </w:p>
    <w:p>
      <w:pPr>
        <w:pBdr>
          <w:bottom w:val="single" w:color="F0C040" w:sz="6" w:space="1"/>
        </w:pBdr>
        <w:spacing w:after="120" w:before="12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900"/>
        <w:gridCol w:w="2600"/>
        <w:gridCol w:w="1760"/>
      </w:tblGrid>
      <w:tr>
        <w:tc>
          <w:tcPr>
            <w:tcW w:type="dxa" w:w="9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ID</w:t>
            </w:r>
          </w:p>
        </w:tc>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Severity</w:t>
            </w:r>
          </w:p>
        </w:tc>
        <w:tc>
          <w:tcPr>
            <w:tcW w:type="dxa" w:w="29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Finding</w:t>
            </w:r>
          </w:p>
        </w:tc>
        <w:tc>
          <w:tcPr>
            <w:tcW w:type="dxa" w:w="26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Impact</w:t>
            </w:r>
          </w:p>
        </w:tc>
        <w:tc>
          <w:tcPr>
            <w:tcW w:type="dxa" w:w="176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Evidence</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LM-01</w:t>
            </w:r>
          </w:p>
        </w:tc>
        <w:tc>
          <w:tcPr>
            <w:tcW w:type="dxa" w:w="1200"/>
            <w:tcBorders>
              <w:top w:val="single" w:color="F0C040" w:sz="1"/>
              <w:left w:val="single" w:color="F0C040" w:sz="1"/>
              <w:bottom w:val="single" w:color="F0C040" w:sz="1"/>
              <w:right w:val="single" w:color="F0C040" w:sz="1"/>
            </w:tcBorders>
            <w:shd w:fill="F0C040" w:val="clear"/>
            <w:tcMar>
              <w:top w:type="dxa" w:w="80"/>
              <w:left w:type="dxa" w:w="100"/>
              <w:bottom w:type="dxa" w:w="80"/>
              <w:right w:type="dxa" w:w="100"/>
            </w:tcMar>
            <w:vAlign w:val="center"/>
          </w:tcPr>
          <w:p>
            <w:pPr>
              <w:jc w:val="center"/>
            </w:pPr>
            <w:r>
              <w:rPr>
                <w:rFonts w:ascii="Arial" w:cs="Arial" w:eastAsia="Arial" w:hAnsi="Arial"/>
                <w:b/>
                <w:bCs/>
                <w:color w:val="1A1A2E"/>
                <w:sz w:val="17"/>
                <w:szCs w:val="17"/>
              </w:rPr>
              <w:t xml:space="preserve">LOW</w:t>
            </w:r>
          </w:p>
        </w:tc>
        <w:tc>
          <w:tcPr>
            <w:tcW w:type="dxa" w:w="2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Older compliance docs still describe pre-remediation issues (X-Tenant-ID override, browser token storage)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Can confuse auditors and create inaccurate evidence package if old reports reused</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55555"/>
                <w:sz w:val="16"/>
                <w:szCs w:val="16"/>
              </w:rPr>
              <w:t xml:space="preserve">FINAL_ENTERPRISE_SECURITY_COMPLIANCE_AUDIT_REPORT.md</w:t>
            </w:r>
          </w:p>
        </w:tc>
      </w:tr>
      <w:tr>
        <w:tc>
          <w:tcPr>
            <w:tcW w:type="dxa" w:w="9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LM-02</w:t>
            </w:r>
          </w:p>
        </w:tc>
        <w:tc>
          <w:tcPr>
            <w:tcW w:type="dxa" w:w="1200"/>
            <w:tcBorders>
              <w:top w:val="single" w:color="F0C040" w:sz="1"/>
              <w:left w:val="single" w:color="F0C040" w:sz="1"/>
              <w:bottom w:val="single" w:color="F0C040" w:sz="1"/>
              <w:right w:val="single" w:color="F0C040" w:sz="1"/>
            </w:tcBorders>
            <w:shd w:fill="F0C040" w:val="clear"/>
            <w:tcMar>
              <w:top w:type="dxa" w:w="80"/>
              <w:left w:type="dxa" w:w="100"/>
              <w:bottom w:type="dxa" w:w="80"/>
              <w:right w:type="dxa" w:w="100"/>
            </w:tcMar>
            <w:vAlign w:val="center"/>
          </w:tcPr>
          <w:p>
            <w:pPr>
              <w:jc w:val="center"/>
            </w:pPr>
            <w:r>
              <w:rPr>
                <w:rFonts w:ascii="Arial" w:cs="Arial" w:eastAsia="Arial" w:hAnsi="Arial"/>
                <w:b/>
                <w:bCs/>
                <w:color w:val="1A1A2E"/>
                <w:sz w:val="17"/>
                <w:szCs w:val="17"/>
              </w:rPr>
              <w:t xml:space="preserve">LOW</w:t>
            </w:r>
          </w:p>
        </w:tc>
        <w:tc>
          <w:tcPr>
            <w:tcW w:type="dxa" w:w="29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API security headers include legacy X-XSS-Protection, deprecated in modern browsers</w:t>
            </w:r>
          </w:p>
        </w:tc>
        <w:tc>
          <w:tcPr>
            <w:tcW w:type="dxa" w:w="26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No major security impact, but header set should be modernized for policy clarity</w:t>
            </w:r>
          </w:p>
        </w:tc>
        <w:tc>
          <w:tcPr>
            <w:tcW w:type="dxa" w:w="17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555555"/>
                <w:sz w:val="16"/>
                <w:szCs w:val="16"/>
              </w:rPr>
              <w:t xml:space="preserve">main.ts (api-gateway)</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LM-03</w:t>
            </w:r>
          </w:p>
        </w:tc>
        <w:tc>
          <w:tcPr>
            <w:tcW w:type="dxa" w:w="1200"/>
            <w:tcBorders>
              <w:top w:val="single" w:color="F0C040" w:sz="1"/>
              <w:left w:val="single" w:color="F0C040" w:sz="1"/>
              <w:bottom w:val="single" w:color="F0C040" w:sz="1"/>
              <w:right w:val="single" w:color="F0C040" w:sz="1"/>
            </w:tcBorders>
            <w:shd w:fill="F0C040" w:val="clear"/>
            <w:tcMar>
              <w:top w:type="dxa" w:w="80"/>
              <w:left w:type="dxa" w:w="100"/>
              <w:bottom w:type="dxa" w:w="80"/>
              <w:right w:type="dxa" w:w="100"/>
            </w:tcMar>
            <w:vAlign w:val="center"/>
          </w:tcPr>
          <w:p>
            <w:pPr>
              <w:jc w:val="center"/>
            </w:pPr>
            <w:r>
              <w:rPr>
                <w:rFonts w:ascii="Arial" w:cs="Arial" w:eastAsia="Arial" w:hAnsi="Arial"/>
                <w:b/>
                <w:bCs/>
                <w:color w:val="1A1A2E"/>
                <w:sz w:val="17"/>
                <w:szCs w:val="17"/>
              </w:rPr>
              <w:t xml:space="preserve">LOW</w:t>
            </w:r>
          </w:p>
        </w:tc>
        <w:tc>
          <w:tcPr>
            <w:tcW w:type="dxa" w:w="29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NATS listens on 0.0.0.0 inside container, relying on Docker isolation rather than interface binding</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7"/>
                <w:szCs w:val="17"/>
              </w:rPr>
              <w:t xml:space="preserve">Acceptable for containerized internal messaging, but not ideal defense-in-depth</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55555"/>
                <w:sz w:val="16"/>
                <w:szCs w:val="16"/>
              </w:rPr>
              <w:t xml:space="preserve">nats-server.conf</w:t>
            </w:r>
          </w:p>
        </w:tc>
      </w:tr>
    </w:tbl>
    <w:p>
      <w:pPr>
        <w:spacing w:after="80" w:before="0"/>
      </w:pPr>
      <w:r>
        <w:t xml:space="preserve"/>
      </w:r>
    </w:p>
    <w:p>
      <w:r>
        <w:br w:type="page"/>
      </w:r>
    </w:p>
    <w:p>
      <w:pPr>
        <w:pStyle w:val="Heading1"/>
      </w:pPr>
      <w:bookmarkStart w:name="compliance" w:id="9"/>
      <w:r>
        <w:t xml:space="preserve">8. Compliance Mapping Matrix</w:t>
      </w:r>
      <w:bookmarkEnd w:id="9"/>
    </w:p>
    <w:p>
      <w:pPr>
        <w:pBdr>
          <w:bottom w:val="single" w:color="2563A8" w:sz="6" w:space="1"/>
        </w:pBdr>
        <w:spacing w:after="120" w:before="12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960"/>
        <w:gridCol w:w="2800"/>
      </w:tblGrid>
      <w:tr>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Framework / Domain</w:t>
            </w:r>
          </w:p>
        </w:tc>
        <w:tc>
          <w:tcPr>
            <w:tcW w:type="dxa" w:w="14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Status</w:t>
            </w:r>
          </w:p>
        </w:tc>
        <w:tc>
          <w:tcPr>
            <w:tcW w:type="dxa" w:w="296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Evidence</w:t>
            </w:r>
          </w:p>
        </w:tc>
        <w:tc>
          <w:tcPr>
            <w:tcW w:type="dxa" w:w="28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Primary Gap</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SOC 2 Security</w:t>
            </w:r>
          </w:p>
        </w:tc>
        <w:tc>
          <w:tcPr>
            <w:tcW w:type="dxa" w:w="1400"/>
            <w:tcBorders>
              <w:top w:val="single" w:color="CCCCCC" w:sz="1"/>
              <w:left w:val="single" w:color="CCCCCC" w:sz="1"/>
              <w:bottom w:val="single" w:color="CCCCCC" w:sz="1"/>
              <w:right w:val="single" w:color="CCCCCC" w:sz="1"/>
            </w:tcBorders>
            <w:shd w:fill="A8D5A2"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Partial-Strong</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Cookie auth, MFA, tenant isolation, NATS auth, startup secrets, rate limiting</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Distributed rate limiting, validation evidence, and centralized immutable logging incomplete</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SOC 2 Availability</w:t>
            </w:r>
          </w:p>
        </w:tc>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Partial</w:t>
            </w:r>
          </w:p>
        </w:tc>
        <w:tc>
          <w:tcPr>
            <w:tcW w:type="dxa" w:w="29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Health checks, resource limits, restart policies, service dependency checks</w:t>
            </w:r>
          </w:p>
        </w:tc>
        <w:tc>
          <w:tcPr>
            <w:tcW w:type="dxa" w:w="28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No demonstrated HA, backup verification, DR testing, or uptime evidence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SOC 2 Processing Integrity</w:t>
            </w:r>
          </w:p>
        </w:tc>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Partial</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Tenant-scoped queries and policy checks reduce cross-tenant risk</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Docker pipeline tolerates compile errors; limited runtime validation evidence</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SOC 2 Confidentiality</w:t>
            </w:r>
          </w:p>
        </w:tc>
        <w:tc>
          <w:tcPr>
            <w:tcW w:type="dxa" w:w="1400"/>
            <w:tcBorders>
              <w:top w:val="single" w:color="CCCCCC" w:sz="1"/>
              <w:left w:val="single" w:color="CCCCCC" w:sz="1"/>
              <w:bottom w:val="single" w:color="CCCCCC" w:sz="1"/>
              <w:right w:val="single" w:color="CCCCCC" w:sz="1"/>
            </w:tcBorders>
            <w:shd w:fill="A8D5A2"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Partial-Strong</w:t>
            </w:r>
          </w:p>
        </w:tc>
        <w:tc>
          <w:tcPr>
            <w:tcW w:type="dxa" w:w="29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Secret encryption, internal network tightening, cookie auth, NATS auth</w:t>
            </w:r>
          </w:p>
        </w:tc>
        <w:tc>
          <w:tcPr>
            <w:tcW w:type="dxa" w:w="28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Privacy lifecycle and retention controls incomplete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SOC 2 Privacy</w:t>
            </w:r>
          </w:p>
        </w:tc>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Partial</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Tenant export and hard-delete capabilities exist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No full DSAR workflow, privacy notice, consent/legal basis, or retention enforcement</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ISO 27001 Access Control</w:t>
            </w:r>
          </w:p>
        </w:tc>
        <w:tc>
          <w:tcPr>
            <w:tcW w:type="dxa" w:w="1400"/>
            <w:tcBorders>
              <w:top w:val="single" w:color="CCCCCC" w:sz="1"/>
              <w:left w:val="single" w:color="CCCCCC" w:sz="1"/>
              <w:bottom w:val="single" w:color="CCCCCC" w:sz="1"/>
              <w:right w:val="single" w:color="CCCCCC" w:sz="1"/>
            </w:tcBorders>
            <w:shd w:fill="A8D5A2"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Partial-Strong</w:t>
            </w:r>
          </w:p>
        </w:tc>
        <w:tc>
          <w:tcPr>
            <w:tcW w:type="dxa" w:w="29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Role normalization, MFA, lockout, required secrets</w:t>
            </w:r>
          </w:p>
        </w:tc>
        <w:tc>
          <w:tcPr>
            <w:tcW w:type="dxa" w:w="28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Limited evidence of access review, JML policy process, and admin break-glass controls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ISO 27001 Cryptography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Strong</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AES-256-GCM envelope encryption and JWT secret enforcement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Key rotation and KMS-backed secret management not demonstrated</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ISO 27001 Secure Dev</w:t>
            </w:r>
          </w:p>
        </w:tc>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Partial</w:t>
            </w:r>
          </w:p>
        </w:tc>
        <w:tc>
          <w:tcPr>
            <w:tcW w:type="dxa" w:w="29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CI includes SAST, secret scan, dependency scans</w:t>
            </w:r>
          </w:p>
        </w:tc>
        <w:tc>
          <w:tcPr>
            <w:tcW w:type="dxa" w:w="28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Docker builds masking TypeScript errors weaken release assurance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PCI-DSS Req. 1/2</w:t>
            </w:r>
          </w:p>
        </w:tc>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Partial</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Internal service exposure reduced; NATS not public in prod</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Redis fallback password and broad Neo4j APOC enablement remain concerns</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PCI-DSS Req. 3/4</w:t>
            </w:r>
          </w:p>
        </w:tc>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Partial</w:t>
            </w:r>
          </w:p>
        </w:tc>
        <w:tc>
          <w:tcPr>
            <w:tcW w:type="dxa" w:w="29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Sensitive config encryption and secure cookies</w:t>
            </w:r>
          </w:p>
        </w:tc>
        <w:tc>
          <w:tcPr>
            <w:tcW w:type="dxa" w:w="28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No full cardholder-data scoping, segmentation validation, or TLS termination policy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PCI-DSS Req. 7/8</w:t>
            </w:r>
          </w:p>
        </w:tc>
        <w:tc>
          <w:tcPr>
            <w:tcW w:type="dxa" w:w="1400"/>
            <w:tcBorders>
              <w:top w:val="single" w:color="CCCCCC" w:sz="1"/>
              <w:left w:val="single" w:color="CCCCCC" w:sz="1"/>
              <w:bottom w:val="single" w:color="CCCCCC" w:sz="1"/>
              <w:right w:val="single" w:color="CCCCCC" w:sz="1"/>
            </w:tcBorders>
            <w:shd w:fill="A8D5A2"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Partial-Strong</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RBAC, MFA for privileged users, account lockout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Access reviews and centralized PAM controls not evidenced</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PCI-DSS Req. 10/11</w:t>
            </w:r>
          </w:p>
        </w:tc>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Partial</w:t>
            </w:r>
          </w:p>
        </w:tc>
        <w:tc>
          <w:tcPr>
            <w:tcW w:type="dxa" w:w="29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Audit logging and CI security scans</w:t>
            </w:r>
          </w:p>
        </w:tc>
        <w:tc>
          <w:tcPr>
            <w:tcW w:type="dxa" w:w="28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No demonstrated SIEM/WORM log pipeline, penetration testing, or validated FIM</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GDPR</w:t>
            </w:r>
          </w:p>
        </w:tc>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Partial</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Export endpoint, hard-delete path, retention metadata, encrypted secrets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No subject-level DSARs, privacy notice, consent/legal basis capture, or retention jobs</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HIPAA</w:t>
            </w:r>
          </w:p>
        </w:tc>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Partial</w:t>
            </w:r>
          </w:p>
        </w:tc>
        <w:tc>
          <w:tcPr>
            <w:tcW w:type="dxa" w:w="29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Access restrictions, MFA, audit logging, encryption, rate limiting</w:t>
            </w:r>
          </w:p>
        </w:tc>
        <w:tc>
          <w:tcPr>
            <w:tcW w:type="dxa" w:w="28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No PHI-specific incident procedures, minimum-necessary enforcement, or BAA/admin controls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NIST CSF</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Moderate</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Protect and Detect functions improved materially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Respond/Recover evidence and governance artifacts still weak</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7"/>
                <w:szCs w:val="17"/>
              </w:rPr>
              <w:t xml:space="preserve">CIS Controls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Moderate</w:t>
            </w:r>
          </w:p>
        </w:tc>
        <w:tc>
          <w:tcPr>
            <w:tcW w:type="dxa" w:w="296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6"/>
                <w:szCs w:val="16"/>
              </w:rPr>
              <w:t xml:space="preserve">Inventory, secret scanning, MFA, logging, secure configs improved</w:t>
            </w:r>
          </w:p>
        </w:tc>
        <w:tc>
          <w:tcPr>
            <w:tcW w:type="dxa" w:w="28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C0392B"/>
                <w:sz w:val="16"/>
                <w:szCs w:val="16"/>
              </w:rPr>
              <w:t xml:space="preserve">Continuous vuln management and centralized logging maturity still lag</w:t>
            </w:r>
          </w:p>
        </w:tc>
      </w:tr>
    </w:tbl>
    <w:p>
      <w:pPr>
        <w:spacing w:after="80" w:before="0"/>
      </w:pPr>
      <w:r>
        <w:t xml:space="preserve"/>
      </w:r>
    </w:p>
    <w:p>
      <w:r>
        <w:br w:type="page"/>
      </w:r>
    </w:p>
    <w:p>
      <w:pPr>
        <w:pStyle w:val="Heading1"/>
      </w:pPr>
      <w:bookmarkStart w:name="deps" w:id="10"/>
      <w:r>
        <w:t xml:space="preserve">9. Dependency Vulnerability Scan</w:t>
      </w:r>
      <w:bookmarkEnd w:id="10"/>
    </w:p>
    <w:p>
      <w:pPr>
        <w:pBdr>
          <w:bottom w:val="single" w:color="2563A8" w:sz="6" w:space="1"/>
        </w:pBdr>
        <w:spacing w:after="120" w:before="12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Check</w:t>
            </w:r>
          </w:p>
        </w:tc>
        <w:tc>
          <w:tcPr>
            <w:tcW w:type="dxa" w:w="216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Result</w:t>
            </w:r>
          </w:p>
        </w:tc>
        <w:tc>
          <w:tcPr>
            <w:tcW w:type="dxa" w:w="4800"/>
            <w:gridSpan w:val="1"/>
            <w:tcBorders>
              <w:top w:val="single" w:color="CCCCCC" w:sz="1"/>
              <w:left w:val="single" w:color="CCCCCC" w:sz="1"/>
              <w:bottom w:val="single" w:color="CCCCCC" w:sz="1"/>
              <w:right w:val="single" w:color="CCCCCC" w:sz="1"/>
            </w:tcBorders>
            <w:shd w:fill="1B3A5C" w:val="clear"/>
            <w:tcMar>
              <w:top w:type="dxa" w:w="80"/>
              <w:left w:type="dxa" w:w="150"/>
              <w:bottom w:type="dxa" w:w="80"/>
              <w:right w:type="dxa" w:w="150"/>
            </w:tcMar>
            <w:vAlign w:val="center"/>
          </w:tcPr>
          <w:p>
            <w:pPr>
              <w:jc w:val="left"/>
            </w:pPr>
            <w:r>
              <w:rPr>
                <w:rFonts w:ascii="Arial" w:cs="Arial" w:eastAsia="Arial" w:hAnsi="Arial"/>
                <w:b/>
                <w:bCs/>
                <w:color w:val="FFFFFF"/>
                <w:sz w:val="19"/>
                <w:szCs w:val="19"/>
              </w:rPr>
              <w:t xml:space="preserve">Notes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Go vulnerability scan</w:t>
            </w:r>
          </w:p>
        </w:tc>
        <w:tc>
          <w:tcPr>
            <w:tcW w:type="dxa" w:w="2160"/>
            <w:tcBorders>
              <w:top w:val="single" w:color="1A7A3A" w:sz="1"/>
              <w:left w:val="single" w:color="1A7A3A" w:sz="1"/>
              <w:bottom w:val="single" w:color="1A7A3A" w:sz="1"/>
              <w:right w:val="single" w:color="1A7A3A" w:sz="1"/>
            </w:tcBorders>
            <w:shd w:fill="1A7A3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PASSED</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govulncheck ./... in /agent — No vulnerabilities found (March 14, 2026)</w:t>
            </w:r>
          </w:p>
        </w:tc>
      </w:tr>
      <w:tr>
        <w:tc>
          <w:tcPr>
            <w:tcW w:type="dxa" w:w="24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Node dependency audit</w:t>
            </w:r>
          </w:p>
        </w:tc>
        <w:tc>
          <w:tcPr>
            <w:tcW w:type="dxa" w:w="2160"/>
            <w:tcBorders>
              <w:top w:val="single" w:color="D35400" w:sz="1"/>
              <w:left w:val="single" w:color="D35400" w:sz="1"/>
              <w:bottom w:val="single" w:color="D35400" w:sz="1"/>
              <w:right w:val="single" w:color="D35400"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INCOMPLETE</w:t>
            </w:r>
          </w:p>
        </w:tc>
        <w:tc>
          <w:tcPr>
            <w:tcW w:type="dxa" w:w="48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Local audit environment could not execute node; fresh npm audit evidence could not be collected in this run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Secret scanning</w:t>
            </w:r>
          </w:p>
        </w:tc>
        <w:tc>
          <w:tcPr>
            <w:tcW w:type="dxa" w:w="21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CONFIGURED</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Gitleaks workflow present in CI</w:t>
            </w:r>
          </w:p>
        </w:tc>
      </w:tr>
      <w:tr>
        <w:tc>
          <w:tcPr>
            <w:tcW w:type="dxa" w:w="24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SAST</w:t>
            </w:r>
          </w:p>
        </w:tc>
        <w:tc>
          <w:tcPr>
            <w:tcW w:type="dxa" w:w="2160"/>
            <w:tcBorders>
              <w:top w:val="single" w:color="2563A8" w:sz="1"/>
              <w:left w:val="single" w:color="2563A8" w:sz="1"/>
              <w:bottom w:val="single" w:color="2563A8" w:sz="1"/>
              <w:right w:val="single" w:color="2563A8" w:sz="1"/>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CONFIGURED</w:t>
            </w:r>
          </w:p>
        </w:tc>
        <w:tc>
          <w:tcPr>
            <w:tcW w:type="dxa" w:w="4800"/>
            <w:gridSpan w:val="1"/>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Semgrep workflow present in CI</w:t>
            </w:r>
          </w:p>
        </w:tc>
      </w:tr>
    </w:tbl>
    <w:p>
      <w:pPr>
        <w:spacing w:after="80" w:before="0"/>
      </w:pPr>
      <w:r>
        <w:t xml:space="preserve"/>
      </w:r>
    </w:p>
    <w:p>
      <w:pPr>
        <w:pStyle w:val="Heading1"/>
      </w:pPr>
      <w:bookmarkStart w:name="framework" w:id="11"/>
      <w:r>
        <w:t xml:space="preserve">10. Detailed Framework Assessment</w:t>
      </w:r>
      <w:bookmarkEnd w:id="11"/>
    </w:p>
    <w:p>
      <w:pPr>
        <w:pBdr>
          <w:bottom w:val="single" w:color="2563A8" w:sz="6" w:space="1"/>
        </w:pBdr>
        <w:spacing w:after="120" w:before="120"/>
      </w:pPr>
      <w:r>
        <w:t xml:space="preserve"/>
      </w:r>
    </w:p>
    <w:p>
      <w:pPr>
        <w:pStyle w:val="Heading2"/>
      </w:pPr>
      <w:r>
        <w:t xml:space="preserve">10.1  SOC 2</w:t>
      </w:r>
    </w:p>
    <w:p>
      <w:pPr>
        <w:spacing w:after="160" w:before="60"/>
      </w:pPr>
      <w:r>
        <w:rPr>
          <w:rFonts w:ascii="Arial" w:cs="Arial" w:eastAsia="Arial" w:hAnsi="Arial"/>
          <w:b w:val="false"/>
          <w:bCs w:val="false"/>
          <w:color w:val="1A1A2E"/>
          <w:sz w:val="20"/>
          <w:szCs w:val="20"/>
        </w:rPr>
        <w:t xml:space="preserve">Security is materially improved by cookie-based sessions, MFA, RBAC normalization, startup secret enforcement, and tenant-scoped service calls. Availability and integrity are helped by health checks, restart policies, and service resource limits. Readiness is still below certification level because immutable logging is not uniformly demonstrated, privacy controls are incomplete, and this audit could not reproduce all Node-based validation evidence.</w:t>
      </w:r>
    </w:p>
    <w:p>
      <w:pPr>
        <w:pStyle w:val="Heading2"/>
      </w:pPr>
      <w:r>
        <w:t xml:space="preserve">10.2  ISO 27001</w:t>
      </w:r>
    </w:p>
    <w:p>
      <w:pPr>
        <w:spacing w:after="160" w:before="60"/>
      </w:pPr>
      <w:r>
        <w:rPr>
          <w:rFonts w:ascii="Arial" w:cs="Arial" w:eastAsia="Arial" w:hAnsi="Arial"/>
          <w:b w:val="false"/>
          <w:bCs w:val="false"/>
          <w:color w:val="1A1A2E"/>
          <w:sz w:val="20"/>
          <w:szCs w:val="20"/>
        </w:rPr>
        <w:t xml:space="preserve">The repository shows stronger Annex A control alignment than before, especially around access control, cryptography, and secure configuration. It does not yet show a full ISMS posture. Risk treatment records, supplier review evidence, access review cadence, key rotation policy, and incident response runbooks are not materially evidenced in the repository.</w:t>
      </w:r>
    </w:p>
    <w:p>
      <w:pPr>
        <w:pStyle w:val="Heading2"/>
      </w:pPr>
      <w:r>
        <w:t xml:space="preserve">10.3  PCI-DSS</w:t>
      </w:r>
    </w:p>
    <w:p>
      <w:pPr>
        <w:spacing w:after="160" w:before="60"/>
      </w:pPr>
      <w:r>
        <w:rPr>
          <w:rFonts w:ascii="Arial" w:cs="Arial" w:eastAsia="Arial" w:hAnsi="Arial"/>
          <w:b w:val="false"/>
          <w:bCs w:val="false"/>
          <w:color w:val="1A1A2E"/>
          <w:sz w:val="20"/>
          <w:szCs w:val="20"/>
        </w:rPr>
        <w:t xml:space="preserve">No direct cardholder-data processing path was identified in the reviewed code, so this score reflects secure software and infrastructure readiness rather than a claim of full PCI scope coverage. Network exposure, auth hardening, and auditability improved substantially, but distributed abuse protection, centralized monitoring, and strong production configuration defaults still need work.</w:t>
      </w:r>
    </w:p>
    <w:p>
      <w:pPr>
        <w:pStyle w:val="Heading2"/>
      </w:pPr>
      <w:r>
        <w:t xml:space="preserve">10.4  GDPR</w:t>
      </w:r>
    </w:p>
    <w:p>
      <w:pPr>
        <w:spacing w:after="160" w:before="60"/>
      </w:pPr>
      <w:r>
        <w:rPr>
          <w:rFonts w:ascii="Arial" w:cs="Arial" w:eastAsia="Arial" w:hAnsi="Arial"/>
          <w:b w:val="false"/>
          <w:bCs w:val="false"/>
          <w:color w:val="1A1A2E"/>
          <w:sz w:val="20"/>
          <w:szCs w:val="20"/>
        </w:rPr>
        <w:t xml:space="preserve">The platform now has building blocks for privacy operations: tenant export, tenant deletion, retention metadata, and encrypted secret storage. That is not enough for GDPR readiness. There is still no full subject rights workflow, legal-basis tracking, consent model, privacy notice mechanism, or automated purge policy aligned to retention settings.</w:t>
      </w:r>
    </w:p>
    <w:p>
      <w:pPr>
        <w:pStyle w:val="Heading2"/>
      </w:pPr>
      <w:r>
        <w:t xml:space="preserve">10.5  HIPAA</w:t>
      </w:r>
    </w:p>
    <w:p>
      <w:pPr>
        <w:spacing w:after="160" w:before="60"/>
      </w:pPr>
      <w:r>
        <w:rPr>
          <w:rFonts w:ascii="Arial" w:cs="Arial" w:eastAsia="Arial" w:hAnsi="Arial"/>
          <w:b w:val="false"/>
          <w:bCs w:val="false"/>
          <w:color w:val="1A1A2E"/>
          <w:sz w:val="20"/>
          <w:szCs w:val="20"/>
        </w:rPr>
        <w:t xml:space="preserve">MFA, encryption, lockout, and audit logging support stronger technical safeguards. Administrative and organizational safeguards remain under-evidenced. No full PHI classification model, minimum-necessary enforcement story, incident response pack, or immutable multi-service audit retention mechanism is demonstrated.</w:t>
      </w:r>
    </w:p>
    <w:p>
      <w:r>
        <w:br w:type="page"/>
      </w:r>
    </w:p>
    <w:p>
      <w:pPr>
        <w:pStyle w:val="Heading1"/>
      </w:pPr>
      <w:bookmarkStart w:name="roadmap" w:id="12"/>
      <w:r>
        <w:t xml:space="preserve">11. Remediation Roadmap</w:t>
      </w:r>
      <w:bookmarkEnd w:id="12"/>
    </w:p>
    <w:p>
      <w:pPr>
        <w:pBdr>
          <w:bottom w:val="single" w:color="2563A8" w:sz="6" w:space="1"/>
        </w:pBdr>
        <w:spacing w:after="120" w:before="12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220"/>
              <w:bottom w:type="dxa" w:w="100"/>
              <w:right w:type="dxa" w:w="220"/>
            </w:tcMar>
          </w:tcPr>
          <w:p>
            <w:r>
              <w:rPr>
                <w:rFonts w:ascii="Arial" w:cs="Arial" w:eastAsia="Arial" w:hAnsi="Arial"/>
                <w:b/>
                <w:bCs/>
                <w:color w:val="FFFFFF"/>
                <w:sz w:val="26"/>
                <w:szCs w:val="26"/>
              </w:rPr>
              <w:t xml:space="preserve">0 – 30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00"/>
              <w:left w:type="dxa" w:w="240"/>
              <w:bottom w:type="dxa" w:w="100"/>
              <w:right w:type="dxa" w:w="240"/>
            </w:tcMar>
          </w:tcPr>
          <w:p>
            <w:r>
              <w:rPr>
                <w:rFonts w:ascii="Arial" w:cs="Arial" w:eastAsia="Arial" w:hAnsi="Arial"/>
                <w:b/>
                <w:bCs/>
                <w:color w:val="1A1A2E"/>
                <w:sz w:val="18"/>
                <w:szCs w:val="18"/>
              </w:rPr>
              <w:t xml:space="preserve">1.  </w:t>
            </w:r>
            <w:r>
              <w:rPr>
                <w:rFonts w:ascii="Arial" w:cs="Arial" w:eastAsia="Arial" w:hAnsi="Arial"/>
                <w:color w:val="1A1A2E"/>
                <w:sz w:val="18"/>
                <w:szCs w:val="18"/>
              </w:rPr>
              <w:t xml:space="preserve">Replace in-memory rate limiting with Redis-backed or WAF-backed distributed controls for auth and operator endpoints.</w:t>
            </w:r>
          </w:p>
        </w:tc>
      </w:tr>
      <w:tr>
        <w:tc>
          <w:tcPr>
            <w:tcW w:type="dxa" w:w="9360"/>
            <w:tcBorders>
              <w:top w:val="single" w:color="DDDDDD" w:sz="1"/>
              <w:left w:val="single" w:color="DDDDDD" w:sz="1"/>
              <w:bottom w:val="single" w:color="DDDDDD" w:sz="1"/>
              <w:right w:val="single" w:color="DDDDDD" w:sz="1"/>
            </w:tcBorders>
            <w:shd w:fill="F5F7FA" w:val="clear"/>
            <w:tcMar>
              <w:top w:type="dxa" w:w="100"/>
              <w:left w:type="dxa" w:w="240"/>
              <w:bottom w:type="dxa" w:w="100"/>
              <w:right w:type="dxa" w:w="240"/>
            </w:tcMar>
          </w:tcPr>
          <w:p>
            <w:r>
              <w:rPr>
                <w:rFonts w:ascii="Arial" w:cs="Arial" w:eastAsia="Arial" w:hAnsi="Arial"/>
                <w:b/>
                <w:bCs/>
                <w:color w:val="1A1A2E"/>
                <w:sz w:val="18"/>
                <w:szCs w:val="18"/>
              </w:rPr>
              <w:t xml:space="preserve">2.  </w:t>
            </w:r>
            <w:r>
              <w:rPr>
                <w:rFonts w:ascii="Arial" w:cs="Arial" w:eastAsia="Arial" w:hAnsi="Arial"/>
                <w:color w:val="1A1A2E"/>
                <w:sz w:val="18"/>
                <w:szCs w:val="18"/>
              </w:rPr>
              <w:t xml:space="preserve">Remove permissive Docker build patterns that ignore TypeScript compiler failures.</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240"/>
              <w:bottom w:type="dxa" w:w="100"/>
              <w:right w:type="dxa" w:w="240"/>
            </w:tcMar>
          </w:tcPr>
          <w:p>
            <w:r>
              <w:rPr>
                <w:rFonts w:ascii="Arial" w:cs="Arial" w:eastAsia="Arial" w:hAnsi="Arial"/>
                <w:b/>
                <w:bCs/>
                <w:color w:val="1A1A2E"/>
                <w:sz w:val="18"/>
                <w:szCs w:val="18"/>
              </w:rPr>
              <w:t xml:space="preserve">3.  </w:t>
            </w:r>
            <w:r>
              <w:rPr>
                <w:rFonts w:ascii="Arial" w:cs="Arial" w:eastAsia="Arial" w:hAnsi="Arial"/>
                <w:color w:val="1A1A2E"/>
                <w:sz w:val="18"/>
                <w:szCs w:val="18"/>
              </w:rPr>
              <w:t xml:space="preserve">Make REDIS_PASSWORD mandatory in production; remove the changeme fallback.</w:t>
            </w:r>
          </w:p>
        </w:tc>
      </w:tr>
      <w:tr>
        <w:tc>
          <w:tcPr>
            <w:tcW w:type="dxa" w:w="9360"/>
            <w:tcBorders>
              <w:top w:val="single" w:color="DDDDDD" w:sz="1"/>
              <w:left w:val="single" w:color="DDDDDD" w:sz="1"/>
              <w:bottom w:val="single" w:color="DDDDDD" w:sz="1"/>
              <w:right w:val="single" w:color="DDDDDD" w:sz="1"/>
            </w:tcBorders>
            <w:shd w:fill="F5F7FA" w:val="clear"/>
            <w:tcMar>
              <w:top w:type="dxa" w:w="100"/>
              <w:left w:type="dxa" w:w="240"/>
              <w:bottom w:type="dxa" w:w="100"/>
              <w:right w:type="dxa" w:w="240"/>
            </w:tcMar>
          </w:tcPr>
          <w:p>
            <w:r>
              <w:rPr>
                <w:rFonts w:ascii="Arial" w:cs="Arial" w:eastAsia="Arial" w:hAnsi="Arial"/>
                <w:b/>
                <w:bCs/>
                <w:color w:val="1A1A2E"/>
                <w:sz w:val="18"/>
                <w:szCs w:val="18"/>
              </w:rPr>
              <w:t xml:space="preserve">4.  </w:t>
            </w:r>
            <w:r>
              <w:rPr>
                <w:rFonts w:ascii="Arial" w:cs="Arial" w:eastAsia="Arial" w:hAnsi="Arial"/>
                <w:color w:val="1A1A2E"/>
                <w:sz w:val="18"/>
                <w:szCs w:val="18"/>
              </w:rPr>
              <w:t xml:space="preserve">Disable NATS monitoring or restrict it with auth/network policy.</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240"/>
              <w:bottom w:type="dxa" w:w="100"/>
              <w:right w:type="dxa" w:w="240"/>
            </w:tcMar>
          </w:tcPr>
          <w:p>
            <w:r>
              <w:rPr>
                <w:rFonts w:ascii="Arial" w:cs="Arial" w:eastAsia="Arial" w:hAnsi="Arial"/>
                <w:b/>
                <w:bCs/>
                <w:color w:val="1A1A2E"/>
                <w:sz w:val="18"/>
                <w:szCs w:val="18"/>
              </w:rPr>
              <w:t xml:space="preserve">5.  </w:t>
            </w:r>
            <w:r>
              <w:rPr>
                <w:rFonts w:ascii="Arial" w:cs="Arial" w:eastAsia="Arial" w:hAnsi="Arial"/>
                <w:color w:val="1A1A2E"/>
                <w:sz w:val="18"/>
                <w:szCs w:val="18"/>
              </w:rPr>
              <w:t xml:space="preserve">Remove unrestricted APOC procedures unless a documented business case requires them.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35400" w:val="clear"/>
            <w:tcMar>
              <w:top w:type="dxa" w:w="100"/>
              <w:left w:type="dxa" w:w="220"/>
              <w:bottom w:type="dxa" w:w="100"/>
              <w:right w:type="dxa" w:w="220"/>
            </w:tcMar>
          </w:tcPr>
          <w:p>
            <w:r>
              <w:rPr>
                <w:rFonts w:ascii="Arial" w:cs="Arial" w:eastAsia="Arial" w:hAnsi="Arial"/>
                <w:b/>
                <w:bCs/>
                <w:color w:val="FFFFFF"/>
                <w:sz w:val="26"/>
                <w:szCs w:val="26"/>
              </w:rPr>
              <w:t xml:space="preserve">30 – 60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00"/>
              <w:left w:type="dxa" w:w="240"/>
              <w:bottom w:type="dxa" w:w="100"/>
              <w:right w:type="dxa" w:w="240"/>
            </w:tcMar>
          </w:tcPr>
          <w:p>
            <w:r>
              <w:rPr>
                <w:rFonts w:ascii="Arial" w:cs="Arial" w:eastAsia="Arial" w:hAnsi="Arial"/>
                <w:b/>
                <w:bCs/>
                <w:color w:val="1A1A2E"/>
                <w:sz w:val="18"/>
                <w:szCs w:val="18"/>
              </w:rPr>
              <w:t xml:space="preserve">1.  </w:t>
            </w:r>
            <w:r>
              <w:rPr>
                <w:rFonts w:ascii="Arial" w:cs="Arial" w:eastAsia="Arial" w:hAnsi="Arial"/>
                <w:color w:val="1A1A2E"/>
                <w:sz w:val="18"/>
                <w:szCs w:val="18"/>
              </w:rPr>
              <w:t xml:space="preserve">Implement subject-level DSAR export and deletion workflows with authorization, approvals, and audit trails.</w:t>
            </w:r>
          </w:p>
        </w:tc>
      </w:tr>
      <w:tr>
        <w:tc>
          <w:tcPr>
            <w:tcW w:type="dxa" w:w="9360"/>
            <w:tcBorders>
              <w:top w:val="single" w:color="DDDDDD" w:sz="1"/>
              <w:left w:val="single" w:color="DDDDDD" w:sz="1"/>
              <w:bottom w:val="single" w:color="DDDDDD" w:sz="1"/>
              <w:right w:val="single" w:color="DDDDDD" w:sz="1"/>
            </w:tcBorders>
            <w:shd w:fill="F5F7FA" w:val="clear"/>
            <w:tcMar>
              <w:top w:type="dxa" w:w="100"/>
              <w:left w:type="dxa" w:w="240"/>
              <w:bottom w:type="dxa" w:w="100"/>
              <w:right w:type="dxa" w:w="240"/>
            </w:tcMar>
          </w:tcPr>
          <w:p>
            <w:r>
              <w:rPr>
                <w:rFonts w:ascii="Arial" w:cs="Arial" w:eastAsia="Arial" w:hAnsi="Arial"/>
                <w:b/>
                <w:bCs/>
                <w:color w:val="1A1A2E"/>
                <w:sz w:val="18"/>
                <w:szCs w:val="18"/>
              </w:rPr>
              <w:t xml:space="preserve">2.  </w:t>
            </w:r>
            <w:r>
              <w:rPr>
                <w:rFonts w:ascii="Arial" w:cs="Arial" w:eastAsia="Arial" w:hAnsi="Arial"/>
                <w:color w:val="1A1A2E"/>
                <w:sz w:val="18"/>
                <w:szCs w:val="18"/>
              </w:rPr>
              <w:t xml:space="preserve">Add automated retention enforcement jobs using dataRetentionDays and deletionGraceDays.</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240"/>
              <w:bottom w:type="dxa" w:w="100"/>
              <w:right w:type="dxa" w:w="240"/>
            </w:tcMar>
          </w:tcPr>
          <w:p>
            <w:r>
              <w:rPr>
                <w:rFonts w:ascii="Arial" w:cs="Arial" w:eastAsia="Arial" w:hAnsi="Arial"/>
                <w:b/>
                <w:bCs/>
                <w:color w:val="1A1A2E"/>
                <w:sz w:val="18"/>
                <w:szCs w:val="18"/>
              </w:rPr>
              <w:t xml:space="preserve">3.  </w:t>
            </w:r>
            <w:r>
              <w:rPr>
                <w:rFonts w:ascii="Arial" w:cs="Arial" w:eastAsia="Arial" w:hAnsi="Arial"/>
                <w:color w:val="1A1A2E"/>
                <w:sz w:val="18"/>
                <w:szCs w:val="18"/>
              </w:rPr>
              <w:t xml:space="preserve">Extend tamper-evident audit logging beyond the control plane; ship logs to immutable external storage or SIEM.</w:t>
            </w:r>
          </w:p>
        </w:tc>
      </w:tr>
      <w:tr>
        <w:tc>
          <w:tcPr>
            <w:tcW w:type="dxa" w:w="9360"/>
            <w:tcBorders>
              <w:top w:val="single" w:color="DDDDDD" w:sz="1"/>
              <w:left w:val="single" w:color="DDDDDD" w:sz="1"/>
              <w:bottom w:val="single" w:color="DDDDDD" w:sz="1"/>
              <w:right w:val="single" w:color="DDDDDD" w:sz="1"/>
            </w:tcBorders>
            <w:shd w:fill="F5F7FA" w:val="clear"/>
            <w:tcMar>
              <w:top w:type="dxa" w:w="100"/>
              <w:left w:type="dxa" w:w="240"/>
              <w:bottom w:type="dxa" w:w="100"/>
              <w:right w:type="dxa" w:w="240"/>
            </w:tcMar>
          </w:tcPr>
          <w:p>
            <w:r>
              <w:rPr>
                <w:rFonts w:ascii="Arial" w:cs="Arial" w:eastAsia="Arial" w:hAnsi="Arial"/>
                <w:b/>
                <w:bCs/>
                <w:color w:val="1A1A2E"/>
                <w:sz w:val="18"/>
                <w:szCs w:val="18"/>
              </w:rPr>
              <w:t xml:space="preserve">4.  </w:t>
            </w:r>
            <w:r>
              <w:rPr>
                <w:rFonts w:ascii="Arial" w:cs="Arial" w:eastAsia="Arial" w:hAnsi="Arial"/>
                <w:color w:val="1A1A2E"/>
                <w:sz w:val="18"/>
                <w:szCs w:val="18"/>
              </w:rPr>
              <w:t xml:space="preserve">Add privacy notice, lawful-basis metadata, and data-processing inventory coverage for regulated datasets.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A" w:val="clear"/>
            <w:tcMar>
              <w:top w:type="dxa" w:w="100"/>
              <w:left w:type="dxa" w:w="220"/>
              <w:bottom w:type="dxa" w:w="100"/>
              <w:right w:type="dxa" w:w="220"/>
            </w:tcMar>
          </w:tcPr>
          <w:p>
            <w:r>
              <w:rPr>
                <w:rFonts w:ascii="Arial" w:cs="Arial" w:eastAsia="Arial" w:hAnsi="Arial"/>
                <w:b/>
                <w:bCs/>
                <w:color w:val="FFFFFF"/>
                <w:sz w:val="26"/>
                <w:szCs w:val="26"/>
              </w:rPr>
              <w:t xml:space="preserve">60 – 90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00"/>
              <w:left w:type="dxa" w:w="240"/>
              <w:bottom w:type="dxa" w:w="100"/>
              <w:right w:type="dxa" w:w="240"/>
            </w:tcMar>
          </w:tcPr>
          <w:p>
            <w:r>
              <w:rPr>
                <w:rFonts w:ascii="Arial" w:cs="Arial" w:eastAsia="Arial" w:hAnsi="Arial"/>
                <w:b/>
                <w:bCs/>
                <w:color w:val="1A1A2E"/>
                <w:sz w:val="18"/>
                <w:szCs w:val="18"/>
              </w:rPr>
              <w:t xml:space="preserve">1.  </w:t>
            </w:r>
            <w:r>
              <w:rPr>
                <w:rFonts w:ascii="Arial" w:cs="Arial" w:eastAsia="Arial" w:hAnsi="Arial"/>
                <w:color w:val="1A1A2E"/>
                <w:sz w:val="18"/>
                <w:szCs w:val="18"/>
              </w:rPr>
              <w:t xml:space="preserve">Produce formal evidence packs for backup testing, disaster recovery, incident response, access review, supplier review, and key rotation.</w:t>
            </w:r>
          </w:p>
        </w:tc>
      </w:tr>
      <w:tr>
        <w:tc>
          <w:tcPr>
            <w:tcW w:type="dxa" w:w="9360"/>
            <w:tcBorders>
              <w:top w:val="single" w:color="DDDDDD" w:sz="1"/>
              <w:left w:val="single" w:color="DDDDDD" w:sz="1"/>
              <w:bottom w:val="single" w:color="DDDDDD" w:sz="1"/>
              <w:right w:val="single" w:color="DDDDDD" w:sz="1"/>
            </w:tcBorders>
            <w:shd w:fill="F5F7FA" w:val="clear"/>
            <w:tcMar>
              <w:top w:type="dxa" w:w="100"/>
              <w:left w:type="dxa" w:w="240"/>
              <w:bottom w:type="dxa" w:w="100"/>
              <w:right w:type="dxa" w:w="240"/>
            </w:tcMar>
          </w:tcPr>
          <w:p>
            <w:r>
              <w:rPr>
                <w:rFonts w:ascii="Arial" w:cs="Arial" w:eastAsia="Arial" w:hAnsi="Arial"/>
                <w:b/>
                <w:bCs/>
                <w:color w:val="1A1A2E"/>
                <w:sz w:val="18"/>
                <w:szCs w:val="18"/>
              </w:rPr>
              <w:t xml:space="preserve">2.  </w:t>
            </w:r>
            <w:r>
              <w:rPr>
                <w:rFonts w:ascii="Arial" w:cs="Arial" w:eastAsia="Arial" w:hAnsi="Arial"/>
                <w:color w:val="1A1A2E"/>
                <w:sz w:val="18"/>
                <w:szCs w:val="18"/>
              </w:rPr>
              <w:t xml:space="preserve">Run full Node dependency audits, build verification, unit/integration tests, container scans, and penetration testing in a stable CI/CD environment.</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240"/>
              <w:bottom w:type="dxa" w:w="100"/>
              <w:right w:type="dxa" w:w="240"/>
            </w:tcMar>
          </w:tcPr>
          <w:p>
            <w:r>
              <w:rPr>
                <w:rFonts w:ascii="Arial" w:cs="Arial" w:eastAsia="Arial" w:hAnsi="Arial"/>
                <w:b/>
                <w:bCs/>
                <w:color w:val="1A1A2E"/>
                <w:sz w:val="18"/>
                <w:szCs w:val="18"/>
              </w:rPr>
              <w:t xml:space="preserve">3.  </w:t>
            </w:r>
            <w:r>
              <w:rPr>
                <w:rFonts w:ascii="Arial" w:cs="Arial" w:eastAsia="Arial" w:hAnsi="Arial"/>
                <w:color w:val="1A1A2E"/>
                <w:sz w:val="18"/>
                <w:szCs w:val="18"/>
              </w:rPr>
              <w:t xml:space="preserve">Complete a production readiness review with compliance ownership, compensating controls, and documented exceptions.</w:t>
            </w:r>
          </w:p>
        </w:tc>
      </w:tr>
    </w:tbl>
    <w:p>
      <w:pPr>
        <w:spacing w:after="80" w:before="0"/>
      </w:pPr>
      <w:r>
        <w:t xml:space="preserve"/>
      </w:r>
    </w:p>
    <w:p>
      <w:r>
        <w:br w:type="page"/>
      </w:r>
    </w:p>
    <w:p>
      <w:pPr>
        <w:pStyle w:val="Heading1"/>
      </w:pPr>
      <w:bookmarkStart w:name="decision" w:id="13"/>
      <w:r>
        <w:t xml:space="preserve">12. Production Deployment Decision</w:t>
      </w:r>
      <w:bookmarkEnd w:id="13"/>
    </w:p>
    <w:p>
      <w:pPr>
        <w:pBdr>
          <w:bottom w:val="single" w:color="C0392B" w:sz="6" w:space="1"/>
        </w:pBdr>
        <w:spacing w:after="120" w:before="12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16"/>
              <w:bottom w:val="single" w:color="C0392B" w:sz="2"/>
              <w:right w:val="single" w:color="C0392B" w:sz="1"/>
            </w:tcBorders>
            <w:shd w:fill="FDECEA" w:val="clear"/>
            <w:tcMar>
              <w:top w:type="dxa" w:w="200"/>
              <w:left w:type="dxa" w:w="300"/>
              <w:bottom w:type="dxa" w:w="200"/>
              <w:right w:type="dxa" w:w="300"/>
            </w:tcMar>
          </w:tcPr>
          <w:p>
            <w:pPr>
              <w:jc w:val="center"/>
            </w:pPr>
            <w:r>
              <w:rPr>
                <w:rFonts w:ascii="Arial" w:cs="Arial" w:eastAsia="Arial" w:hAnsi="Arial"/>
                <w:b/>
                <w:bCs/>
                <w:color w:val="C0392B"/>
                <w:sz w:val="36"/>
                <w:szCs w:val="36"/>
              </w:rPr>
              <w:t xml:space="preserve">NOT APPROVED</w:t>
            </w:r>
          </w:p>
          <w:p>
            <w:pPr>
              <w:spacing w:after="40" w:before="0"/>
            </w:pPr>
            <w:r>
              <w:t xml:space="preserve"/>
            </w:r>
          </w:p>
          <w:p>
            <w:pPr>
              <w:jc w:val="center"/>
            </w:pPr>
            <w:r>
              <w:rPr>
                <w:rFonts w:ascii="Arial" w:cs="Arial" w:eastAsia="Arial" w:hAnsi="Arial"/>
                <w:color w:val="1A1A2E"/>
                <w:sz w:val="22"/>
                <w:szCs w:val="22"/>
              </w:rPr>
              <w:t xml:space="preserve">Enterprise Production Deployment</w:t>
            </w:r>
          </w:p>
        </w:tc>
      </w:tr>
    </w:tbl>
    <w:p>
      <w:pPr>
        <w:spacing w:after="80" w:before="0"/>
      </w:pPr>
      <w:r>
        <w:t xml:space="preserve"/>
      </w:r>
    </w:p>
    <w:p>
      <w:pPr>
        <w:spacing w:after="60" w:before="60"/>
      </w:pPr>
      <w:r>
        <w:rPr>
          <w:rFonts w:ascii="Arial" w:cs="Arial" w:eastAsia="Arial" w:hAnsi="Arial"/>
          <w:b w:val="false"/>
          <w:bCs w:val="false"/>
          <w:color w:val="1A1A2E"/>
          <w:sz w:val="20"/>
          <w:szCs w:val="20"/>
        </w:rPr>
        <w:t xml:space="preserve">The platform is much closer to production than the earlier audit baseline and is now technically suitable for a hardened staging environment. It is not yet ready for enterprise production or certification preparation because the remaining gaps are concentrated in compliance evidence, privacy operations, immutable audit retention, and complete release validation.</w:t>
      </w:r>
    </w:p>
    <w:p>
      <w:pPr>
        <w:spacing w:after="80" w:before="0"/>
      </w:pPr>
      <w:r>
        <w:t xml:space="preserve"/>
      </w:r>
    </w:p>
    <w:p>
      <w:pPr>
        <w:pStyle w:val="Heading1"/>
      </w:pPr>
      <w:bookmarkStart w:name="limitations" w:id="14"/>
      <w:r>
        <w:t xml:space="preserve">13. Audit Limitations</w:t>
      </w:r>
      <w:bookmarkEnd w:id="14"/>
    </w:p>
    <w:p>
      <w:pPr>
        <w:pBdr>
          <w:bottom w:val="single" w:color="2563A8" w:sz="6" w:space="1"/>
        </w:pBdr>
        <w:spacing w:after="120" w:before="120"/>
      </w:pPr>
      <w:r>
        <w:t xml:space="preserve"/>
      </w:r>
    </w:p>
    <w:p>
      <w:pPr>
        <w:spacing w:after="40" w:before="0"/>
      </w:pPr>
      <w:r>
        <w:t xml:space="preserve"/>
      </w:r>
    </w:p>
    <w:p>
      <w:pPr>
        <w:pStyle w:val="ListParagraph"/>
        <w:numPr>
          <w:ilvl w:val="0"/>
          <w:numId w:val="3"/>
        </w:numPr>
        <w:spacing w:after="40" w:before="40"/>
      </w:pPr>
      <w:r>
        <w:rPr>
          <w:rFonts w:ascii="Arial" w:cs="Arial" w:eastAsia="Arial" w:hAnsi="Arial"/>
          <w:color w:val="1A1A2E"/>
          <w:sz w:val="20"/>
          <w:szCs w:val="20"/>
        </w:rPr>
        <w:t xml:space="preserve">This assessment was primarily static and configuration-based.</w:t>
      </w:r>
    </w:p>
    <w:p>
      <w:pPr>
        <w:pStyle w:val="ListParagraph"/>
        <w:numPr>
          <w:ilvl w:val="0"/>
          <w:numId w:val="3"/>
        </w:numPr>
        <w:spacing w:after="40" w:before="40"/>
      </w:pPr>
      <w:r>
        <w:rPr>
          <w:rFonts w:ascii="Arial" w:cs="Arial" w:eastAsia="Arial" w:hAnsi="Arial"/>
          <w:color w:val="1A1A2E"/>
          <w:sz w:val="20"/>
          <w:szCs w:val="20"/>
        </w:rPr>
        <w:t xml:space="preserve">Fresh Node-based build, test, and dependency-audit execution could not be reproduced in the local audit environment because node would not execute successfully during this run.</w:t>
      </w:r>
    </w:p>
    <w:p>
      <w:pPr>
        <w:pStyle w:val="ListParagraph"/>
        <w:numPr>
          <w:ilvl w:val="0"/>
          <w:numId w:val="3"/>
        </w:numPr>
        <w:spacing w:after="40" w:before="40"/>
      </w:pPr>
      <w:r>
        <w:rPr>
          <w:rFonts w:ascii="Arial" w:cs="Arial" w:eastAsia="Arial" w:hAnsi="Arial"/>
          <w:color w:val="1A1A2E"/>
          <w:sz w:val="20"/>
          <w:szCs w:val="20"/>
        </w:rPr>
        <w:t xml:space="preserve">No live infrastructure, TLS termination layer, WAF, SIEM, backup platform, or cloud IAM environment was available to validate operational controls end-to-end.</w:t>
      </w:r>
    </w:p>
    <w:p>
      <w:pPr>
        <w:spacing w:after="80" w:before="0"/>
      </w:pPr>
      <w:r>
        <w:t xml:space="preserve"/>
      </w:r>
    </w:p>
    <w:p>
      <w:pPr>
        <w:pStyle w:val="Heading1"/>
      </w:pPr>
      <w:bookmarkStart w:name="conclusion" w:id="15"/>
      <w:r>
        <w:t xml:space="preserve">14. Final Conclusion</w:t>
      </w:r>
      <w:bookmarkEnd w:id="15"/>
    </w:p>
    <w:p>
      <w:pPr>
        <w:pBdr>
          <w:bottom w:val="single" w:color="1B3A5C" w:sz="6" w:space="1"/>
        </w:pBdr>
        <w:spacing w:after="120" w:before="12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16"/>
              <w:bottom w:val="single" w:color="1B3A5C" w:sz="2"/>
              <w:right w:val="single" w:color="1B3A5C" w:sz="1"/>
            </w:tcBorders>
            <w:shd w:fill="D9E8F5" w:val="clear"/>
            <w:tcMar>
              <w:top w:type="dxa" w:w="180"/>
              <w:left w:type="dxa" w:w="280"/>
              <w:bottom w:type="dxa" w:w="180"/>
              <w:right w:type="dxa" w:w="280"/>
            </w:tcMar>
          </w:tcPr>
          <w:p>
            <w:pPr>
              <w:spacing w:after="120" w:before="0"/>
            </w:pPr>
            <w:r>
              <w:rPr>
                <w:rFonts w:ascii="Arial" w:cs="Arial" w:eastAsia="Arial" w:hAnsi="Arial"/>
                <w:b w:val="false"/>
                <w:bCs w:val="false"/>
                <w:color w:val="1A1A2E"/>
                <w:sz w:val="20"/>
                <w:szCs w:val="20"/>
              </w:rPr>
              <w:t xml:space="preserve">As of March 14, 2026, IDMatr has remediated several of the most serious architectural flaws previously identified. The current repository demonstrates materially better tenant isolation, secret handling, session security, MFA, internal message-bus protection, and control-plane auditability.</w:t>
            </w:r>
          </w:p>
          <w:p>
            <w:pPr>
              <w:spacing w:after="0" w:before="0"/>
            </w:pPr>
            <w:r>
              <w:rPr>
                <w:rFonts w:ascii="Arial" w:cs="Arial" w:eastAsia="Arial" w:hAnsi="Arial"/>
                <w:b w:val="false"/>
                <w:bCs w:val="false"/>
                <w:color w:val="1A1A2E"/>
                <w:sz w:val="20"/>
                <w:szCs w:val="20"/>
              </w:rPr>
              <w:t xml:space="preserve">Even so, the platform still requires additional remediation and evidence generation before it can credibly support SOC 2, ISO 27001, PCI-DSS, GDPR, or HIPAA readiness claims. The 90-day roadmap above provides a clear, prioritized path from the current state to a defensible certification-readiness posture.</w:t>
            </w:r>
          </w:p>
        </w:tc>
      </w:tr>
    </w:tbl>
    <w:p>
      <w:pPr>
        <w:spacing w:after="160" w:before="0"/>
      </w:pPr>
      <w:r>
        <w:t xml:space="preserve"/>
      </w:r>
    </w:p>
    <w:p>
      <w:pPr>
        <w:pBdr>
          <w:top w:val="single" w:color="1B3A5C" w:sz="6" w:space="2"/>
        </w:pBdr>
        <w:spacing w:after="0" w:before="200"/>
        <w:jc w:val="center"/>
      </w:pPr>
      <w:r>
        <w:rPr>
          <w:rFonts w:ascii="Arial" w:cs="Arial" w:eastAsia="Arial" w:hAnsi="Arial"/>
          <w:color w:val="888888"/>
          <w:sz w:val="17"/>
          <w:szCs w:val="17"/>
        </w:rPr>
        <w:t xml:space="preserve">IDMatr Enterprise Security &amp; Compliance Audit Report  •  March 14,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2"/>
      </w:pBdr>
      <w:spacing w:before="80"/>
      <w:jc w:val="center"/>
    </w:pPr>
    <w:r>
      <w:rPr>
        <w:rFonts w:ascii="Arial" w:cs="Arial" w:eastAsia="Arial" w:hAnsi="Arial"/>
        <w:color w:val="888888"/>
        <w:sz w:val="17"/>
        <w:szCs w:val="17"/>
      </w:rPr>
      <w:t xml:space="preserve">IDMatr Audit Report  •  Confidential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shd w:fill="1B3A5C" w:val="clear"/>
          <w:tcMar>
            <w:top w:type="dxa" w:w="60"/>
            <w:left w:type="dxa" w:w="200"/>
            <w:bottom w:type="dxa" w:w="60"/>
            <w:right w:type="dxa" w:w="120"/>
          </w:tcMar>
        </w:tcPr>
        <w:p>
          <w:r>
            <w:rPr>
              <w:rFonts w:ascii="Arial" w:cs="Arial" w:eastAsia="Arial" w:hAnsi="Arial"/>
              <w:b/>
              <w:bCs/>
              <w:color w:val="FFFFFF"/>
              <w:sz w:val="17"/>
              <w:szCs w:val="17"/>
            </w:rPr>
            <w:t xml:space="preserve">IDMatr Enterprise Security &amp; Compliance Audit Report</w:t>
          </w:r>
        </w:p>
      </w:tc>
      <w:tc>
        <w:tcPr>
          <w:tcW w:type="dxa" w:w="4080"/>
          <w:tcBorders>
            <w:top w:val="none" w:color="FFFFFF" w:sz="0"/>
            <w:left w:val="none" w:color="FFFFFF" w:sz="0"/>
            <w:bottom w:val="none" w:color="FFFFFF" w:sz="0"/>
            <w:right w:val="none" w:color="FFFFFF" w:sz="0"/>
          </w:tcBorders>
          <w:shd w:fill="2563A8" w:val="clear"/>
          <w:tcMar>
            <w:top w:type="dxa" w:w="60"/>
            <w:left w:type="dxa" w:w="120"/>
            <w:bottom w:type="dxa" w:w="60"/>
            <w:right w:type="dxa" w:w="200"/>
          </w:tcMar>
        </w:tcPr>
        <w:p>
          <w:pPr>
            <w:jc w:val="right"/>
          </w:pPr>
          <w:r>
            <w:rPr>
              <w:rFonts w:ascii="Arial" w:cs="Arial" w:eastAsia="Arial" w:hAnsi="Arial"/>
              <w:color w:val="FFFFFF"/>
              <w:sz w:val="17"/>
              <w:szCs w:val="17"/>
            </w:rPr>
            <w:t xml:space="preserve">CONFIDENTIAL • March 14,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563A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2026-03-14T11:36:57.153Z</dcterms:created>
  <dcterms:modified xsi:type="dcterms:W3CDTF">2026-03-14T11:36:57.153Z</dcterms:modified>
</cp:coreProperties>
</file>

<file path=docProps/custom.xml><?xml version="1.0" encoding="utf-8"?>
<Properties xmlns="http://schemas.openxmlformats.org/officeDocument/2006/custom-properties" xmlns:vt="http://schemas.openxmlformats.org/officeDocument/2006/docPropsVTypes"/>
</file>