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3A5C" w:sz="24"/>
        </w:pBdr>
        <w:spacing w:after="0" w:before="0"/>
      </w:pPr>
      <w:r>
        <w:t xml:space="preserve"/>
      </w:r>
    </w:p>
    <w:p>
      <w:pPr>
        <w:spacing w:after="300" w:before="0"/>
      </w:pPr>
      <w:r>
        <w:t xml:space="preserve"/>
      </w:r>
    </w:p>
    <w:tbl>
      <w:tblPr>
        <w:tblW w:type="dxa" w:w="2600"/>
        <w:tblBorders>
          <w:top w:val="single" w:color="auto" w:sz="4"/>
          <w:left w:val="single" w:color="auto" w:sz="4"/>
          <w:bottom w:val="single" w:color="auto" w:sz="4"/>
          <w:right w:val="single" w:color="auto" w:sz="4"/>
          <w:insideH w:val="single" w:color="auto" w:sz="4"/>
          <w:insideV w:val="single" w:color="auto" w:sz="4"/>
        </w:tblBorders>
      </w:tblPr>
      <w:tblGrid>
        <w:gridCol w:w="2600"/>
      </w:tblGrid>
      <w:tr>
        <w:tc>
          <w:tcPr>
            <w:tcW w:type="dxa" w:w="2600"/>
            <w:tcBorders>
              <w:top w:val="single" w:color="C0392B" w:sz="1"/>
              <w:left w:val="single" w:color="C0392B" w:sz="1"/>
              <w:bottom w:val="single" w:color="C0392B" w:sz="1"/>
              <w:right w:val="single" w:color="C0392B" w:sz="1"/>
            </w:tcBorders>
            <w:shd w:fill="C0392B" w:val="clear"/>
            <w:tcMar>
              <w:top w:type="dxa" w:w="60"/>
              <w:left w:type="dxa" w:w="180"/>
              <w:bottom w:type="dxa" w:w="60"/>
              <w:right w:type="dxa" w:w="180"/>
            </w:tcMar>
          </w:tcPr>
          <w:p>
            <w:pPr>
              <w:jc w:val="center"/>
            </w:pPr>
            <w:r>
              <w:rPr>
                <w:rFonts w:ascii="Arial" w:cs="Arial" w:eastAsia="Arial" w:hAnsi="Arial"/>
                <w:b/>
                <w:bCs/>
                <w:color w:val="FFFFFF"/>
                <w:sz w:val="18"/>
                <w:szCs w:val="18"/>
              </w:rPr>
              <w:t xml:space="preserve">CONFIDENTIAL</w:t>
            </w:r>
          </w:p>
        </w:tc>
      </w:tr>
    </w:tbl>
    <w:p>
      <w:pPr>
        <w:spacing w:after="300" w:before="0"/>
      </w:pPr>
      <w:r>
        <w:t xml:space="preserve"/>
      </w:r>
    </w:p>
    <w:p>
      <w:r>
        <w:rPr>
          <w:rFonts w:ascii="Arial" w:cs="Arial" w:eastAsia="Arial" w:hAnsi="Arial"/>
          <w:b/>
          <w:bCs/>
          <w:color w:val="1B3A5C"/>
          <w:sz w:val="72"/>
          <w:szCs w:val="72"/>
        </w:rPr>
        <w:t xml:space="preserve">IDMatr</w:t>
      </w:r>
    </w:p>
    <w:p>
      <w:pPr>
        <w:spacing w:after="60" w:before="0"/>
      </w:pPr>
      <w:r>
        <w:rPr>
          <w:rFonts w:ascii="Arial" w:cs="Arial" w:eastAsia="Arial" w:hAnsi="Arial"/>
          <w:color w:val="2563A8"/>
          <w:sz w:val="52"/>
          <w:szCs w:val="52"/>
        </w:rPr>
        <w:t xml:space="preserve">Enterprise Security &amp; Compliance</w:t>
      </w:r>
    </w:p>
    <w:p>
      <w:pPr>
        <w:spacing w:after="80" w:before="0"/>
      </w:pPr>
      <w:r>
        <w:rPr>
          <w:rFonts w:ascii="Arial" w:cs="Arial" w:eastAsia="Arial" w:hAnsi="Arial"/>
          <w:b/>
          <w:bCs/>
          <w:color w:val="1B3A5C"/>
          <w:sz w:val="52"/>
          <w:szCs w:val="52"/>
        </w:rPr>
        <w:t xml:space="preserve">Audit Report</w:t>
      </w:r>
    </w:p>
    <w:p>
      <w:pPr>
        <w:pBdr>
          <w:bottom w:val="single" w:color="2563A8" w:sz="6" w:space="1"/>
        </w:pBdr>
        <w:spacing w:after="100" w:before="100"/>
      </w:pPr>
      <w:r>
        <w:t xml:space="preserve"/>
      </w:r>
    </w:p>
    <w:p>
      <w:pPr>
        <w:spacing w:after="50" w:before="0"/>
      </w:pPr>
      <w:r>
        <w:t xml:space="preserve"/>
      </w:r>
    </w:p>
    <w:p>
      <w:pPr>
        <w:spacing w:after="40" w:before="40"/>
      </w:pPr>
      <w:r>
        <w:rPr>
          <w:rFonts w:ascii="Arial" w:cs="Arial" w:eastAsia="Arial" w:hAnsi="Arial"/>
          <w:b/>
          <w:bCs/>
          <w:color w:val="1A1A2E"/>
          <w:sz w:val="24"/>
          <w:szCs w:val="24"/>
        </w:rPr>
        <w:t xml:space="preserve">Audit Date: </w:t>
      </w:r>
      <w:r>
        <w:rPr>
          <w:rFonts w:ascii="Arial" w:cs="Arial" w:eastAsia="Arial" w:hAnsi="Arial"/>
          <w:color w:val="1A1A2E"/>
          <w:sz w:val="24"/>
          <w:szCs w:val="24"/>
        </w:rPr>
        <w:t xml:space="preserve">March 14, 2026</w:t>
      </w:r>
    </w:p>
    <w:p>
      <w:pPr>
        <w:spacing w:after="40" w:before="40"/>
      </w:pPr>
      <w:r>
        <w:rPr>
          <w:rFonts w:ascii="Arial" w:cs="Arial" w:eastAsia="Arial" w:hAnsi="Arial"/>
          <w:b/>
          <w:bCs/>
          <w:color w:val="1A1A2E"/>
          <w:sz w:val="22"/>
          <w:szCs w:val="22"/>
        </w:rPr>
        <w:t xml:space="preserve">Assessor Mode: </w:t>
      </w:r>
      <w:r>
        <w:rPr>
          <w:rFonts w:ascii="Arial" w:cs="Arial" w:eastAsia="Arial" w:hAnsi="Arial"/>
          <w:color w:val="1A1A2E"/>
          <w:sz w:val="22"/>
          <w:szCs w:val="22"/>
        </w:rPr>
        <w:t xml:space="preserve">Autonomous Repository Audit</w:t>
      </w:r>
    </w:p>
    <w:p>
      <w:pPr>
        <w:spacing w:after="60" w:before="40"/>
      </w:pPr>
      <w:r>
        <w:rPr>
          <w:rFonts w:ascii="Arial" w:cs="Arial" w:eastAsia="Arial" w:hAnsi="Arial"/>
          <w:b/>
          <w:bCs/>
          <w:color w:val="1A1A2E"/>
          <w:sz w:val="22"/>
          <w:szCs w:val="22"/>
        </w:rPr>
        <w:t xml:space="preserve">Scope: </w:t>
      </w:r>
      <w:r>
        <w:rPr>
          <w:rFonts w:ascii="Arial" w:cs="Arial" w:eastAsia="Arial" w:hAnsi="Arial"/>
          <w:color w:val="1A1A2E"/>
          <w:sz w:val="22"/>
          <w:szCs w:val="22"/>
        </w:rPr>
        <w:t xml:space="preserve">Full repository audit — backend services, frontend applications, control plane, onboarding flows, authentication, authorization, deployment assets, database schemas, audit logging, multi-tenant isolation, agent code, and operational controls.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1"/>
            </w:tcBorders>
            <w:shd w:fill="FDECEA" w:val="clear"/>
            <w:tcMar>
              <w:top w:type="dxa" w:w="180"/>
              <w:left w:type="dxa" w:w="280"/>
              <w:bottom w:type="dxa" w:w="180"/>
              <w:right w:type="dxa" w:w="280"/>
            </w:tcMar>
          </w:tcPr>
          <w:p>
            <w:pPr>
              <w:jc w:val="center"/>
            </w:pPr>
            <w:r>
              <w:rPr>
                <w:rFonts w:ascii="Arial" w:cs="Arial" w:eastAsia="Arial" w:hAnsi="Arial"/>
                <w:b/>
                <w:bCs/>
                <w:color w:val="C0392B"/>
                <w:sz w:val="24"/>
                <w:szCs w:val="24"/>
              </w:rPr>
              <w:t xml:space="preserve">OVERALL VERDICT</w:t>
            </w:r>
          </w:p>
          <w:p>
            <w:pPr>
              <w:spacing w:after="30" w:before="0"/>
            </w:pPr>
            <w:r>
              <w:t xml:space="preserve"/>
            </w:r>
          </w:p>
          <w:p>
            <w:pPr>
              <w:jc w:val="center"/>
            </w:pPr>
            <w:r>
              <w:rPr>
                <w:rFonts w:ascii="Arial" w:cs="Arial" w:eastAsia="Arial" w:hAnsi="Arial"/>
                <w:b/>
                <w:bCs/>
                <w:color w:val="1A1A2E"/>
                <w:sz w:val="28"/>
                <w:szCs w:val="28"/>
              </w:rPr>
              <w:t xml:space="preserve">NOT READY FOR PRODUCTION DEPLOYMENT</w:t>
            </w:r>
          </w:p>
          <w:p>
            <w:pPr>
              <w:spacing w:after="30" w:before="0"/>
            </w:pPr>
            <w:r>
              <w:t xml:space="preserve"/>
            </w:r>
          </w:p>
          <w:p>
            <w:pPr>
              <w:jc w:val="center"/>
            </w:pPr>
            <w:r>
              <w:rPr>
                <w:rFonts w:ascii="Arial" w:cs="Arial" w:eastAsia="Arial" w:hAnsi="Arial"/>
                <w:color w:val="1A1A2E"/>
                <w:sz w:val="18"/>
                <w:szCs w:val="18"/>
              </w:rPr>
              <w:t xml:space="preserve">Architecture and foundational controls are now close to enterprise grade. Blocked by one major authorization defect, one legacy privileged access pattern, and insufficient live validation evidence.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3A5C" w:val="clear"/>
            <w:tcMar>
              <w:top w:type="dxa" w:w="120"/>
              <w:left w:type="dxa" w:w="200"/>
              <w:bottom w:type="dxa" w:w="120"/>
              <w:right w:type="dxa" w:w="120"/>
            </w:tcMar>
          </w:tcPr>
          <w:p>
            <w:pPr>
              <w:jc w:val="center"/>
            </w:pPr>
            <w:r>
              <w:rPr>
                <w:rFonts w:ascii="Arial" w:cs="Arial" w:eastAsia="Arial" w:hAnsi="Arial"/>
                <w:color w:val="FFFFFF"/>
                <w:sz w:val="18"/>
                <w:szCs w:val="18"/>
              </w:rPr>
              <w:t xml:space="preserve">Security Posture Score</w:t>
            </w:r>
          </w:p>
          <w:p>
            <w:pPr>
              <w:jc w:val="center"/>
            </w:pPr>
            <w:r>
              <w:rPr>
                <w:rFonts w:ascii="Arial" w:cs="Arial" w:eastAsia="Arial" w:hAnsi="Arial"/>
                <w:b/>
                <w:bCs/>
                <w:color w:val="FFFFFF"/>
                <w:sz w:val="48"/>
                <w:szCs w:val="48"/>
              </w:rPr>
              <w:t xml:space="preserve">77 / 100</w:t>
            </w:r>
          </w:p>
        </w:tc>
        <w:tc>
          <w:tcPr>
            <w:tcW w:type="dxa" w:w="4680"/>
            <w:tcBorders>
              <w:top w:val="none" w:color="FFFFFF" w:sz="0"/>
              <w:left w:val="none" w:color="FFFFFF" w:sz="0"/>
              <w:bottom w:val="none" w:color="FFFFFF" w:sz="0"/>
              <w:right w:val="none" w:color="FFFFFF" w:sz="0"/>
            </w:tcBorders>
            <w:shd w:fill="2563A8" w:val="clear"/>
            <w:tcMar>
              <w:top w:type="dxa" w:w="120"/>
              <w:left w:type="dxa" w:w="120"/>
              <w:bottom w:type="dxa" w:w="120"/>
              <w:right w:type="dxa" w:w="200"/>
            </w:tcMar>
          </w:tcPr>
          <w:p>
            <w:pPr>
              <w:jc w:val="center"/>
            </w:pPr>
            <w:r>
              <w:rPr>
                <w:rFonts w:ascii="Arial" w:cs="Arial" w:eastAsia="Arial" w:hAnsi="Arial"/>
                <w:color w:val="FFFFFF"/>
                <w:sz w:val="18"/>
                <w:szCs w:val="18"/>
              </w:rPr>
              <w:t xml:space="preserve">Go-Live Deployment Readiness</w:t>
            </w:r>
          </w:p>
          <w:p>
            <w:pPr>
              <w:jc w:val="center"/>
            </w:pPr>
            <w:r>
              <w:rPr>
                <w:rFonts w:ascii="Arial" w:cs="Arial" w:eastAsia="Arial" w:hAnsi="Arial"/>
                <w:b/>
                <w:bCs/>
                <w:color w:val="FFFFFF"/>
                <w:sz w:val="48"/>
                <w:szCs w:val="48"/>
              </w:rPr>
              <w:t xml:space="preserve">73 / 100</w:t>
            </w:r>
          </w:p>
        </w:tc>
      </w:tr>
    </w:tbl>
    <w:p>
      <w:pPr>
        <w:spacing w:after="300" w:before="0"/>
      </w:pPr>
      <w:r>
        <w:t xml:space="preserve"/>
      </w:r>
    </w:p>
    <w:p>
      <w:r>
        <w:br w:type="page"/>
      </w:r>
    </w:p>
    <w:p>
      <w:pPr>
        <w:sectPr>
          <w:pgSz w:w="12240" w:h="15840" w:orient="portrait"/>
          <w:pgMar w:top="1440" w:right="1440" w:bottom="1440" w:left="1440" w:header="708" w:footer="708" w:gutter="0"/>
          <w:pgNumType/>
          <w:docGrid w:linePitch="360"/>
        </w:sectPr>
      </w:pPr>
    </w:p>
    <w:p>
      <w:pPr>
        <w:pStyle w:val="Heading1"/>
      </w:pPr>
      <w:bookmarkStart w:name="toc" w:id="1"/>
      <w:r>
        <w:t xml:space="preserve">Table of Contents</w:t>
      </w:r>
      <w:bookmarkEnd w:id="1"/>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bookmarkStart w:name="exec" w:id="2"/>
      <w:r>
        <w:t xml:space="preserve">1. Executive Summary</w:t>
      </w:r>
      <w:bookmarkEnd w:id="2"/>
    </w:p>
    <w:p>
      <w:pPr>
        <w:pBdr>
          <w:bottom w:val="single" w:color="2563A8" w:sz="6" w:space="1"/>
        </w:pBdr>
        <w:spacing w:after="100" w:before="100"/>
      </w:pPr>
      <w:r>
        <w:t xml:space="preserve"/>
      </w:r>
    </w:p>
    <w:p>
      <w:pPr>
        <w:spacing w:after="120" w:before="60"/>
        <w:jc w:val="left"/>
      </w:pPr>
      <w:r>
        <w:rPr>
          <w:rFonts w:ascii="Arial" w:cs="Arial" w:eastAsia="Arial" w:hAnsi="Arial"/>
          <w:b w:val="false"/>
          <w:bCs w:val="false"/>
          <w:color w:val="1A1A2E"/>
          <w:sz w:val="20"/>
          <w:szCs w:val="20"/>
        </w:rPr>
        <w:t xml:space="preserve">IDMatr is materially stronger than the earlier pre-remediation baseline, but it is still not ready for enterprise production deployment or compliance certification submission as of March 14, 2026.</w:t>
      </w:r>
    </w:p>
    <w:p>
      <w:pPr>
        <w:spacing w:after="120" w:before="60"/>
        <w:jc w:val="left"/>
      </w:pPr>
      <w:r>
        <w:rPr>
          <w:rFonts w:ascii="Arial" w:cs="Arial" w:eastAsia="Arial" w:hAnsi="Arial"/>
          <w:b w:val="false"/>
          <w:bCs w:val="false"/>
          <w:color w:val="1A1A2E"/>
          <w:sz w:val="20"/>
          <w:szCs w:val="20"/>
        </w:rPr>
        <w:t xml:space="preserve">The platform now demonstrates meaningful progress in the areas that previously represented trust-boundary failures: authenticated private NATS messaging, JWT-derived tenant context, tenant-aware graph and policy queries, cookie-based sessions, TOTP MFA for privileged accounts, privacy lifecycle workflows, retention scheduling, Redis-backed rate limiting, immutable-style audit chaining, and a materially better CI security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1"/>
              <w:left w:val="single" w:color="2563A8" w:sz="12"/>
              <w:bottom w:val="single" w:color="2563A8" w:sz="1"/>
              <w:right w:val="single" w:color="2563A8" w:sz="1"/>
            </w:tcBorders>
            <w:shd w:fill="EBF5FB" w:val="clear"/>
            <w:tcMar>
              <w:top w:type="dxa" w:w="120"/>
              <w:left w:type="dxa" w:w="240"/>
              <w:bottom w:type="dxa" w:w="120"/>
              <w:right w:type="dxa" w:w="240"/>
            </w:tcMar>
          </w:tcPr>
          <w:p>
            <w:pPr>
              <w:spacing w:after="80" w:before="60"/>
              <w:jc w:val="left"/>
            </w:pPr>
            <w:r>
              <w:rPr>
                <w:rFonts w:ascii="Arial" w:cs="Arial" w:eastAsia="Arial" w:hAnsi="Arial"/>
                <w:b/>
                <w:bCs/>
                <w:color w:val="2563A8"/>
                <w:sz w:val="22"/>
                <w:szCs w:val="22"/>
              </w:rPr>
              <w:t xml:space="preserve">Key Improvements Since Prior Audit</w:t>
            </w:r>
          </w:p>
          <w:p>
            <w:pPr>
              <w:pStyle w:val="ListParagraph"/>
              <w:numPr>
                <w:ilvl w:val="0"/>
                <w:numId w:val="2"/>
              </w:numPr>
              <w:spacing w:after="40" w:before="40"/>
            </w:pPr>
            <w:r>
              <w:rPr>
                <w:rFonts w:ascii="Arial" w:cs="Arial" w:eastAsia="Arial" w:hAnsi="Arial"/>
                <w:color w:val="1A1A2E"/>
                <w:sz w:val="20"/>
                <w:szCs w:val="20"/>
              </w:rPr>
              <w:t xml:space="preserve">Authenticated NATS messaging with per-service subject permissions</w:t>
            </w:r>
          </w:p>
          <w:p>
            <w:pPr>
              <w:pStyle w:val="ListParagraph"/>
              <w:numPr>
                <w:ilvl w:val="0"/>
                <w:numId w:val="2"/>
              </w:numPr>
              <w:spacing w:after="40" w:before="40"/>
            </w:pPr>
            <w:r>
              <w:rPr>
                <w:rFonts w:ascii="Arial" w:cs="Arial" w:eastAsia="Arial" w:hAnsi="Arial"/>
                <w:color w:val="1A1A2E"/>
                <w:sz w:val="20"/>
                <w:szCs w:val="20"/>
              </w:rPr>
              <w:t xml:space="preserve">JWT-derived tenant context — client-controlled override removed</w:t>
            </w:r>
          </w:p>
          <w:p>
            <w:pPr>
              <w:pStyle w:val="ListParagraph"/>
              <w:numPr>
                <w:ilvl w:val="0"/>
                <w:numId w:val="2"/>
              </w:numPr>
              <w:spacing w:after="40" w:before="40"/>
            </w:pPr>
            <w:r>
              <w:rPr>
                <w:rFonts w:ascii="Arial" w:cs="Arial" w:eastAsia="Arial" w:hAnsi="Arial"/>
                <w:color w:val="1A1A2E"/>
                <w:sz w:val="20"/>
                <w:szCs w:val="20"/>
              </w:rPr>
              <w:t xml:space="preserve">Cookie-based sessions (HTTP-only, SameSite=Strict) replacing token storage</w:t>
            </w:r>
          </w:p>
          <w:p>
            <w:pPr>
              <w:pStyle w:val="ListParagraph"/>
              <w:numPr>
                <w:ilvl w:val="0"/>
                <w:numId w:val="2"/>
              </w:numPr>
              <w:spacing w:after="40" w:before="40"/>
            </w:pPr>
            <w:r>
              <w:rPr>
                <w:rFonts w:ascii="Arial" w:cs="Arial" w:eastAsia="Arial" w:hAnsi="Arial"/>
                <w:color w:val="1A1A2E"/>
                <w:sz w:val="20"/>
                <w:szCs w:val="20"/>
              </w:rPr>
              <w:t xml:space="preserve">TOTP MFA for privileged accounts (platform operators and tenant admins)</w:t>
            </w:r>
          </w:p>
          <w:p>
            <w:pPr>
              <w:pStyle w:val="ListParagraph"/>
              <w:numPr>
                <w:ilvl w:val="0"/>
                <w:numId w:val="2"/>
              </w:numPr>
              <w:spacing w:after="40" w:before="40"/>
            </w:pPr>
            <w:r>
              <w:rPr>
                <w:rFonts w:ascii="Arial" w:cs="Arial" w:eastAsia="Arial" w:hAnsi="Arial"/>
                <w:color w:val="1A1A2E"/>
                <w:sz w:val="20"/>
                <w:szCs w:val="20"/>
              </w:rPr>
              <w:t xml:space="preserve">Privacy lifecycle: DSAR export, rectification, deletion, and retention scheduling</w:t>
            </w:r>
          </w:p>
          <w:p>
            <w:pPr>
              <w:pStyle w:val="ListParagraph"/>
              <w:numPr>
                <w:ilvl w:val="0"/>
                <w:numId w:val="2"/>
              </w:numPr>
              <w:spacing w:after="40" w:before="40"/>
            </w:pPr>
            <w:r>
              <w:rPr>
                <w:rFonts w:ascii="Arial" w:cs="Arial" w:eastAsia="Arial" w:hAnsi="Arial"/>
                <w:color w:val="1A1A2E"/>
                <w:sz w:val="20"/>
                <w:szCs w:val="20"/>
              </w:rPr>
              <w:t xml:space="preserve">Redis-backed rate limiting replacing in-memory counters</w:t>
            </w:r>
          </w:p>
          <w:p>
            <w:pPr>
              <w:pStyle w:val="ListParagraph"/>
              <w:numPr>
                <w:ilvl w:val="0"/>
                <w:numId w:val="2"/>
              </w:numPr>
              <w:spacing w:after="40" w:before="40"/>
            </w:pPr>
            <w:r>
              <w:rPr>
                <w:rFonts w:ascii="Arial" w:cs="Arial" w:eastAsia="Arial" w:hAnsi="Arial"/>
                <w:color w:val="1A1A2E"/>
                <w:sz w:val="20"/>
                <w:szCs w:val="20"/>
              </w:rPr>
              <w:t xml:space="preserve">Hash-chained immutable-style audit logging across control plane and audit service</w:t>
            </w:r>
          </w:p>
          <w:p>
            <w:pPr>
              <w:pStyle w:val="ListParagraph"/>
              <w:numPr>
                <w:ilvl w:val="0"/>
                <w:numId w:val="2"/>
              </w:numPr>
              <w:spacing w:after="40" w:before="40"/>
            </w:pPr>
            <w:r>
              <w:rPr>
                <w:rFonts w:ascii="Arial" w:cs="Arial" w:eastAsia="Arial" w:hAnsi="Arial"/>
                <w:color w:val="1A1A2E"/>
                <w:sz w:val="20"/>
                <w:szCs w:val="20"/>
              </w:rPr>
              <w:t xml:space="preserve">CI security pipeline: secret scanning, SAST, dependency audit, container scanning</w:t>
            </w:r>
          </w:p>
        </w:tc>
      </w:tr>
    </w:tbl>
    <w:p>
      <w:pPr>
        <w:spacing w:after="100" w:before="0"/>
      </w:pPr>
      <w:r>
        <w:t xml:space="preserve"/>
      </w:r>
    </w:p>
    <w:p>
      <w:pPr>
        <w:spacing w:after="80" w:before="60"/>
        <w:jc w:val="left"/>
      </w:pPr>
      <w:r>
        <w:rPr>
          <w:rFonts w:ascii="Arial" w:cs="Arial" w:eastAsia="Arial" w:hAnsi="Arial"/>
          <w:b/>
          <w:bCs/>
          <w:color w:val="1A1A2E"/>
          <w:sz w:val="20"/>
          <w:szCs w:val="20"/>
        </w:rPr>
        <w:t xml:space="preserve">The remaining blockers are concentrated in enterprise least-privilege enforcement and operational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2"/>
              <w:bottom w:val="single" w:color="C0392B" w:sz="1"/>
              <w:right w:val="single" w:color="C0392B" w:sz="1"/>
            </w:tcBorders>
            <w:shd w:fill="FDECEA" w:val="clear"/>
            <w:tcMar>
              <w:top w:type="dxa" w:w="120"/>
              <w:left w:type="dxa" w:w="240"/>
              <w:bottom w:type="dxa" w:w="120"/>
              <w:right w:type="dxa" w:w="240"/>
            </w:tcMar>
          </w:tcPr>
          <w:p>
            <w:pPr>
              <w:spacing w:after="80" w:before="60"/>
              <w:jc w:val="left"/>
            </w:pPr>
            <w:r>
              <w:rPr>
                <w:rFonts w:ascii="Arial" w:cs="Arial" w:eastAsia="Arial" w:hAnsi="Arial"/>
                <w:b/>
                <w:bCs/>
                <w:color w:val="C0392B"/>
                <w:sz w:val="22"/>
                <w:szCs w:val="22"/>
              </w:rPr>
              <w:t xml:space="preserve">Remaining Blockers — Enterprise Production</w:t>
            </w:r>
          </w:p>
          <w:p>
            <w:pPr>
              <w:pStyle w:val="ListParagraph"/>
              <w:numPr>
                <w:ilvl w:val="0"/>
                <w:numId w:val="3"/>
              </w:numPr>
              <w:spacing w:after="40" w:before="40"/>
            </w:pPr>
            <w:r>
              <w:rPr>
                <w:rFonts w:ascii="Arial" w:cs="Arial" w:eastAsia="Arial" w:hAnsi="Arial"/>
                <w:color w:val="1A1A2E"/>
                <w:sz w:val="20"/>
                <w:szCs w:val="20"/>
              </w:rPr>
              <w:t xml:space="preserve">API gateway RBAC allows any authenticated tenant role to access most GET endpoints marked @Roles('admin') because admin expands to all tenant roles for GET requests.</w:t>
            </w:r>
          </w:p>
          <w:p>
            <w:pPr>
              <w:pStyle w:val="ListParagraph"/>
              <w:numPr>
                <w:ilvl w:val="0"/>
                <w:numId w:val="3"/>
              </w:numPr>
              <w:spacing w:after="40" w:before="40"/>
            </w:pPr>
            <w:r>
              <w:rPr>
                <w:rFonts w:ascii="Arial" w:cs="Arial" w:eastAsia="Arial" w:hAnsi="Arial"/>
                <w:color w:val="1A1A2E"/>
                <w:sz w:val="20"/>
                <w:szCs w:val="20"/>
              </w:rPr>
              <w:t xml:space="preserve">A legacy env-based system-wide admin login path remains outside the stronger operator control-plane model with no TOTP requirement.</w:t>
            </w:r>
          </w:p>
          <w:p>
            <w:pPr>
              <w:pStyle w:val="ListParagraph"/>
              <w:numPr>
                <w:ilvl w:val="0"/>
                <w:numId w:val="3"/>
              </w:numPr>
              <w:spacing w:after="40" w:before="40"/>
            </w:pPr>
            <w:r>
              <w:rPr>
                <w:rFonts w:ascii="Arial" w:cs="Arial" w:eastAsia="Arial" w:hAnsi="Arial"/>
                <w:color w:val="1A1A2E"/>
                <w:sz w:val="20"/>
                <w:szCs w:val="20"/>
              </w:rPr>
              <w:t xml:space="preserve">Runtime validation evidence is incomplete — local node execution failed and Docker daemon was unavailable, blocking fresh reproducible build/test/audit evidence.</w:t>
            </w:r>
          </w:p>
          <w:p>
            <w:pPr>
              <w:pStyle w:val="ListParagraph"/>
              <w:numPr>
                <w:ilvl w:val="0"/>
                <w:numId w:val="3"/>
              </w:numPr>
              <w:spacing w:after="40" w:before="40"/>
            </w:pPr>
            <w:r>
              <w:rPr>
                <w:rFonts w:ascii="Arial" w:cs="Arial" w:eastAsia="Arial" w:hAnsi="Arial"/>
                <w:color w:val="1A1A2E"/>
                <w:sz w:val="20"/>
                <w:szCs w:val="20"/>
              </w:rPr>
              <w:t xml:space="preserve">Operational evidence for immutable log persistence and backup verification exists as code but was not live-populated during this audit.</w:t>
            </w:r>
          </w:p>
          <w:p>
            <w:pPr>
              <w:pStyle w:val="ListParagraph"/>
              <w:numPr>
                <w:ilvl w:val="0"/>
                <w:numId w:val="3"/>
              </w:numPr>
              <w:spacing w:after="40" w:before="40"/>
            </w:pPr>
            <w:r>
              <w:rPr>
                <w:rFonts w:ascii="Arial" w:cs="Arial" w:eastAsia="Arial" w:hAnsi="Arial"/>
                <w:color w:val="1A1A2E"/>
                <w:sz w:val="20"/>
                <w:szCs w:val="20"/>
              </w:rPr>
              <w:t xml:space="preserve">Transport encryption for internal service-to-service and service-to-datastore traffic is not configured — NATS runs plain nats:// without TLS.</w:t>
            </w:r>
          </w:p>
        </w:tc>
      </w:tr>
    </w:tbl>
    <w:p>
      <w:pPr>
        <w:spacing w:after="100" w:before="0"/>
      </w:pPr>
      <w:r>
        <w:t xml:space="preserve"/>
      </w:r>
    </w:p>
    <w:p>
      <w:r>
        <w:br w:type="page"/>
      </w:r>
    </w:p>
    <w:p>
      <w:pPr>
        <w:pStyle w:val="Heading1"/>
      </w:pPr>
      <w:bookmarkStart w:name="scores" w:id="3"/>
      <w:r>
        <w:t xml:space="preserve">2. Compliance Scorecard</w:t>
      </w:r>
      <w:bookmarkEnd w:id="3"/>
    </w:p>
    <w:p>
      <w:pPr>
        <w:pBdr>
          <w:bottom w:val="single" w:color="2563A8" w:sz="6" w:space="1"/>
        </w:pBdr>
        <w:spacing w:after="100" w:before="100"/>
      </w:pPr>
      <w:r>
        <w:t xml:space="preserve"/>
      </w:r>
    </w:p>
    <w:p>
      <w:pPr>
        <w:spacing w:after="5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1600"/>
        <w:gridCol w:w="400"/>
        <w:gridCol w:w="1600"/>
        <w:gridCol w:w="400"/>
        <w:gridCol w:w="1200"/>
      </w:tblGrid>
      <w:tr>
        <w:tc>
          <w:tcPr>
            <w:tcW w:type="dxa" w:w="1600"/>
            <w:tcBorders>
              <w:top w:val="none" w:color="FFFFFF" w:sz="0"/>
              <w:left w:val="none" w:color="FFFFFF" w:sz="0"/>
              <w:bottom w:val="none" w:color="FFFFFF" w:sz="0"/>
              <w:right w:val="none" w:color="FFFFFF" w:sz="0"/>
            </w:tcBorders>
            <w:shd w:fill="1A7A3A" w:val="clear"/>
            <w:tcMar>
              <w:top w:type="dxa" w:w="40"/>
              <w:left w:type="dxa" w:w="120"/>
              <w:bottom w:type="dxa" w:w="40"/>
              <w:right w:type="dxa" w:w="120"/>
            </w:tcMar>
          </w:tcPr>
          <w:p>
            <w:pPr>
              <w:jc w:val="center"/>
            </w:pPr>
            <w:r>
              <w:rPr>
                <w:rFonts w:ascii="Arial" w:cs="Arial" w:eastAsia="Arial" w:hAnsi="Arial"/>
                <w:b/>
                <w:bCs/>
                <w:color w:val="FFFFFF"/>
                <w:sz w:val="16"/>
                <w:szCs w:val="16"/>
              </w:rPr>
              <w:t xml:space="preserve">78+ Strong</w:t>
            </w:r>
          </w:p>
        </w:tc>
        <w:tc>
          <w:tcPr>
            <w:tcW w:type="dxa" w:w="400"/>
            <w:tcBorders>
              <w:top w:val="none" w:color="FFFFFF" w:sz="0"/>
              <w:left w:val="none" w:color="FFFFFF" w:sz="0"/>
              <w:bottom w:val="none" w:color="FFFFFF" w:sz="0"/>
              <w:right w:val="none" w:color="FFFFFF" w:sz="0"/>
            </w:tcBorders>
            <w:shd w:fill="FFFFFF" w:val="clear"/>
          </w:tcPr>
          <w:p>
            <w:r>
              <w:t xml:space="preserve"/>
            </w:r>
          </w:p>
        </w:tc>
        <w:tc>
          <w:tcPr>
            <w:tcW w:type="dxa" w:w="1600"/>
            <w:tcBorders>
              <w:top w:val="none" w:color="FFFFFF" w:sz="0"/>
              <w:left w:val="none" w:color="FFFFFF" w:sz="0"/>
              <w:bottom w:val="none" w:color="FFFFFF" w:sz="0"/>
              <w:right w:val="none" w:color="FFFFFF" w:sz="0"/>
            </w:tcBorders>
            <w:shd w:fill="2563A8" w:val="clear"/>
            <w:tcMar>
              <w:top w:type="dxa" w:w="40"/>
              <w:left w:type="dxa" w:w="120"/>
              <w:bottom w:type="dxa" w:w="40"/>
              <w:right w:type="dxa" w:w="120"/>
            </w:tcMar>
          </w:tcPr>
          <w:p>
            <w:pPr>
              <w:jc w:val="center"/>
            </w:pPr>
            <w:r>
              <w:rPr>
                <w:rFonts w:ascii="Arial" w:cs="Arial" w:eastAsia="Arial" w:hAnsi="Arial"/>
                <w:b/>
                <w:bCs/>
                <w:color w:val="FFFFFF"/>
                <w:sz w:val="16"/>
                <w:szCs w:val="16"/>
              </w:rPr>
              <w:t xml:space="preserve">70-77 Good</w:t>
            </w:r>
          </w:p>
        </w:tc>
        <w:tc>
          <w:tcPr>
            <w:tcW w:type="dxa" w:w="400"/>
            <w:tcBorders>
              <w:top w:val="none" w:color="FFFFFF" w:sz="0"/>
              <w:left w:val="none" w:color="FFFFFF" w:sz="0"/>
              <w:bottom w:val="none" w:color="FFFFFF" w:sz="0"/>
              <w:right w:val="none" w:color="FFFFFF" w:sz="0"/>
            </w:tcBorders>
            <w:shd w:fill="FFFFFF" w:val="clear"/>
          </w:tcPr>
          <w:p>
            <w:r>
              <w:t xml:space="preserve"/>
            </w:r>
          </w:p>
        </w:tc>
        <w:tc>
          <w:tcPr>
            <w:tcW w:type="dxa" w:w="1600"/>
            <w:tcBorders>
              <w:top w:val="none" w:color="FFFFFF" w:sz="0"/>
              <w:left w:val="none" w:color="FFFFFF" w:sz="0"/>
              <w:bottom w:val="none" w:color="FFFFFF" w:sz="0"/>
              <w:right w:val="none" w:color="FFFFFF" w:sz="0"/>
            </w:tcBorders>
            <w:shd w:fill="D35400" w:val="clear"/>
            <w:tcMar>
              <w:top w:type="dxa" w:w="40"/>
              <w:left w:type="dxa" w:w="120"/>
              <w:bottom w:type="dxa" w:w="40"/>
              <w:right w:type="dxa" w:w="120"/>
            </w:tcMar>
          </w:tcPr>
          <w:p>
            <w:pPr>
              <w:jc w:val="center"/>
            </w:pPr>
            <w:r>
              <w:rPr>
                <w:rFonts w:ascii="Arial" w:cs="Arial" w:eastAsia="Arial" w:hAnsi="Arial"/>
                <w:b/>
                <w:bCs/>
                <w:color w:val="FFFFFF"/>
                <w:sz w:val="16"/>
                <w:szCs w:val="16"/>
              </w:rPr>
              <w:t xml:space="preserve">65-69 Partial</w:t>
            </w:r>
          </w:p>
        </w:tc>
        <w:tc>
          <w:tcPr>
            <w:tcW w:type="dxa" w:w="400"/>
            <w:tcBorders>
              <w:top w:val="none" w:color="FFFFFF" w:sz="0"/>
              <w:left w:val="none" w:color="FFFFFF" w:sz="0"/>
              <w:bottom w:val="none" w:color="FFFFFF" w:sz="0"/>
              <w:right w:val="none" w:color="FFFFFF" w:sz="0"/>
            </w:tcBorders>
            <w:shd w:fill="FFFFFF" w:val="clear"/>
          </w:tcPr>
          <w:p>
            <w:r>
              <w:t xml:space="preserve"/>
            </w:r>
          </w:p>
        </w:tc>
        <w:tc>
          <w:tcPr>
            <w:tcW w:type="dxa" w:w="1200"/>
            <w:tcBorders>
              <w:top w:val="none" w:color="FFFFFF" w:sz="0"/>
              <w:left w:val="none" w:color="FFFFFF" w:sz="0"/>
              <w:bottom w:val="none" w:color="FFFFFF" w:sz="0"/>
              <w:right w:val="none" w:color="FFFFFF" w:sz="0"/>
            </w:tcBorders>
            <w:shd w:fill="C0392B" w:val="clear"/>
            <w:tcMar>
              <w:top w:type="dxa" w:w="40"/>
              <w:left w:type="dxa" w:w="120"/>
              <w:bottom w:type="dxa" w:w="40"/>
              <w:right w:type="dxa" w:w="120"/>
            </w:tcMar>
          </w:tcPr>
          <w:p>
            <w:pPr>
              <w:jc w:val="center"/>
            </w:pPr>
            <w:r>
              <w:rPr>
                <w:rFonts w:ascii="Arial" w:cs="Arial" w:eastAsia="Arial" w:hAnsi="Arial"/>
                <w:b/>
                <w:bCs/>
                <w:color w:val="FFFFFF"/>
                <w:sz w:val="16"/>
                <w:szCs w:val="16"/>
              </w:rPr>
              <w:t xml:space="preserve">&lt;65 Risk</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Framework / Domain</w:t>
            </w:r>
          </w:p>
        </w:tc>
        <w:tc>
          <w:tcPr>
            <w:tcW w:type="dxa" w:w="14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center"/>
            </w:pPr>
            <w:r>
              <w:rPr>
                <w:rFonts w:ascii="Arial" w:cs="Arial" w:eastAsia="Arial" w:hAnsi="Arial"/>
                <w:b/>
                <w:bCs/>
                <w:color w:val="FFFFFF"/>
                <w:sz w:val="19"/>
                <w:szCs w:val="19"/>
              </w:rPr>
              <w:t xml:space="preserve">Score</w:t>
            </w:r>
          </w:p>
        </w:tc>
        <w:tc>
          <w:tcPr>
            <w:tcW w:type="dxa" w:w="516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Assessment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SOC 2</w:t>
            </w:r>
          </w:p>
        </w:tc>
        <w:tc>
          <w:tcPr>
            <w:tcW w:type="dxa" w:w="1400"/>
            <w:tcBorders>
              <w:top w:val="single" w:color="1A7A3A" w:sz="1"/>
              <w:left w:val="single" w:color="1A7A3A" w:sz="1"/>
              <w:bottom w:val="single" w:color="1A7A3A" w:sz="1"/>
              <w:right w:val="single" w:color="1A7A3A" w:sz="1"/>
            </w:tcBorders>
            <w:shd w:fill="1A7A3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79/100</w:t>
            </w:r>
          </w:p>
        </w:tc>
        <w:tc>
          <w:tcPr>
            <w:tcW w:type="dxa" w:w="51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Strong session, MFA, privacy, audit controls. Blocked by RBAC overexposure and legacy admin path.</w:t>
            </w:r>
          </w:p>
        </w:tc>
      </w:tr>
      <w:tr>
        <w:tc>
          <w:tcPr>
            <w:tcW w:type="dxa" w:w="2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ISO 27001</w:t>
            </w:r>
          </w:p>
        </w:tc>
        <w:tc>
          <w:tcPr>
            <w:tcW w:type="dxa" w:w="1400"/>
            <w:tcBorders>
              <w:top w:val="single" w:color="2563A8" w:sz="1"/>
              <w:left w:val="single" w:color="2563A8" w:sz="1"/>
              <w:bottom w:val="single" w:color="2563A8" w:sz="1"/>
              <w:right w:val="single" w:color="2563A8" w:sz="1"/>
            </w:tcBorders>
            <w:shd w:fill="2563A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74/100</w:t>
            </w:r>
          </w:p>
        </w:tc>
        <w:tc>
          <w:tcPr>
            <w:tcW w:type="dxa" w:w="51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Good access/crypto controls. Needs operational evidence and internal TLS.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PCI-DSS</w:t>
            </w:r>
          </w:p>
        </w:tc>
        <w:tc>
          <w:tcPr>
            <w:tcW w:type="dxa" w:w="14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68/100</w:t>
            </w:r>
          </w:p>
        </w:tc>
        <w:tc>
          <w:tcPr>
            <w:tcW w:type="dxa" w:w="51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Network exposure tightened, auth hardened. Needs internal TLS and formal segmentation evidence.</w:t>
            </w:r>
          </w:p>
        </w:tc>
      </w:tr>
      <w:tr>
        <w:tc>
          <w:tcPr>
            <w:tcW w:type="dxa" w:w="2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GDPR</w:t>
            </w:r>
          </w:p>
        </w:tc>
        <w:tc>
          <w:tcPr>
            <w:tcW w:type="dxa" w:w="1400"/>
            <w:tcBorders>
              <w:top w:val="single" w:color="1A7A3A" w:sz="1"/>
              <w:left w:val="single" w:color="1A7A3A" w:sz="1"/>
              <w:bottom w:val="single" w:color="1A7A3A" w:sz="1"/>
              <w:right w:val="single" w:color="1A7A3A" w:sz="1"/>
            </w:tcBorders>
            <w:shd w:fill="1A7A3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79/100</w:t>
            </w:r>
          </w:p>
        </w:tc>
        <w:tc>
          <w:tcPr>
            <w:tcW w:type="dxa" w:w="51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DSAR, consent, notices, legal-basis, retention all implemented. Needs live proof and RBAC fix.</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HIPAA</w:t>
            </w:r>
          </w:p>
        </w:tc>
        <w:tc>
          <w:tcPr>
            <w:tcW w:type="dxa" w:w="1400"/>
            <w:tcBorders>
              <w:top w:val="single" w:color="2563A8" w:sz="1"/>
              <w:left w:val="single" w:color="2563A8" w:sz="1"/>
              <w:bottom w:val="single" w:color="2563A8" w:sz="1"/>
              <w:right w:val="single" w:color="2563A8" w:sz="1"/>
            </w:tcBorders>
            <w:shd w:fill="2563A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71/100</w:t>
            </w:r>
          </w:p>
        </w:tc>
        <w:tc>
          <w:tcPr>
            <w:tcW w:type="dxa" w:w="51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MFA, audit trails, encryption in place. Missing internal TLS and immutable-log live evidence.</w:t>
            </w:r>
          </w:p>
        </w:tc>
      </w:tr>
      <w:tr>
        <w:tc>
          <w:tcPr>
            <w:tcW w:type="dxa" w:w="2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NIST CSF</w:t>
            </w:r>
          </w:p>
        </w:tc>
        <w:tc>
          <w:tcPr>
            <w:tcW w:type="dxa" w:w="1400"/>
            <w:tcBorders>
              <w:top w:val="single" w:color="2563A8" w:sz="1"/>
              <w:left w:val="single" w:color="2563A8" w:sz="1"/>
              <w:bottom w:val="single" w:color="2563A8" w:sz="1"/>
              <w:right w:val="single" w:color="2563A8" w:sz="1"/>
            </w:tcBorders>
            <w:shd w:fill="2563A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76/100</w:t>
            </w:r>
          </w:p>
        </w:tc>
        <w:tc>
          <w:tcPr>
            <w:tcW w:type="dxa" w:w="51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Strong Identify/Protect/Detect. Respond/Recover evidence and governance artifacts incomplete.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CIS Controls</w:t>
            </w:r>
          </w:p>
        </w:tc>
        <w:tc>
          <w:tcPr>
            <w:tcW w:type="dxa" w:w="1400"/>
            <w:tcBorders>
              <w:top w:val="single" w:color="2563A8" w:sz="1"/>
              <w:left w:val="single" w:color="2563A8" w:sz="1"/>
              <w:bottom w:val="single" w:color="2563A8" w:sz="1"/>
              <w:right w:val="single" w:color="2563A8" w:sz="1"/>
            </w:tcBorders>
            <w:shd w:fill="2563A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75/100</w:t>
            </w:r>
          </w:p>
        </w:tc>
        <w:tc>
          <w:tcPr>
            <w:tcW w:type="dxa" w:w="51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Secret scanning, hardened compose, rate limiting, logging improved. Access semantics too broad.</w:t>
            </w:r>
          </w:p>
        </w:tc>
      </w:tr>
      <w:tr>
        <w:tc>
          <w:tcPr>
            <w:tcW w:type="dxa" w:w="2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Go-Live Readiness</w:t>
            </w:r>
          </w:p>
        </w:tc>
        <w:tc>
          <w:tcPr>
            <w:tcW w:type="dxa" w:w="1400"/>
            <w:tcBorders>
              <w:top w:val="single" w:color="2563A8" w:sz="1"/>
              <w:left w:val="single" w:color="2563A8" w:sz="1"/>
              <w:bottom w:val="single" w:color="2563A8" w:sz="1"/>
              <w:right w:val="single" w:color="2563A8" w:sz="1"/>
            </w:tcBorders>
            <w:shd w:fill="2563A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73/100</w:t>
            </w:r>
          </w:p>
        </w:tc>
        <w:tc>
          <w:tcPr>
            <w:tcW w:type="dxa" w:w="51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Suitable for controlled staging. Blocked from enterprise production by auth and evidence gaps.</w:t>
            </w:r>
          </w:p>
        </w:tc>
      </w:tr>
    </w:tbl>
    <w:p>
      <w:pPr>
        <w:spacing w:after="100" w:before="0"/>
      </w:pPr>
      <w:r>
        <w:t xml:space="preserve"/>
      </w:r>
    </w:p>
    <w:p>
      <w:pPr>
        <w:pStyle w:val="Heading2"/>
      </w:pPr>
      <w:r>
        <w:t xml:space="preserve">SOC 2 Trust Service Criteria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3160"/>
        <w:gridCol w:w="2900"/>
      </w:tblGrid>
      <w:tr>
        <w:tc>
          <w:tcPr>
            <w:tcW w:type="dxa" w:w="22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Trust Service Criteria</w:t>
            </w:r>
          </w:p>
        </w:tc>
        <w:tc>
          <w:tcPr>
            <w:tcW w:type="dxa" w:w="11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center"/>
            </w:pPr>
            <w:r>
              <w:rPr>
                <w:rFonts w:ascii="Arial" w:cs="Arial" w:eastAsia="Arial" w:hAnsi="Arial"/>
                <w:b/>
                <w:bCs/>
                <w:color w:val="FFFFFF"/>
                <w:sz w:val="19"/>
                <w:szCs w:val="19"/>
              </w:rPr>
              <w:t xml:space="preserve">Score</w:t>
            </w:r>
          </w:p>
        </w:tc>
        <w:tc>
          <w:tcPr>
            <w:tcW w:type="dxa" w:w="316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Positive Evidence</w:t>
            </w:r>
          </w:p>
        </w:tc>
        <w:tc>
          <w:tcPr>
            <w:tcW w:type="dxa" w:w="29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Gaps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Security</w:t>
            </w:r>
          </w:p>
        </w:tc>
        <w:tc>
          <w:tcPr>
            <w:tcW w:type="dxa" w:w="1100"/>
            <w:tcBorders>
              <w:top w:val="single" w:color="1A7A3A" w:sz="1"/>
              <w:left w:val="single" w:color="1A7A3A" w:sz="1"/>
              <w:bottom w:val="single" w:color="1A7A3A" w:sz="1"/>
              <w:right w:val="single" w:color="1A7A3A" w:sz="1"/>
            </w:tcBorders>
            <w:shd w:fill="1A7A3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80/100</w:t>
            </w:r>
          </w:p>
        </w:tc>
        <w:tc>
          <w:tcPr>
            <w:tcW w:type="dxa" w:w="31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MFA, cookies, lockout, NATS auth, strict validation, audit chains</w:t>
            </w:r>
          </w:p>
        </w:tc>
        <w:tc>
          <w:tcPr>
            <w:tcW w:type="dxa" w:w="29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C0392B"/>
                <w:sz w:val="17"/>
                <w:szCs w:val="17"/>
              </w:rPr>
              <w:t xml:space="preserve">Gateway read-path RBAC issue, legacy admin path</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Availability</w:t>
            </w:r>
          </w:p>
        </w:tc>
        <w:tc>
          <w:tcPr>
            <w:tcW w:type="dxa" w:w="1100"/>
            <w:tcBorders>
              <w:top w:val="single" w:color="2563A8" w:sz="1"/>
              <w:left w:val="single" w:color="2563A8" w:sz="1"/>
              <w:bottom w:val="single" w:color="2563A8" w:sz="1"/>
              <w:right w:val="single" w:color="2563A8" w:sz="1"/>
            </w:tcBorders>
            <w:shd w:fill="2563A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76/100</w:t>
            </w:r>
          </w:p>
        </w:tc>
        <w:tc>
          <w:tcPr>
            <w:tcW w:type="dxa" w:w="31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Health checks, restart policies, resource limits, backup script, evidence generator</w:t>
            </w:r>
          </w:p>
        </w:tc>
        <w:tc>
          <w:tcPr>
            <w:tcW w:type="dxa" w:w="29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C0392B"/>
                <w:sz w:val="17"/>
                <w:szCs w:val="17"/>
              </w:rPr>
              <w:t xml:space="preserve">No completed restore evidence, Docker validation unavailable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Processing Integrity</w:t>
            </w:r>
          </w:p>
        </w:tc>
        <w:tc>
          <w:tcPr>
            <w:tcW w:type="dxa" w:w="1100"/>
            <w:tcBorders>
              <w:top w:val="single" w:color="2563A8" w:sz="1"/>
              <w:left w:val="single" w:color="2563A8" w:sz="1"/>
              <w:bottom w:val="single" w:color="2563A8" w:sz="1"/>
              <w:right w:val="single" w:color="2563A8" w:sz="1"/>
            </w:tcBorders>
            <w:shd w:fill="2563A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75/100</w:t>
            </w:r>
          </w:p>
        </w:tc>
        <w:tc>
          <w:tcPr>
            <w:tcW w:type="dxa" w:w="31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Strict global validation in gateway and control plane</w:t>
            </w:r>
          </w:p>
        </w:tc>
        <w:tc>
          <w:tcPr>
            <w:tcW w:type="dxa" w:w="29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C0392B"/>
                <w:sz w:val="17"/>
                <w:szCs w:val="17"/>
              </w:rPr>
              <w:t xml:space="preserve">Broad Record&lt;string, any&gt; config payloads in settings APIs</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Confidentiality</w:t>
            </w:r>
          </w:p>
        </w:tc>
        <w:tc>
          <w:tcPr>
            <w:tcW w:type="dxa" w:w="1100"/>
            <w:tcBorders>
              <w:top w:val="single" w:color="1A7A3A" w:sz="1"/>
              <w:left w:val="single" w:color="1A7A3A" w:sz="1"/>
              <w:bottom w:val="single" w:color="1A7A3A" w:sz="1"/>
              <w:right w:val="single" w:color="1A7A3A" w:sz="1"/>
            </w:tcBorders>
            <w:shd w:fill="1A7A3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79/100</w:t>
            </w:r>
          </w:p>
        </w:tc>
        <w:tc>
          <w:tcPr>
            <w:tcW w:type="dxa" w:w="31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Encrypted config fields, secret requirements, no public internal ports in prod</w:t>
            </w:r>
          </w:p>
        </w:tc>
        <w:tc>
          <w:tcPr>
            <w:tcW w:type="dxa" w:w="29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C0392B"/>
                <w:sz w:val="17"/>
                <w:szCs w:val="17"/>
              </w:rPr>
              <w:t xml:space="preserve">Missing internal transport TLS / mTLS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Privacy</w:t>
            </w:r>
          </w:p>
        </w:tc>
        <w:tc>
          <w:tcPr>
            <w:tcW w:type="dxa" w:w="1100"/>
            <w:tcBorders>
              <w:top w:val="single" w:color="1A7A3A" w:sz="1"/>
              <w:left w:val="single" w:color="1A7A3A" w:sz="1"/>
              <w:bottom w:val="single" w:color="1A7A3A" w:sz="1"/>
              <w:right w:val="single" w:color="1A7A3A" w:sz="1"/>
            </w:tcBorders>
            <w:shd w:fill="1A7A3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84/100</w:t>
            </w:r>
          </w:p>
        </w:tc>
        <w:tc>
          <w:tcPr>
            <w:tcW w:type="dxa" w:w="31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DSAR, consent, notice acceptance, legal-basis metadata, retention workflow</w:t>
            </w:r>
          </w:p>
        </w:tc>
        <w:tc>
          <w:tcPr>
            <w:tcW w:type="dxa" w:w="29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C0392B"/>
                <w:sz w:val="17"/>
                <w:szCs w:val="17"/>
              </w:rPr>
              <w:t xml:space="preserve">Operational proof incomplete; RBAC issue affects privacy exposure surface</w:t>
            </w:r>
          </w:p>
        </w:tc>
      </w:tr>
    </w:tbl>
    <w:p>
      <w:pPr>
        <w:spacing w:after="100" w:before="0"/>
      </w:pPr>
      <w:r>
        <w:t xml:space="preserve"/>
      </w:r>
    </w:p>
    <w:p>
      <w:r>
        <w:br w:type="page"/>
      </w:r>
    </w:p>
    <w:p>
      <w:pPr>
        <w:pStyle w:val="Heading1"/>
      </w:pPr>
      <w:bookmarkStart w:name="arch" w:id="4"/>
      <w:r>
        <w:t xml:space="preserve">3. Architecture Overview</w:t>
      </w:r>
      <w:bookmarkEnd w:id="4"/>
    </w:p>
    <w:p>
      <w:pPr>
        <w:pBdr>
          <w:bottom w:val="single" w:color="2563A8" w:sz="6" w:space="1"/>
        </w:pBdr>
        <w:spacing w:after="100" w:before="100"/>
      </w:pPr>
      <w:r>
        <w:t xml:space="preserve"/>
      </w:r>
    </w:p>
    <w:p>
      <w:pPr>
        <w:spacing w:after="80" w:before="60"/>
        <w:jc w:val="left"/>
      </w:pPr>
      <w:r>
        <w:rPr>
          <w:rFonts w:ascii="Arial" w:cs="Arial" w:eastAsia="Arial" w:hAnsi="Arial"/>
          <w:b w:val="false"/>
          <w:bCs w:val="false"/>
          <w:color w:val="1A1A2E"/>
          <w:sz w:val="20"/>
          <w:szCs w:val="20"/>
        </w:rPr>
        <w:t xml:space="preserve">IDMatr implements a multi-service SaaS identity security platform with three main planes.</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Plane</w:t>
            </w:r>
          </w:p>
        </w:tc>
        <w:tc>
          <w:tcPr>
            <w:tcW w:type="dxa" w:w="416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Components</w:t>
            </w:r>
          </w:p>
        </w:tc>
        <w:tc>
          <w:tcPr>
            <w:tcW w:type="dxa" w:w="30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Notes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Tenant-Facing</w:t>
            </w:r>
          </w:p>
        </w:tc>
        <w:tc>
          <w:tcPr>
            <w:tcW w:type="dxa" w:w="41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api-gateway, admin-dashboard, NATS-connected microservices (identity, discovery, governance, risk, policy, graph, notification, worker-queue, audit)</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API gateway is the tenant ingress; derives tenant context from JWT claims only.</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Operator / Control Plane</w:t>
            </w:r>
          </w:p>
        </w:tc>
        <w:tc>
          <w:tcPr>
            <w:tcW w:type="dxa" w:w="41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control-plane, control-plane-ui</w:t>
            </w:r>
          </w:p>
        </w:tc>
        <w:tc>
          <w:tcPr>
            <w:tcW w:type="dxa" w:w="30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Hosts tenant lifecycle, privacy, settings, access review, break-glass, MFA, and operator audit functions.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Shared Infrastructure</w:t>
            </w:r>
          </w:p>
        </w:tc>
        <w:tc>
          <w:tcPr>
            <w:tcW w:type="dxa" w:w="41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PostgreSQL, Redis, Neo4j, NATS, compliance ledgers, deployment scripts, Go agent</w:t>
            </w:r>
          </w:p>
        </w:tc>
        <w:tc>
          <w:tcPr>
            <w:tcW w:type="dxa" w:w="30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Most internal services private in production. Internal transport encryption not yet enabled.</w:t>
            </w:r>
          </w:p>
        </w:tc>
      </w:tr>
    </w:tbl>
    <w:p>
      <w:pPr>
        <w:spacing w:after="100" w:before="0"/>
      </w:pPr>
      <w:r>
        <w:t xml:space="preserve"/>
      </w:r>
    </w:p>
    <w:p>
      <w:pPr>
        <w:pStyle w:val="Heading2"/>
      </w:pPr>
      <w:r>
        <w:t xml:space="preserve">Security-Relevant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Area</w:t>
            </w:r>
          </w:p>
        </w:tc>
        <w:tc>
          <w:tcPr>
            <w:tcW w:type="dxa" w:w="476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Observation</w:t>
            </w:r>
          </w:p>
        </w:tc>
        <w:tc>
          <w:tcPr>
            <w:tcW w:type="dxa" w:w="24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Evidence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NATS Authentication</w:t>
            </w:r>
          </w:p>
        </w:tc>
        <w:tc>
          <w:tcPr>
            <w:tcW w:type="dxa" w:w="47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Not publicly mapped in production. Authenticated with per-service subject permissions.</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563A8"/>
                <w:sz w:val="16"/>
                <w:szCs w:val="16"/>
              </w:rPr>
              <w:t xml:space="preserve">nats-server.conf:5-155</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Tenant Isolation</w:t>
            </w:r>
          </w:p>
        </w:tc>
        <w:tc>
          <w:tcPr>
            <w:tcW w:type="dxa" w:w="47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Context derived from JWT claims or cookies only — no client-supplied tenant header accepted.</w:t>
            </w:r>
          </w:p>
        </w:tc>
        <w:tc>
          <w:tcPr>
            <w:tcW w:type="dxa" w:w="24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2563A8"/>
                <w:sz w:val="16"/>
                <w:szCs w:val="16"/>
              </w:rPr>
              <w:t xml:space="preserve">tenant.middleware.ts:8-53</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Data Scoping</w:t>
            </w:r>
          </w:p>
        </w:tc>
        <w:tc>
          <w:tcPr>
            <w:tcW w:type="dxa" w:w="47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Graph and policy data access is tenant-scoped across all microservices.</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563A8"/>
                <w:sz w:val="16"/>
                <w:szCs w:val="16"/>
              </w:rPr>
              <w:t xml:space="preserve">graph-service, policy-engine</w:t>
            </w:r>
          </w:p>
        </w:tc>
      </w:tr>
      <w:tr>
        <w:tc>
          <w:tcPr>
            <w:tcW w:type="dxa" w:w="22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Secret Encryption</w:t>
            </w:r>
          </w:p>
        </w:tc>
        <w:tc>
          <w:tcPr>
            <w:tcW w:type="dxa" w:w="47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Sensitive settings values are encrypted before storage in settings and integration fields.</w:t>
            </w:r>
          </w:p>
        </w:tc>
        <w:tc>
          <w:tcPr>
            <w:tcW w:type="dxa" w:w="24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2563A8"/>
                <w:sz w:val="16"/>
                <w:szCs w:val="16"/>
              </w:rPr>
              <w:t xml:space="preserve">settings.service.ts:97-328</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Privacy Models</w:t>
            </w:r>
          </w:p>
        </w:tc>
        <w:tc>
          <w:tcPr>
            <w:tcW w:type="dxa" w:w="47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Full privacy schema: legal basis, consent, DSAR, retention, and notice acceptance models.</w:t>
            </w:r>
          </w:p>
        </w:tc>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2563A8"/>
                <w:sz w:val="16"/>
                <w:szCs w:val="16"/>
              </w:rPr>
              <w:t xml:space="preserve">privacy.service.ts, schema.prisma</w:t>
            </w:r>
          </w:p>
        </w:tc>
      </w:tr>
    </w:tbl>
    <w:p>
      <w:pPr>
        <w:spacing w:after="100" w:before="0"/>
      </w:pPr>
      <w:r>
        <w:t xml:space="preserve"/>
      </w:r>
    </w:p>
    <w:p>
      <w:r>
        <w:br w:type="page"/>
      </w:r>
    </w:p>
    <w:p>
      <w:pPr>
        <w:pStyle w:val="Heading1"/>
      </w:pPr>
      <w:bookmarkStart w:name="posture" w:id="5"/>
      <w:r>
        <w:t xml:space="preserve">4. Security Posture Assessment</w:t>
      </w:r>
      <w:bookmarkEnd w:id="5"/>
    </w:p>
    <w:p>
      <w:pPr>
        <w:pBdr>
          <w:bottom w:val="single" w:color="2563A8" w:sz="6" w:space="1"/>
        </w:pBdr>
        <w:spacing w:after="100" w:before="100"/>
      </w:pPr>
      <w:r>
        <w:t xml:space="preserve"/>
      </w:r>
    </w:p>
    <w:p>
      <w:pPr>
        <w:spacing w:after="80" w:before="60"/>
        <w:jc w:val="left"/>
      </w:pPr>
      <w:r>
        <w:rPr>
          <w:rFonts w:ascii="Arial" w:cs="Arial" w:eastAsia="Arial" w:hAnsi="Arial"/>
          <w:b/>
          <w:bCs/>
          <w:color w:val="1A1A2E"/>
          <w:sz w:val="22"/>
          <w:szCs w:val="22"/>
        </w:rPr>
        <w:t xml:space="preserve">Overall security posture score: 77/100</w:t>
      </w:r>
    </w:p>
    <w:p>
      <w:pPr>
        <w:spacing w:after="50" w:before="0"/>
      </w:pPr>
      <w:r>
        <w:t xml:space="preserve"/>
      </w:r>
    </w:p>
    <w:p>
      <w:pPr>
        <w:pStyle w:val="Heading2"/>
      </w:pPr>
      <w:r>
        <w:t xml:space="preserve">4.1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gridSpan w:val="1"/>
            <w:tcBorders>
              <w:top w:val="single" w:color="1A7A3A" w:sz="1"/>
              <w:left w:val="single" w:color="1A7A3A" w:sz="1"/>
              <w:bottom w:val="single" w:color="1A7A3A" w:sz="1"/>
              <w:right w:val="single" w:color="1A7A3A" w:sz="1"/>
            </w:tcBorders>
            <w:shd w:fill="1A7A3A"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Area</w:t>
            </w:r>
          </w:p>
        </w:tc>
        <w:tc>
          <w:tcPr>
            <w:tcW w:type="dxa" w:w="4360"/>
            <w:gridSpan w:val="1"/>
            <w:tcBorders>
              <w:top w:val="single" w:color="1A7A3A" w:sz="1"/>
              <w:left w:val="single" w:color="1A7A3A" w:sz="1"/>
              <w:bottom w:val="single" w:color="1A7A3A" w:sz="1"/>
              <w:right w:val="single" w:color="1A7A3A" w:sz="1"/>
            </w:tcBorders>
            <w:shd w:fill="1A7A3A"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Positive Evidence</w:t>
            </w:r>
          </w:p>
        </w:tc>
        <w:tc>
          <w:tcPr>
            <w:tcW w:type="dxa" w:w="2600"/>
            <w:gridSpan w:val="1"/>
            <w:tcBorders>
              <w:top w:val="single" w:color="1A7A3A" w:sz="1"/>
              <w:left w:val="single" w:color="1A7A3A" w:sz="1"/>
              <w:bottom w:val="single" w:color="1A7A3A" w:sz="1"/>
              <w:right w:val="single" w:color="1A7A3A" w:sz="1"/>
            </w:tcBorders>
            <w:shd w:fill="1A7A3A"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Assessment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Internal Trust Boundary</w:t>
            </w:r>
          </w:p>
        </w:tc>
        <w:tc>
          <w:tcPr>
            <w:tcW w:type="dxa" w:w="43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Authenticated NATS users with per-service subject permissions</w:t>
            </w:r>
          </w:p>
        </w:tc>
        <w:tc>
          <w:tcPr>
            <w:tcW w:type="dxa" w:w="26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Strong improvement over prior baseline.</w:t>
            </w:r>
          </w:p>
        </w:tc>
      </w:tr>
      <w:tr>
        <w:tc>
          <w:tcPr>
            <w:tcW w:type="dxa" w:w="2400"/>
            <w:gridSpan w:val="1"/>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Tenant Isolation</w:t>
            </w:r>
          </w:p>
        </w:tc>
        <w:tc>
          <w:tcPr>
            <w:tcW w:type="dxa" w:w="4360"/>
            <w:gridSpan w:val="1"/>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JWT-only tenant extraction; core cross-tenant override issue appears remediated.</w:t>
            </w:r>
          </w:p>
        </w:tc>
        <w:tc>
          <w:tcPr>
            <w:tcW w:type="dxa" w:w="2600"/>
            <w:gridSpan w:val="1"/>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Core cross-tenant override remediated.</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Session Security</w:t>
            </w:r>
          </w:p>
        </w:tc>
        <w:tc>
          <w:tcPr>
            <w:tcW w:type="dxa" w:w="43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HTTP-only, SameSite=Strict, secure-in-production cookies for tenant and operator auth.</w:t>
            </w:r>
          </w:p>
        </w:tc>
        <w:tc>
          <w:tcPr>
            <w:tcW w:type="dxa" w:w="26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Good alignment with SOC 2 and OWASP.</w:t>
            </w:r>
          </w:p>
        </w:tc>
      </w:tr>
      <w:tr>
        <w:tc>
          <w:tcPr>
            <w:tcW w:type="dxa" w:w="2400"/>
            <w:gridSpan w:val="1"/>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Privileged Auth</w:t>
            </w:r>
          </w:p>
        </w:tc>
        <w:tc>
          <w:tcPr>
            <w:tcW w:type="dxa" w:w="4360"/>
            <w:gridSpan w:val="1"/>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TOTP MFA, password complexity, lockout, and audit logging for control-plane and tenant admins.</w:t>
            </w:r>
          </w:p>
        </w:tc>
        <w:tc>
          <w:tcPr>
            <w:tcW w:type="dxa" w:w="2600"/>
            <w:gridSpan w:val="1"/>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Strong access-control maturity.</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Privacy Lifecycle</w:t>
            </w:r>
          </w:p>
        </w:tc>
        <w:tc>
          <w:tcPr>
            <w:tcW w:type="dxa" w:w="43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Notice publication, consent, export, rectification, deletion, and retention tasks fully implemented.</w:t>
            </w:r>
          </w:p>
        </w:tc>
        <w:tc>
          <w:tcPr>
            <w:tcW w:type="dxa" w:w="26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Meaningful GDPR readiness improvement.</w:t>
            </w:r>
          </w:p>
        </w:tc>
      </w:tr>
      <w:tr>
        <w:tc>
          <w:tcPr>
            <w:tcW w:type="dxa" w:w="2400"/>
            <w:gridSpan w:val="1"/>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Audit Integrity</w:t>
            </w:r>
          </w:p>
        </w:tc>
        <w:tc>
          <w:tcPr>
            <w:tcW w:type="dxa" w:w="4360"/>
            <w:gridSpan w:val="1"/>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Hash chaining and immutable ledger append in control plane and audit service.</w:t>
            </w:r>
          </w:p>
        </w:tc>
        <w:tc>
          <w:tcPr>
            <w:tcW w:type="dxa" w:w="2600"/>
            <w:gridSpan w:val="1"/>
            <w:tcBorders>
              <w:top w:val="single" w:color="CCCCCC" w:sz="1"/>
              <w:left w:val="single" w:color="CCCCCC" w:sz="1"/>
              <w:bottom w:val="single" w:color="CCCCCC" w:sz="1"/>
              <w:right w:val="single" w:color="CCCCCC" w:sz="1"/>
            </w:tcBorders>
            <w:shd w:fill="E8F5E9"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Strong design; live evidence still incomplete.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Security Pipeline</w:t>
            </w:r>
          </w:p>
        </w:tc>
        <w:tc>
          <w:tcPr>
            <w:tcW w:type="dxa" w:w="43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Secret scanning, Semgrep, dependency audit, tests, and container scanning in CI.</w:t>
            </w:r>
          </w:p>
        </w:tc>
        <w:tc>
          <w:tcPr>
            <w:tcW w:type="dxa" w:w="26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Good SDLC control foundation.</w:t>
            </w:r>
          </w:p>
        </w:tc>
      </w:tr>
    </w:tbl>
    <w:p>
      <w:pPr>
        <w:spacing w:after="100" w:before="0"/>
      </w:pPr>
      <w:r>
        <w:t xml:space="preserve"/>
      </w:r>
    </w:p>
    <w:p>
      <w:pPr>
        <w:pStyle w:val="Heading2"/>
      </w:pPr>
      <w:r>
        <w:t xml:space="preserve">4.2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c>
          <w:tcPr>
            <w:tcW w:type="dxa" w:w="24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Area</w:t>
            </w:r>
          </w:p>
        </w:tc>
        <w:tc>
          <w:tcPr>
            <w:tcW w:type="dxa" w:w="50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Residual Weakness</w:t>
            </w:r>
          </w:p>
        </w:tc>
        <w:tc>
          <w:tcPr>
            <w:tcW w:type="dxa" w:w="196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center"/>
            </w:pPr>
            <w:r>
              <w:rPr>
                <w:rFonts w:ascii="Arial" w:cs="Arial" w:eastAsia="Arial" w:hAnsi="Arial"/>
                <w:b/>
                <w:bCs/>
                <w:color w:val="FFFFFF"/>
                <w:sz w:val="19"/>
                <w:szCs w:val="19"/>
              </w:rPr>
              <w:t xml:space="preserve">Impact</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RBAC</w:t>
            </w:r>
          </w:p>
        </w:tc>
        <w:tc>
          <w:tcPr>
            <w:tcW w:type="dxa" w:w="50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API gateway read access is broader than intended — admin expands to all tenant roles for GET requests.</w:t>
            </w:r>
          </w:p>
        </w:tc>
        <w:tc>
          <w:tcPr>
            <w:tcW w:type="dxa" w:w="196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High</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Legacy Admin Access</w:t>
            </w:r>
          </w:p>
        </w:tc>
        <w:tc>
          <w:tcPr>
            <w:tcW w:type="dxa" w:w="50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API gateway still supports a system-wide env-based admin login bypassing MFA and control-plane governance.</w:t>
            </w:r>
          </w:p>
        </w:tc>
        <w:tc>
          <w:tcPr>
            <w:tcW w:type="dxa" w:w="196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High</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Operational Evidence</w:t>
            </w:r>
          </w:p>
        </w:tc>
        <w:tc>
          <w:tcPr>
            <w:tcW w:type="dxa" w:w="50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Audit ledgers, verification endpoints, and backup evidence were not live-populated in the current audit snapshot.</w:t>
            </w:r>
          </w:p>
        </w:tc>
        <w:tc>
          <w:tcPr>
            <w:tcW w:type="dxa" w:w="196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Medium</w:t>
            </w:r>
          </w:p>
        </w:tc>
      </w:tr>
      <w:tr>
        <w:tc>
          <w:tcPr>
            <w:tcW w:type="dxa" w:w="24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Transport Encryption</w:t>
            </w:r>
          </w:p>
        </w:tc>
        <w:tc>
          <w:tcPr>
            <w:tcW w:type="dxa" w:w="50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No TLS or mTLS configured for NATS or internal data stores in deployment assets.</w:t>
            </w:r>
          </w:p>
        </w:tc>
        <w:tc>
          <w:tcPr>
            <w:tcW w:type="dxa" w:w="196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Medium</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Validation Assurance</w:t>
            </w:r>
          </w:p>
        </w:tc>
        <w:tc>
          <w:tcPr>
            <w:tcW w:type="dxa" w:w="50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Node and container validation could not be reproduced in this audit environment.</w:t>
            </w:r>
          </w:p>
        </w:tc>
        <w:tc>
          <w:tcPr>
            <w:tcW w:type="dxa" w:w="196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Medium</w:t>
            </w:r>
          </w:p>
        </w:tc>
      </w:tr>
    </w:tbl>
    <w:p>
      <w:pPr>
        <w:spacing w:after="100" w:before="0"/>
      </w:pPr>
      <w:r>
        <w:t xml:space="preserve"/>
      </w:r>
    </w:p>
    <w:p>
      <w:r>
        <w:br w:type="page"/>
      </w:r>
    </w:p>
    <w:p>
      <w:pPr>
        <w:pStyle w:val="Heading1"/>
      </w:pPr>
      <w:bookmarkStart w:name="high" w:id="6"/>
      <w:r>
        <w:t xml:space="preserve">5. High Risk Findings</w:t>
      </w:r>
      <w:bookmarkEnd w:id="6"/>
    </w:p>
    <w:p>
      <w:pPr>
        <w:pBdr>
          <w:bottom w:val="single" w:color="C0392B" w:sz="6" w:space="1"/>
        </w:pBdr>
        <w:spacing w:after="100" w:before="100"/>
      </w:pPr>
      <w:r>
        <w:t xml:space="preserve"/>
      </w:r>
    </w:p>
    <w:p>
      <w:pPr>
        <w:spacing w:after="120" w:before="60"/>
        <w:jc w:val="left"/>
      </w:pPr>
      <w:r>
        <w:rPr>
          <w:rFonts w:ascii="Arial" w:cs="Arial" w:eastAsia="Arial" w:hAnsi="Arial"/>
          <w:b w:val="false"/>
          <w:bCs w:val="false"/>
          <w:color w:val="1A1A2E"/>
          <w:sz w:val="20"/>
          <w:szCs w:val="20"/>
        </w:rPr>
        <w:t xml:space="preserve">No currently verified critical findings were observed. Previously critical issues (public unauthenticated NATS exposure, client-controlled tenant overrides, plaintext onboarding password exposure, and browser localStorage token storage) appear remediated. The following high-severity findings are material enough to block enterprise go-live and certification evidence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20"/>
              <w:bottom w:type="dxa" w:w="100"/>
              <w:right w:type="dxa" w:w="220"/>
            </w:tcMar>
          </w:tcPr>
          <w:p>
            <w:r>
              <w:rPr>
                <w:rFonts w:ascii="Arial" w:cs="Arial" w:eastAsia="Arial" w:hAnsi="Arial"/>
                <w:b/>
                <w:bCs/>
                <w:color w:val="FFFFFF"/>
                <w:sz w:val="22"/>
                <w:szCs w:val="22"/>
              </w:rPr>
              <w:t>H-01  API Gateway RBAC Overexposes Read Endpoints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CCCCCC" w:sz="1"/>
              <w:left w:val="single" w:color="CCCCCC" w:sz="1"/>
              <w:bottom w:val="single" w:color="CCCCCC" w:sz="1"/>
              <w:right w:val="single" w:color="CCCCCC" w:sz="1"/>
            </w:tcBorders>
            <w:shd w:fill="FDECEA" w:val="clear"/>
            <w:tcMar>
              <w:top w:type="dxa" w:w="90"/>
              <w:left w:type="dxa" w:w="160"/>
              <w:bottom w:type="dxa" w:w="90"/>
              <w:right w:type="dxa" w:w="160"/>
            </w:tcMar>
            <w:vAlign w:val="center"/>
          </w:tcPr>
          <w:p>
            <w:pPr>
              <w:jc w:val="left"/>
            </w:pPr>
            <w:r>
              <w:rPr>
                <w:rFonts w:ascii="Arial" w:cs="Arial" w:eastAsia="Arial" w:hAnsi="Arial"/>
                <w:b/>
                <w:bCs/>
                <w:color w:val="C0392B"/>
                <w:sz w:val="18"/>
                <w:szCs w:val="18"/>
              </w:rPr>
              <w:t xml:space="preserve">Finding</w:t>
            </w:r>
          </w:p>
        </w:tc>
        <w:tc>
          <w:tcPr>
            <w:tcW w:type="dxa" w:w="792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The roles guard expands @Roles('admin') to include tenant_admin, tenant_user, and viewer for GET requests. Affected routes include identities, applications, risk, governance, graph, audit, compliance, posture, and settings endpoints.</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90"/>
              <w:left w:type="dxa" w:w="160"/>
              <w:bottom w:type="dxa" w:w="90"/>
              <w:right w:type="dxa" w:w="160"/>
            </w:tcMar>
            <w:vAlign w:val="center"/>
          </w:tcPr>
          <w:p>
            <w:pPr>
              <w:jc w:val="left"/>
            </w:pPr>
            <w:r>
              <w:rPr>
                <w:rFonts w:ascii="Arial" w:cs="Arial" w:eastAsia="Arial" w:hAnsi="Arial"/>
                <w:b/>
                <w:bCs/>
                <w:color w:val="C0392B"/>
                <w:sz w:val="18"/>
                <w:szCs w:val="18"/>
              </w:rPr>
              <w:t xml:space="preserve">Impact</w:t>
            </w:r>
          </w:p>
        </w:tc>
        <w:tc>
          <w:tcPr>
            <w:tcW w:type="dxa" w:w="792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Breaks least privilege and exposes tenant-wide identity, risk, governance, and audit information to roles that should be constrained to narrower scopes.</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90"/>
              <w:left w:type="dxa" w:w="160"/>
              <w:bottom w:type="dxa" w:w="90"/>
              <w:right w:type="dxa" w:w="160"/>
            </w:tcMar>
            <w:vAlign w:val="center"/>
          </w:tcPr>
          <w:p>
            <w:pPr>
              <w:jc w:val="left"/>
            </w:pPr>
            <w:r>
              <w:rPr>
                <w:rFonts w:ascii="Arial" w:cs="Arial" w:eastAsia="Arial" w:hAnsi="Arial"/>
                <w:b/>
                <w:bCs/>
                <w:color w:val="C0392B"/>
                <w:sz w:val="18"/>
                <w:szCs w:val="18"/>
              </w:rPr>
              <w:t xml:space="preserve">Evidence</w:t>
            </w:r>
          </w:p>
        </w:tc>
        <w:tc>
          <w:tcPr>
            <w:tcW w:type="dxa" w:w="792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555555"/>
                <w:sz w:val="17"/>
                <w:szCs w:val="17"/>
              </w:rPr>
              <w:t xml:space="preserve">apps/api-gateway/src/roles.guard.ts:5-15, app.controller.ts:249-575, settings.controller.ts:14-156</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20"/>
              <w:bottom w:type="dxa" w:w="100"/>
              <w:right w:type="dxa" w:w="220"/>
            </w:tcMar>
          </w:tcPr>
          <w:p>
            <w:r>
              <w:rPr>
                <w:rFonts w:ascii="Arial" w:cs="Arial" w:eastAsia="Arial" w:hAnsi="Arial"/>
                <w:b/>
                <w:bCs/>
                <w:color w:val="FFFFFF"/>
                <w:sz w:val="22"/>
                <w:szCs w:val="22"/>
              </w:rPr>
              <w:t>H-02  Legacy Env-Based Admin Login Path in API Gateway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gridSpan w:val="1"/>
            <w:tcBorders>
              <w:top w:val="single" w:color="CCCCCC" w:sz="1"/>
              <w:left w:val="single" w:color="CCCCCC" w:sz="1"/>
              <w:bottom w:val="single" w:color="CCCCCC" w:sz="1"/>
              <w:right w:val="single" w:color="CCCCCC" w:sz="1"/>
            </w:tcBorders>
            <w:shd w:fill="FDECEA" w:val="clear"/>
            <w:tcMar>
              <w:top w:type="dxa" w:w="90"/>
              <w:left w:type="dxa" w:w="160"/>
              <w:bottom w:type="dxa" w:w="90"/>
              <w:right w:type="dxa" w:w="160"/>
            </w:tcMar>
            <w:vAlign w:val="center"/>
          </w:tcPr>
          <w:p>
            <w:pPr>
              <w:jc w:val="left"/>
            </w:pPr>
            <w:r>
              <w:rPr>
                <w:rFonts w:ascii="Arial" w:cs="Arial" w:eastAsia="Arial" w:hAnsi="Arial"/>
                <w:b/>
                <w:bCs/>
                <w:color w:val="C0392B"/>
                <w:sz w:val="18"/>
                <w:szCs w:val="18"/>
              </w:rPr>
              <w:t xml:space="preserve">Finding</w:t>
            </w:r>
          </w:p>
        </w:tc>
        <w:tc>
          <w:tcPr>
            <w:tcW w:type="dxa" w:w="792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A system-wide admin login path in the API gateway authenticates via ADMIN_EMAIL with ADMIN_PASSWORD_HASH or plain ADMIN_PASSWORD, issues a system-wide JWT, and does not require TOTP or control-plane access review controls. The path is also documented in .env.production.template.</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90"/>
              <w:left w:type="dxa" w:w="160"/>
              <w:bottom w:type="dxa" w:w="90"/>
              <w:right w:type="dxa" w:w="160"/>
            </w:tcMar>
            <w:vAlign w:val="center"/>
          </w:tcPr>
          <w:p>
            <w:pPr>
              <w:jc w:val="left"/>
            </w:pPr>
            <w:r>
              <w:rPr>
                <w:rFonts w:ascii="Arial" w:cs="Arial" w:eastAsia="Arial" w:hAnsi="Arial"/>
                <w:b/>
                <w:bCs/>
                <w:color w:val="C0392B"/>
                <w:sz w:val="18"/>
                <w:szCs w:val="18"/>
              </w:rPr>
              <w:t xml:space="preserve">Impact</w:t>
            </w:r>
          </w:p>
        </w:tc>
        <w:tc>
          <w:tcPr>
            <w:tcW w:type="dxa" w:w="792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8"/>
                <w:szCs w:val="18"/>
              </w:rPr>
              <w:t xml:space="preserve">Preserves a privileged management backdoor pattern that is difficult to justify for SOC 2/ISO 27001 and weakens MFA and access review evidence.</w:t>
            </w:r>
          </w:p>
        </w:tc>
      </w:tr>
      <w:tr>
        <w:tc>
          <w:tcPr>
            <w:tcW w:type="dxa" w:w="1440"/>
            <w:gridSpan w:val="1"/>
            <w:tcBorders>
              <w:top w:val="single" w:color="CCCCCC" w:sz="1"/>
              <w:left w:val="single" w:color="CCCCCC" w:sz="1"/>
              <w:bottom w:val="single" w:color="CCCCCC" w:sz="1"/>
              <w:right w:val="single" w:color="CCCCCC" w:sz="1"/>
            </w:tcBorders>
            <w:shd w:fill="FDECEA" w:val="clear"/>
            <w:tcMar>
              <w:top w:type="dxa" w:w="90"/>
              <w:left w:type="dxa" w:w="160"/>
              <w:bottom w:type="dxa" w:w="90"/>
              <w:right w:type="dxa" w:w="160"/>
            </w:tcMar>
            <w:vAlign w:val="center"/>
          </w:tcPr>
          <w:p>
            <w:pPr>
              <w:jc w:val="left"/>
            </w:pPr>
            <w:r>
              <w:rPr>
                <w:rFonts w:ascii="Arial" w:cs="Arial" w:eastAsia="Arial" w:hAnsi="Arial"/>
                <w:b/>
                <w:bCs/>
                <w:color w:val="C0392B"/>
                <w:sz w:val="18"/>
                <w:szCs w:val="18"/>
              </w:rPr>
              <w:t xml:space="preserve">Evidence</w:t>
            </w:r>
          </w:p>
        </w:tc>
        <w:tc>
          <w:tcPr>
            <w:tcW w:type="dxa" w:w="792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555555"/>
                <w:sz w:val="17"/>
                <w:szCs w:val="17"/>
              </w:rPr>
              <w:t xml:space="preserve">apps/api-gateway/src/app.service.ts:25-61, .env.production.template:32-33</w:t>
            </w:r>
          </w:p>
        </w:tc>
      </w:tr>
    </w:tbl>
    <w:p>
      <w:pPr>
        <w:spacing w:after="100" w:before="0"/>
      </w:pPr>
      <w:r>
        <w:t xml:space="preserve"/>
      </w:r>
    </w:p>
    <w:p>
      <w:r>
        <w:br w:type="page"/>
      </w:r>
    </w:p>
    <w:p>
      <w:pPr>
        <w:pStyle w:val="Heading1"/>
      </w:pPr>
      <w:bookmarkStart w:name="medium" w:id="7"/>
      <w:r>
        <w:t xml:space="preserve">6. Medium Risk Findings</w:t>
      </w:r>
      <w:bookmarkEnd w:id="7"/>
    </w:p>
    <w:p>
      <w:pPr>
        <w:pBdr>
          <w:bottom w:val="single" w:color="D35400" w:sz="6" w:space="1"/>
        </w:pBdr>
        <w:spacing w:after="100" w:before="100"/>
      </w:pPr>
      <w:r>
        <w:t xml:space="preserve"/>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200"/>
        <w:gridCol w:w="2560"/>
        <w:gridCol w:w="1700"/>
      </w:tblGrid>
      <w:tr>
        <w:tc>
          <w:tcPr>
            <w:tcW w:type="dxa" w:w="8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ID</w:t>
            </w:r>
          </w:p>
        </w:tc>
        <w:tc>
          <w:tcPr>
            <w:tcW w:type="dxa" w:w="11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Severity</w:t>
            </w:r>
          </w:p>
        </w:tc>
        <w:tc>
          <w:tcPr>
            <w:tcW w:type="dxa" w:w="32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Finding</w:t>
            </w:r>
          </w:p>
        </w:tc>
        <w:tc>
          <w:tcPr>
            <w:tcW w:type="dxa" w:w="256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Impact</w:t>
            </w:r>
          </w:p>
        </w:tc>
        <w:tc>
          <w:tcPr>
            <w:tcW w:type="dxa" w:w="17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Evidence</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7"/>
                <w:szCs w:val="17"/>
              </w:rPr>
              <w:t xml:space="preserve">M-01</w:t>
            </w:r>
          </w:p>
        </w:tc>
        <w:tc>
          <w:tcPr>
            <w:tcW w:type="dxa" w:w="1100"/>
            <w:tcBorders>
              <w:top w:val="single" w:color="D35400" w:sz="1"/>
              <w:left w:val="single" w:color="D35400" w:sz="1"/>
              <w:bottom w:val="single" w:color="D35400" w:sz="1"/>
              <w:right w:val="single" w:color="D35400" w:sz="1"/>
            </w:tcBorders>
            <w:shd w:fill="D354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MEDIUM</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No TLS/mTLS configured for NATS or internal service/data tier. NATS runs plain nats:// without any TLS block.</w:t>
            </w:r>
          </w:p>
        </w:tc>
        <w:tc>
          <w:tcPr>
            <w:tcW w:type="dxa" w:w="25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Weakens PCI-DSS and HIPAA in-transit protection; depends entirely on network isolation as a compensating control.</w:t>
            </w:r>
          </w:p>
        </w:tc>
        <w:tc>
          <w:tcPr>
            <w:tcW w:type="dxa" w:w="17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555555"/>
                <w:sz w:val="15"/>
                <w:szCs w:val="15"/>
              </w:rPr>
              <w:t xml:space="preserve">nats-server.conf:1-5, docker-compose.yml</w:t>
            </w:r>
          </w:p>
        </w:tc>
      </w:tr>
      <w:tr>
        <w:tc>
          <w:tcPr>
            <w:tcW w:type="dxa" w:w="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7"/>
                <w:szCs w:val="17"/>
              </w:rPr>
              <w:t xml:space="preserve">M-02</w:t>
            </w:r>
          </w:p>
        </w:tc>
        <w:tc>
          <w:tcPr>
            <w:tcW w:type="dxa" w:w="1100"/>
            <w:tcBorders>
              <w:top w:val="single" w:color="D35400" w:sz="1"/>
              <w:left w:val="single" w:color="D35400" w:sz="1"/>
              <w:bottom w:val="single" w:color="D35400" w:sz="1"/>
              <w:right w:val="single" w:color="D35400" w:sz="1"/>
            </w:tcBorders>
            <w:shd w:fill="D354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MEDIUM</w:t>
            </w:r>
          </w:p>
        </w:tc>
        <w:tc>
          <w:tcPr>
            <w:tcW w:type="dxa" w:w="32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Settings and integration endpoints accept broad untyped Record&lt;string, any&gt; payloads — both in API gateway and control-plane.</w:t>
            </w:r>
          </w:p>
        </w:tc>
        <w:tc>
          <w:tcPr>
            <w:tcW w:type="dxa" w:w="25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Increases configuration drift risk, weakens processing-integrity evidence, and complicates control validation.</w:t>
            </w:r>
          </w:p>
        </w:tc>
        <w:tc>
          <w:tcPr>
            <w:tcW w:type="dxa" w:w="17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555555"/>
                <w:sz w:val="15"/>
                <w:szCs w:val="15"/>
              </w:rPr>
              <w:t xml:space="preserve">settings.controller.ts:65-94, internal-settings.controller.ts:107-165</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7"/>
                <w:szCs w:val="17"/>
              </w:rPr>
              <w:t xml:space="preserve">M-03</w:t>
            </w:r>
          </w:p>
        </w:tc>
        <w:tc>
          <w:tcPr>
            <w:tcW w:type="dxa" w:w="1100"/>
            <w:tcBorders>
              <w:top w:val="single" w:color="D35400" w:sz="1"/>
              <w:left w:val="single" w:color="D35400" w:sz="1"/>
              <w:bottom w:val="single" w:color="D35400" w:sz="1"/>
              <w:right w:val="single" w:color="D35400" w:sz="1"/>
            </w:tcBorders>
            <w:shd w:fill="D354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MEDIUM</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Tamper-evident logging implemented in code but not operationally evidenced — ledger files absent and /verify endpoint unavailable in snapshot.</w:t>
            </w:r>
          </w:p>
        </w:tc>
        <w:tc>
          <w:tcPr>
            <w:tcW w:type="dxa" w:w="25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Certification preparation needs proof that controls operate in deployed environments, not only in source code.</w:t>
            </w:r>
          </w:p>
        </w:tc>
        <w:tc>
          <w:tcPr>
            <w:tcW w:type="dxa" w:w="17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555555"/>
                <w:sz w:val="15"/>
                <w:szCs w:val="15"/>
              </w:rPr>
              <w:t xml:space="preserve">audit-log.service.ts:22-111, evidence snapshot:15-25</w:t>
            </w:r>
          </w:p>
        </w:tc>
      </w:tr>
      <w:tr>
        <w:tc>
          <w:tcPr>
            <w:tcW w:type="dxa" w:w="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7"/>
                <w:szCs w:val="17"/>
              </w:rPr>
              <w:t xml:space="preserve">M-04</w:t>
            </w:r>
          </w:p>
        </w:tc>
        <w:tc>
          <w:tcPr>
            <w:tcW w:type="dxa" w:w="1100"/>
            <w:tcBorders>
              <w:top w:val="single" w:color="D35400" w:sz="1"/>
              <w:left w:val="single" w:color="D35400" w:sz="1"/>
              <w:bottom w:val="single" w:color="D35400" w:sz="1"/>
              <w:right w:val="single" w:color="D35400" w:sz="1"/>
            </w:tcBorders>
            <w:shd w:fill="D354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MEDIUM</w:t>
            </w:r>
          </w:p>
        </w:tc>
        <w:tc>
          <w:tcPr>
            <w:tcW w:type="dxa" w:w="32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Backup/restore automation exists but no successful verification evidence was produced during this audit.</w:t>
            </w:r>
          </w:p>
        </w:tc>
        <w:tc>
          <w:tcPr>
            <w:tcW w:type="dxa" w:w="25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Availability, ISO 27001 recovery controls, and SOC 2 availability evidence remain incomplete.</w:t>
            </w:r>
          </w:p>
        </w:tc>
        <w:tc>
          <w:tcPr>
            <w:tcW w:type="dxa" w:w="17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555555"/>
                <w:sz w:val="15"/>
                <w:szCs w:val="15"/>
              </w:rPr>
              <w:t xml:space="preserve">backup-verify.sh:1-41, evidence snapshot:20-22</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7"/>
                <w:szCs w:val="17"/>
              </w:rPr>
              <w:t xml:space="preserve">M-05</w:t>
            </w:r>
          </w:p>
        </w:tc>
        <w:tc>
          <w:tcPr>
            <w:tcW w:type="dxa" w:w="1100"/>
            <w:tcBorders>
              <w:top w:val="single" w:color="D35400" w:sz="1"/>
              <w:left w:val="single" w:color="D35400" w:sz="1"/>
              <w:bottom w:val="single" w:color="D35400" w:sz="1"/>
              <w:right w:val="single" w:color="D35400" w:sz="1"/>
            </w:tcBorders>
            <w:shd w:fill="D354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MEDIUM</w:t>
            </w:r>
          </w:p>
        </w:tc>
        <w:tc>
          <w:tcPr>
            <w:tcW w:type="dxa" w:w="32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Legacy role aliases (super_admin, TENANT_SUPER_ADMIN, AdminOnly, SuperAdminOnly) remain in authorization helpers.</w:t>
            </w:r>
          </w:p>
        </w:tc>
        <w:tc>
          <w:tcPr>
            <w:tcW w:type="dxa" w:w="25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Increases ambiguity in formal RBAC documentation and can weaken access review clarity.</w:t>
            </w:r>
          </w:p>
        </w:tc>
        <w:tc>
          <w:tcPr>
            <w:tcW w:type="dxa" w:w="17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555555"/>
                <w:sz w:val="15"/>
                <w:szCs w:val="15"/>
              </w:rPr>
              <w:t xml:space="preserve">roles.ts:9-31, shared-auth decorators:70-82</w:t>
            </w:r>
          </w:p>
        </w:tc>
      </w:tr>
      <w:tr>
        <w:tc>
          <w:tcPr>
            <w:tcW w:type="dxa" w:w="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7"/>
                <w:szCs w:val="17"/>
              </w:rPr>
              <w:t xml:space="preserve">M-06</w:t>
            </w:r>
          </w:p>
        </w:tc>
        <w:tc>
          <w:tcPr>
            <w:tcW w:type="dxa" w:w="1100"/>
            <w:tcBorders>
              <w:top w:val="single" w:color="D35400" w:sz="1"/>
              <w:left w:val="single" w:color="D35400" w:sz="1"/>
              <w:bottom w:val="single" w:color="D35400" w:sz="1"/>
              <w:right w:val="single" w:color="D35400" w:sz="1"/>
            </w:tcBorders>
            <w:shd w:fill="D354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MEDIUM</w:t>
            </w:r>
          </w:p>
        </w:tc>
        <w:tc>
          <w:tcPr>
            <w:tcW w:type="dxa" w:w="32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Fresh Node dependency audit and workspace validation could not be reproduced from the local audit runner.</w:t>
            </w:r>
          </w:p>
        </w:tc>
        <w:tc>
          <w:tcPr>
            <w:tcW w:type="dxa" w:w="25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Material evidence gap for enterprise release assurance, not a direct code vulnerability.</w:t>
            </w:r>
          </w:p>
        </w:tc>
        <w:tc>
          <w:tcPr>
            <w:tcW w:type="dxa" w:w="17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555555"/>
                <w:sz w:val="15"/>
                <w:szCs w:val="15"/>
              </w:rPr>
              <w:t xml:space="preserve">security-ci.yml:20-69</w:t>
            </w:r>
          </w:p>
        </w:tc>
      </w:tr>
    </w:tbl>
    <w:p>
      <w:pPr>
        <w:spacing w:after="100" w:before="0"/>
      </w:pPr>
      <w:r>
        <w:t xml:space="preserve"/>
      </w:r>
    </w:p>
    <w:p>
      <w:pPr>
        <w:pStyle w:val="Heading1"/>
      </w:pPr>
      <w:bookmarkStart w:name="low" w:id="8"/>
      <w:r>
        <w:t xml:space="preserve">7. Low Risk Findings</w:t>
      </w:r>
      <w:bookmarkEnd w:id="8"/>
    </w:p>
    <w:p>
      <w:pPr>
        <w:pBdr>
          <w:bottom w:val="single" w:color="D4AC0D" w:sz="6" w:space="1"/>
        </w:pBdr>
        <w:spacing w:after="100" w:before="100"/>
      </w:pPr>
      <w:r>
        <w:t xml:space="preserve"/>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500"/>
        <w:gridCol w:w="2560"/>
        <w:gridCol w:w="1400"/>
      </w:tblGrid>
      <w:tr>
        <w:tc>
          <w:tcPr>
            <w:tcW w:type="dxa" w:w="8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ID</w:t>
            </w:r>
          </w:p>
        </w:tc>
        <w:tc>
          <w:tcPr>
            <w:tcW w:type="dxa" w:w="11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Severity</w:t>
            </w:r>
          </w:p>
        </w:tc>
        <w:tc>
          <w:tcPr>
            <w:tcW w:type="dxa" w:w="35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Finding</w:t>
            </w:r>
          </w:p>
        </w:tc>
        <w:tc>
          <w:tcPr>
            <w:tcW w:type="dxa" w:w="256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Impact</w:t>
            </w:r>
          </w:p>
        </w:tc>
        <w:tc>
          <w:tcPr>
            <w:tcW w:type="dxa" w:w="14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Evidence</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7"/>
                <w:szCs w:val="17"/>
              </w:rPr>
              <w:t xml:space="preserve">L-01</w:t>
            </w:r>
          </w:p>
        </w:tc>
        <w:tc>
          <w:tcPr>
            <w:tcW w:type="dxa" w:w="1100"/>
            <w:tcBorders>
              <w:top w:val="single" w:color="D4AC0D" w:sz="1"/>
              <w:left w:val="single" w:color="D4AC0D" w:sz="1"/>
              <w:bottom w:val="single" w:color="D4AC0D" w:sz="1"/>
              <w:right w:val="single" w:color="D4AC0D" w:sz="1"/>
            </w:tcBorders>
            <w:shd w:fill="D4AC0D" w:val="clear"/>
            <w:tcMar>
              <w:top w:type="dxa" w:w="80"/>
              <w:left w:type="dxa" w:w="80"/>
              <w:bottom w:type="dxa" w:w="80"/>
              <w:right w:type="dxa" w:w="80"/>
            </w:tcMar>
            <w:vAlign w:val="center"/>
          </w:tcPr>
          <w:p>
            <w:pPr>
              <w:jc w:val="center"/>
            </w:pPr>
            <w:r>
              <w:rPr>
                <w:rFonts w:ascii="Arial" w:cs="Arial" w:eastAsia="Arial" w:hAnsi="Arial"/>
                <w:b/>
                <w:bCs/>
                <w:color w:val="1A1A2E"/>
                <w:sz w:val="17"/>
                <w:szCs w:val="17"/>
              </w:rPr>
              <w:t xml:space="preserve">LOW</w:t>
            </w:r>
          </w:p>
        </w:tc>
        <w:tc>
          <w:tcPr>
            <w:tcW w:type="dxa" w:w="35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Documentation contains stale insecure local examples (neo4j/password123 in README; REDIS_PASSWORD marked optional in local deployment guide).</w:t>
            </w:r>
          </w:p>
        </w:tc>
        <w:tc>
          <w:tcPr>
            <w:tcW w:type="dxa" w:w="25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Operator confusion and drift risk; low direct exploitability if production follows hardened templates.</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555555"/>
                <w:sz w:val="15"/>
                <w:szCs w:val="15"/>
              </w:rPr>
              <w:t xml:space="preserve">README.md:50-52, LOCAL_DEPLOYMENT_GUIDE.md:237</w:t>
            </w:r>
          </w:p>
        </w:tc>
      </w:tr>
      <w:tr>
        <w:tc>
          <w:tcPr>
            <w:tcW w:type="dxa" w:w="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7"/>
                <w:szCs w:val="17"/>
              </w:rPr>
              <w:t xml:space="preserve">L-02</w:t>
            </w:r>
          </w:p>
        </w:tc>
        <w:tc>
          <w:tcPr>
            <w:tcW w:type="dxa" w:w="1100"/>
            <w:tcBorders>
              <w:top w:val="single" w:color="D4AC0D" w:sz="1"/>
              <w:left w:val="single" w:color="D4AC0D" w:sz="1"/>
              <w:bottom w:val="single" w:color="D4AC0D" w:sz="1"/>
              <w:right w:val="single" w:color="D4AC0D" w:sz="1"/>
            </w:tcBorders>
            <w:shd w:fill="D4AC0D" w:val="clear"/>
            <w:tcMar>
              <w:top w:type="dxa" w:w="80"/>
              <w:left w:type="dxa" w:w="80"/>
              <w:bottom w:type="dxa" w:w="80"/>
              <w:right w:type="dxa" w:w="80"/>
            </w:tcMar>
            <w:vAlign w:val="center"/>
          </w:tcPr>
          <w:p>
            <w:pPr>
              <w:jc w:val="center"/>
            </w:pPr>
            <w:r>
              <w:rPr>
                <w:rFonts w:ascii="Arial" w:cs="Arial" w:eastAsia="Arial" w:hAnsi="Arial"/>
                <w:b/>
                <w:bCs/>
                <w:color w:val="1A1A2E"/>
                <w:sz w:val="17"/>
                <w:szCs w:val="17"/>
              </w:rPr>
              <w:t xml:space="preserve">LOW</w:t>
            </w:r>
          </w:p>
        </w:tc>
        <w:tc>
          <w:tcPr>
            <w:tcW w:type="dxa" w:w="35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API gateway still sends the legacy X-XSS-Protection header, deprecated in modern browsers.</w:t>
            </w:r>
          </w:p>
        </w:tc>
        <w:tc>
          <w:tcPr>
            <w:tcW w:type="dxa" w:w="25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Low security impact; modernization and browser-compatibility cleanup item.</w:t>
            </w:r>
          </w:p>
        </w:tc>
        <w:tc>
          <w:tcPr>
            <w:tcW w:type="dxa" w:w="14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555555"/>
                <w:sz w:val="15"/>
                <w:szCs w:val="15"/>
              </w:rPr>
              <w:t xml:space="preserve">apps/api-gateway/src/main.ts:54-57</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7"/>
                <w:szCs w:val="17"/>
              </w:rPr>
              <w:t xml:space="preserve">L-03</w:t>
            </w:r>
          </w:p>
        </w:tc>
        <w:tc>
          <w:tcPr>
            <w:tcW w:type="dxa" w:w="1100"/>
            <w:tcBorders>
              <w:top w:val="single" w:color="D4AC0D" w:sz="1"/>
              <w:left w:val="single" w:color="D4AC0D" w:sz="1"/>
              <w:bottom w:val="single" w:color="D4AC0D" w:sz="1"/>
              <w:right w:val="single" w:color="D4AC0D" w:sz="1"/>
            </w:tcBorders>
            <w:shd w:fill="D4AC0D" w:val="clear"/>
            <w:tcMar>
              <w:top w:type="dxa" w:w="80"/>
              <w:left w:type="dxa" w:w="80"/>
              <w:bottom w:type="dxa" w:w="80"/>
              <w:right w:type="dxa" w:w="80"/>
            </w:tcMar>
            <w:vAlign w:val="center"/>
          </w:tcPr>
          <w:p>
            <w:pPr>
              <w:jc w:val="center"/>
            </w:pPr>
            <w:r>
              <w:rPr>
                <w:rFonts w:ascii="Arial" w:cs="Arial" w:eastAsia="Arial" w:hAnsi="Arial"/>
                <w:b/>
                <w:bCs/>
                <w:color w:val="1A1A2E"/>
                <w:sz w:val="17"/>
                <w:szCs w:val="17"/>
              </w:rPr>
              <w:t xml:space="preserve">LOW</w:t>
            </w:r>
          </w:p>
        </w:tc>
        <w:tc>
          <w:tcPr>
            <w:tcW w:type="dxa" w:w="35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Evidence generator tolerates some unavailable checks with || true.</w:t>
            </w:r>
          </w:p>
        </w:tc>
        <w:tc>
          <w:tcPr>
            <w:tcW w:type="dxa" w:w="25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6"/>
                <w:szCs w:val="16"/>
              </w:rPr>
              <w:t xml:space="preserve">Reasonable for evidence collection but can mask weak environments without human review.</w:t>
            </w:r>
          </w:p>
        </w:tc>
        <w:tc>
          <w:tcPr>
            <w:tcW w:type="dxa" w:w="14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555555"/>
                <w:sz w:val="15"/>
                <w:szCs w:val="15"/>
              </w:rPr>
              <w:t xml:space="preserve">generate-security-evidence.sh:49,53</w:t>
            </w:r>
          </w:p>
        </w:tc>
      </w:tr>
    </w:tbl>
    <w:p>
      <w:pPr>
        <w:spacing w:after="100" w:before="0"/>
      </w:pPr>
      <w:r>
        <w:t xml:space="preserve"/>
      </w:r>
    </w:p>
    <w:p>
      <w:r>
        <w:br w:type="page"/>
      </w:r>
    </w:p>
    <w:p>
      <w:pPr>
        <w:pStyle w:val="Heading1"/>
      </w:pPr>
      <w:bookmarkStart w:name="code" w:id="9"/>
      <w:r>
        <w:t xml:space="preserve">8. Code Security Audit Summary</w:t>
      </w:r>
      <w:bookmarkEnd w:id="9"/>
    </w:p>
    <w:p>
      <w:pPr>
        <w:pBdr>
          <w:bottom w:val="single" w:color="2563A8" w:sz="6" w:space="1"/>
        </w:pBdr>
        <w:spacing w:after="100" w:before="100"/>
      </w:pPr>
      <w:r>
        <w:t xml:space="preserve"/>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2563A8" w:sz="12"/>
              <w:bottom w:val="single" w:color="CCCCCC" w:sz="1"/>
              <w:right w:val="single" w:color="CCCCCC" w:sz="1"/>
            </w:tcBorders>
            <w:shd w:fill="F5F7FA" w:val="clear"/>
            <w:tcMar>
              <w:top w:type="dxa" w:w="100"/>
              <w:left w:type="dxa" w:w="200"/>
              <w:bottom w:type="dxa" w:w="100"/>
              <w:right w:type="dxa" w:w="200"/>
            </w:tcMar>
          </w:tcPr>
          <w:p>
            <w:pPr>
              <w:spacing w:after="60" w:before="0"/>
              <w:jc w:val="left"/>
            </w:pPr>
            <w:r>
              <w:rPr>
                <w:rFonts w:ascii="Arial" w:cs="Arial" w:eastAsia="Arial" w:hAnsi="Arial"/>
                <w:b/>
                <w:bCs/>
                <w:color w:val="2563A8"/>
                <w:sz w:val="20"/>
                <w:szCs w:val="20"/>
              </w:rPr>
              <w:t xml:space="preserve">Hardcoded Secrets &amp; Token Leakage</w:t>
            </w:r>
          </w:p>
          <w:p>
            <w:pPr>
              <w:spacing w:after="0" w:before="0"/>
              <w:jc w:val="left"/>
            </w:pPr>
            <w:r>
              <w:rPr>
                <w:rFonts w:ascii="Arial" w:cs="Arial" w:eastAsia="Arial" w:hAnsi="Arial"/>
                <w:b w:val="false"/>
                <w:bCs w:val="false"/>
                <w:color w:val="1A1A2E"/>
                <w:sz w:val="18"/>
                <w:szCs w:val="18"/>
              </w:rPr>
              <w:t xml:space="preserve">No production secret literals identified in application code. .env is not tracked by Git. Templates and docs reference placeholder or legacy values only — no real committed production secrets.</w:t>
            </w:r>
          </w:p>
        </w:tc>
        <w:tc>
          <w:tcPr>
            <w:tcW w:type="dxa" w:w="2160"/>
            <w:tcBorders>
              <w:top w:val="single" w:color="1A7A3A" w:sz="1"/>
              <w:left w:val="single" w:color="1A7A3A" w:sz="1"/>
              <w:bottom w:val="single" w:color="1A7A3A" w:sz="1"/>
              <w:right w:val="single" w:color="1A7A3A" w:sz="1"/>
            </w:tcBorders>
            <w:shd w:fill="1A7A3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PASS</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2563A8" w:sz="12"/>
              <w:bottom w:val="single" w:color="CCCCCC" w:sz="1"/>
              <w:right w:val="single" w:color="CCCCCC" w:sz="1"/>
            </w:tcBorders>
            <w:shd w:fill="F5F7FA" w:val="clear"/>
            <w:tcMar>
              <w:top w:type="dxa" w:w="100"/>
              <w:left w:type="dxa" w:w="200"/>
              <w:bottom w:type="dxa" w:w="100"/>
              <w:right w:type="dxa" w:w="200"/>
            </w:tcMar>
          </w:tcPr>
          <w:p>
            <w:pPr>
              <w:spacing w:after="60" w:before="0"/>
              <w:jc w:val="left"/>
            </w:pPr>
            <w:r>
              <w:rPr>
                <w:rFonts w:ascii="Arial" w:cs="Arial" w:eastAsia="Arial" w:hAnsi="Arial"/>
                <w:b/>
                <w:bCs/>
                <w:color w:val="2563A8"/>
                <w:sz w:val="20"/>
                <w:szCs w:val="20"/>
              </w:rPr>
              <w:t xml:space="preserve">Authentication &amp; Authorization</w:t>
            </w:r>
          </w:p>
          <w:p>
            <w:pPr>
              <w:spacing w:after="0" w:before="0"/>
              <w:jc w:val="left"/>
            </w:pPr>
            <w:r>
              <w:rPr>
                <w:rFonts w:ascii="Arial" w:cs="Arial" w:eastAsia="Arial" w:hAnsi="Arial"/>
                <w:b w:val="false"/>
                <w:bCs w:val="false"/>
                <w:color w:val="1A1A2E"/>
                <w:sz w:val="18"/>
                <w:szCs w:val="18"/>
              </w:rPr>
              <w:t xml:space="preserve">Positive: privileged MFA, lockout, password complexity, secure cookies, required JWT secrets, onboarding tokens, and per-role normalization are present. Negative: RBAC semantics at the API gateway remain too broad for read operations, and the legacy ADMIN_EMAIL login path is still present.</w:t>
            </w:r>
          </w:p>
        </w:tc>
        <w:tc>
          <w:tcPr>
            <w:tcW w:type="dxa" w:w="216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PARTIAL</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2563A8" w:sz="12"/>
              <w:bottom w:val="single" w:color="CCCCCC" w:sz="1"/>
              <w:right w:val="single" w:color="CCCCCC" w:sz="1"/>
            </w:tcBorders>
            <w:shd w:fill="F5F7FA" w:val="clear"/>
            <w:tcMar>
              <w:top w:type="dxa" w:w="100"/>
              <w:left w:type="dxa" w:w="200"/>
              <w:bottom w:type="dxa" w:w="100"/>
              <w:right w:type="dxa" w:w="200"/>
            </w:tcMar>
          </w:tcPr>
          <w:p>
            <w:pPr>
              <w:spacing w:after="60" w:before="0"/>
              <w:jc w:val="left"/>
            </w:pPr>
            <w:r>
              <w:rPr>
                <w:rFonts w:ascii="Arial" w:cs="Arial" w:eastAsia="Arial" w:hAnsi="Arial"/>
                <w:b/>
                <w:bCs/>
                <w:color w:val="2563A8"/>
                <w:sz w:val="20"/>
                <w:szCs w:val="20"/>
              </w:rPr>
              <w:t xml:space="preserve">Injection &amp; Unsafe Input Handling</w:t>
            </w:r>
          </w:p>
          <w:p>
            <w:pPr>
              <w:spacing w:after="0" w:before="0"/>
              <w:jc w:val="left"/>
            </w:pPr>
            <w:r>
              <w:rPr>
                <w:rFonts w:ascii="Arial" w:cs="Arial" w:eastAsia="Arial" w:hAnsi="Arial"/>
                <w:b w:val="false"/>
                <w:bCs w:val="false"/>
                <w:color w:val="1A1A2E"/>
                <w:sz w:val="18"/>
                <w:szCs w:val="18"/>
              </w:rPr>
              <w:t xml:space="preserve">Prisma used throughout main services. Raw SQL in settings paths appears parameterized. Global strict validation enabled in gateway and control plane. Residual concern is around broad configuration payload shapes, not obvious SQL injection.</w:t>
            </w:r>
          </w:p>
        </w:tc>
        <w:tc>
          <w:tcPr>
            <w:tcW w:type="dxa" w:w="2160"/>
            <w:tcBorders>
              <w:top w:val="single" w:color="1A7A3A" w:sz="1"/>
              <w:left w:val="single" w:color="1A7A3A" w:sz="1"/>
              <w:bottom w:val="single" w:color="1A7A3A" w:sz="1"/>
              <w:right w:val="single" w:color="1A7A3A" w:sz="1"/>
            </w:tcBorders>
            <w:shd w:fill="1A7A3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PASS</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2563A8" w:sz="12"/>
              <w:bottom w:val="single" w:color="CCCCCC" w:sz="1"/>
              <w:right w:val="single" w:color="CCCCCC" w:sz="1"/>
            </w:tcBorders>
            <w:shd w:fill="F5F7FA" w:val="clear"/>
            <w:tcMar>
              <w:top w:type="dxa" w:w="100"/>
              <w:left w:type="dxa" w:w="200"/>
              <w:bottom w:type="dxa" w:w="100"/>
              <w:right w:type="dxa" w:w="200"/>
            </w:tcMar>
          </w:tcPr>
          <w:p>
            <w:pPr>
              <w:spacing w:after="60" w:before="0"/>
              <w:jc w:val="left"/>
            </w:pPr>
            <w:r>
              <w:rPr>
                <w:rFonts w:ascii="Arial" w:cs="Arial" w:eastAsia="Arial" w:hAnsi="Arial"/>
                <w:b/>
                <w:bCs/>
                <w:color w:val="2563A8"/>
                <w:sz w:val="20"/>
                <w:szCs w:val="20"/>
              </w:rPr>
              <w:t xml:space="preserve">Dependency Exposure</w:t>
            </w:r>
          </w:p>
          <w:p>
            <w:pPr>
              <w:spacing w:after="0" w:before="0"/>
              <w:jc w:val="left"/>
            </w:pPr>
            <w:r>
              <w:rPr>
                <w:rFonts w:ascii="Arial" w:cs="Arial" w:eastAsia="Arial" w:hAnsi="Arial"/>
                <w:b w:val="false"/>
                <w:bCs w:val="false"/>
                <w:color w:val="1A1A2E"/>
                <w:sz w:val="18"/>
                <w:szCs w:val="18"/>
              </w:rPr>
              <w:t xml:space="preserve">Go agent dependency scan: no known vulnerabilities found on March 14, 2026. Fresh Node dependency CVE results were not reproducible due to local node execution failure.</w:t>
            </w:r>
          </w:p>
        </w:tc>
        <w:tc>
          <w:tcPr>
            <w:tcW w:type="dxa" w:w="216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PARTIAL</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2563A8" w:sz="12"/>
              <w:bottom w:val="single" w:color="CCCCCC" w:sz="1"/>
              <w:right w:val="single" w:color="CCCCCC" w:sz="1"/>
            </w:tcBorders>
            <w:shd w:fill="F5F7FA" w:val="clear"/>
            <w:tcMar>
              <w:top w:type="dxa" w:w="100"/>
              <w:left w:type="dxa" w:w="200"/>
              <w:bottom w:type="dxa" w:w="100"/>
              <w:right w:type="dxa" w:w="200"/>
            </w:tcMar>
          </w:tcPr>
          <w:p>
            <w:pPr>
              <w:spacing w:after="60" w:before="0"/>
              <w:jc w:val="left"/>
            </w:pPr>
            <w:r>
              <w:rPr>
                <w:rFonts w:ascii="Arial" w:cs="Arial" w:eastAsia="Arial" w:hAnsi="Arial"/>
                <w:b/>
                <w:bCs/>
                <w:color w:val="2563A8"/>
                <w:sz w:val="20"/>
                <w:szCs w:val="20"/>
              </w:rPr>
              <w:t xml:space="preserve">Multi-Tenant Isolation</w:t>
            </w:r>
          </w:p>
          <w:p>
            <w:pPr>
              <w:spacing w:after="0" w:before="0"/>
              <w:jc w:val="left"/>
            </w:pPr>
            <w:r>
              <w:rPr>
                <w:rFonts w:ascii="Arial" w:cs="Arial" w:eastAsia="Arial" w:hAnsi="Arial"/>
                <w:b w:val="false"/>
                <w:bCs w:val="false"/>
                <w:color w:val="1A1A2E"/>
                <w:sz w:val="18"/>
                <w:szCs w:val="18"/>
              </w:rPr>
              <w:t xml:space="preserve">Core tenant derivation from JWT claims is in place. Graph and policy queries are tenant-scoped. No active cross-tenant override path observed. Remaining access-control issue is intra-tenant overexposure across roles, not cross-tenant leakage.</w:t>
            </w:r>
          </w:p>
        </w:tc>
        <w:tc>
          <w:tcPr>
            <w:tcW w:type="dxa" w:w="2160"/>
            <w:tcBorders>
              <w:top w:val="single" w:color="1A7A3A" w:sz="1"/>
              <w:left w:val="single" w:color="1A7A3A" w:sz="1"/>
              <w:bottom w:val="single" w:color="1A7A3A" w:sz="1"/>
              <w:right w:val="single" w:color="1A7A3A" w:sz="1"/>
            </w:tcBorders>
            <w:shd w:fill="1A7A3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PASS</w:t>
            </w:r>
          </w:p>
        </w:tc>
      </w:tr>
    </w:tbl>
    <w:p>
      <w:pPr>
        <w:spacing w:after="50" w:before="0"/>
      </w:pPr>
      <w:r>
        <w:t xml:space="preserve"/>
      </w:r>
    </w:p>
    <w:p>
      <w:r>
        <w:br w:type="page"/>
      </w:r>
    </w:p>
    <w:p>
      <w:pPr>
        <w:pStyle w:val="Heading1"/>
      </w:pPr>
      <w:bookmarkStart w:name="ops" w:id="10"/>
      <w:r>
        <w:t xml:space="preserve">9. Operational Security Review</w:t>
      </w:r>
      <w:bookmarkEnd w:id="10"/>
    </w:p>
    <w:p>
      <w:pPr>
        <w:pBdr>
          <w:bottom w:val="single" w:color="2563A8" w:sz="6" w:space="1"/>
        </w:pBdr>
        <w:spacing w:after="100" w:before="100"/>
      </w:pPr>
      <w:r>
        <w:t xml:space="preserve"/>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Area</w:t>
            </w:r>
          </w:p>
        </w:tc>
        <w:tc>
          <w:tcPr>
            <w:tcW w:type="dxa" w:w="160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center"/>
            </w:pPr>
            <w:r>
              <w:rPr>
                <w:rFonts w:ascii="Arial" w:cs="Arial" w:eastAsia="Arial" w:hAnsi="Arial"/>
                <w:b/>
                <w:bCs/>
                <w:color w:val="FFFFFF"/>
                <w:sz w:val="19"/>
                <w:szCs w:val="19"/>
              </w:rPr>
              <w:t xml:space="preserve">Status</w:t>
            </w:r>
          </w:p>
        </w:tc>
        <w:tc>
          <w:tcPr>
            <w:tcW w:type="dxa" w:w="4960"/>
            <w:gridSpan w:val="1"/>
            <w:tcBorders>
              <w:top w:val="single" w:color="1B3A5C" w:sz="1"/>
              <w:left w:val="single" w:color="1B3A5C" w:sz="1"/>
              <w:bottom w:val="single" w:color="1B3A5C" w:sz="1"/>
              <w:right w:val="single" w:color="1B3A5C" w:sz="1"/>
            </w:tcBorders>
            <w:shd w:fill="1B3A5C" w:val="clear"/>
            <w:tcMar>
              <w:top w:type="dxa" w:w="90"/>
              <w:left w:type="dxa" w:w="160"/>
              <w:bottom w:type="dxa" w:w="90"/>
              <w:right w:type="dxa" w:w="160"/>
            </w:tcMar>
            <w:vAlign w:val="center"/>
          </w:tcPr>
          <w:p>
            <w:pPr>
              <w:jc w:val="left"/>
            </w:pPr>
            <w:r>
              <w:rPr>
                <w:rFonts w:ascii="Arial" w:cs="Arial" w:eastAsia="Arial" w:hAnsi="Arial"/>
                <w:b/>
                <w:bCs/>
                <w:color w:val="FFFFFF"/>
                <w:sz w:val="19"/>
                <w:szCs w:val="19"/>
              </w:rPr>
              <w:t xml:space="preserve">Notes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Centralized Security Logging</w:t>
            </w:r>
          </w:p>
        </w:tc>
        <w:tc>
          <w:tcPr>
            <w:tcW w:type="dxa" w:w="16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Partial</w:t>
            </w:r>
          </w:p>
        </w:tc>
        <w:tc>
          <w:tcPr>
            <w:tcW w:type="dxa" w:w="49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Hash-chained logging exists, but external SIEM/WORM forwarding not evidenced in active runtime output.</w:t>
            </w:r>
          </w:p>
        </w:tc>
      </w:tr>
      <w:tr>
        <w:tc>
          <w:tcPr>
            <w:tcW w:type="dxa" w:w="2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Incident Readiness</w:t>
            </w:r>
          </w:p>
        </w:tc>
        <w:tc>
          <w:tcPr>
            <w:tcW w:type="dxa" w:w="16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Partial</w:t>
            </w:r>
          </w:p>
        </w:tc>
        <w:tc>
          <w:tcPr>
            <w:tcW w:type="dxa" w:w="49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Audit and access-review flows exist, but no full incident response evidence set was produced.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Monitoring &amp; Alerting</w:t>
            </w:r>
          </w:p>
        </w:tc>
        <w:tc>
          <w:tcPr>
            <w:tcW w:type="dxa" w:w="16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Partial</w:t>
            </w:r>
          </w:p>
        </w:tc>
        <w:tc>
          <w:tcPr>
            <w:tcW w:type="dxa" w:w="49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Health checks and security CI exist; live alert routing evidence is limited.</w:t>
            </w:r>
          </w:p>
        </w:tc>
      </w:tr>
      <w:tr>
        <w:tc>
          <w:tcPr>
            <w:tcW w:type="dxa" w:w="280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Access Reviews</w:t>
            </w:r>
          </w:p>
        </w:tc>
        <w:tc>
          <w:tcPr>
            <w:tcW w:type="dxa" w:w="1600"/>
            <w:tcBorders>
              <w:top w:val="single" w:color="1A7A3A" w:sz="1"/>
              <w:left w:val="single" w:color="1A7A3A" w:sz="1"/>
              <w:bottom w:val="single" w:color="1A7A3A" w:sz="1"/>
              <w:right w:val="single" w:color="1A7A3A" w:sz="1"/>
            </w:tcBorders>
            <w:shd w:fill="1A7A3A"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Implemented</w:t>
            </w:r>
          </w:p>
        </w:tc>
        <w:tc>
          <w:tcPr>
            <w:tcW w:type="dxa" w:w="4960"/>
            <w:gridSpan w:val="1"/>
            <w:tcBorders>
              <w:top w:val="single" w:color="CCCCCC" w:sz="1"/>
              <w:left w:val="single" w:color="CCCCCC" w:sz="1"/>
              <w:bottom w:val="single" w:color="CCCCCC" w:sz="1"/>
              <w:right w:val="single" w:color="CCCCCC" w:sz="1"/>
            </w:tcBorders>
            <w:shd w:fill="F5F7FA"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Access review and break-glass workflows exist in access-review.service.ts:21-219.</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bCs/>
                <w:color w:val="1A1A2E"/>
                <w:sz w:val="18"/>
                <w:szCs w:val="18"/>
              </w:rPr>
              <w:t xml:space="preserve">Backup / DR</w:t>
            </w:r>
          </w:p>
        </w:tc>
        <w:tc>
          <w:tcPr>
            <w:tcW w:type="dxa" w:w="16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Partial</w:t>
            </w:r>
          </w:p>
        </w:tc>
        <w:tc>
          <w:tcPr>
            <w:tcW w:type="dxa" w:w="4960"/>
            <w:gridSpan w:val="1"/>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vAlign w:val="center"/>
          </w:tcPr>
          <w:p>
            <w:pPr>
              <w:jc w:val="left"/>
            </w:pPr>
            <w:r>
              <w:rPr>
                <w:rFonts w:ascii="Arial" w:cs="Arial" w:eastAsia="Arial" w:hAnsi="Arial"/>
                <w:b w:val="false"/>
                <w:bCs w:val="false"/>
                <w:color w:val="1A1A2E"/>
                <w:sz w:val="17"/>
                <w:szCs w:val="17"/>
              </w:rPr>
              <w:t xml:space="preserve">Scripts and runbook exist, but successful restore evidence was not produced during this audit.</w:t>
            </w:r>
          </w:p>
        </w:tc>
      </w:tr>
    </w:tbl>
    <w:p>
      <w:pPr>
        <w:spacing w:after="100" w:before="0"/>
      </w:pPr>
      <w:r>
        <w:t xml:space="preserve"/>
      </w:r>
    </w:p>
    <w:p>
      <w:r>
        <w:br w:type="page"/>
      </w:r>
    </w:p>
    <w:p>
      <w:pPr>
        <w:pStyle w:val="Heading1"/>
      </w:pPr>
      <w:bookmarkStart w:name="roadmap" w:id="11"/>
      <w:r>
        <w:t xml:space="preserve">10. Remediation Roadmap</w:t>
      </w:r>
      <w:bookmarkEnd w:id="11"/>
    </w:p>
    <w:p>
      <w:pPr>
        <w:pBdr>
          <w:bottom w:val="single" w:color="2563A8" w:sz="6" w:space="1"/>
        </w:pBdr>
        <w:spacing w:after="100" w:before="100"/>
      </w:pPr>
      <w:r>
        <w:t xml:space="preserve"/>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00"/>
              <w:left w:type="dxa" w:w="220"/>
              <w:bottom w:type="dxa" w:w="100"/>
              <w:right w:type="dxa" w:w="220"/>
            </w:tcMar>
          </w:tcPr>
          <w:p>
            <w:pPr>
              <w:spacing w:after="0" w:before="0"/>
              <w:jc w:val="left"/>
            </w:pPr>
            <w:r>
              <w:rPr>
                <w:rFonts w:ascii="Arial" w:cs="Arial" w:eastAsia="Arial" w:hAnsi="Arial"/>
                <w:b/>
                <w:bCs/>
                <w:color w:val="FFFFFF"/>
                <w:sz w:val="26"/>
                <w:szCs w:val="26"/>
              </w:rPr>
              <w:t xml:space="preserve">Immediate Blockers — 0 to 7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1.  </w:t>
            </w:r>
            <w:r>
              <w:rPr>
                <w:rFonts w:ascii="Arial" w:cs="Arial" w:eastAsia="Arial" w:hAnsi="Arial"/>
                <w:color w:val="1A1A2E"/>
                <w:sz w:val="18"/>
                <w:szCs w:val="18"/>
              </w:rPr>
              <w:t xml:space="preserve">Fix API gateway RBAC semantics so viewer and tenant_user only receive explicitly approved read scopes. Replace the admin alias behavior in roles.guard.ts:5-15 and review every @Roles('admin') route.</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2.  </w:t>
            </w:r>
            <w:r>
              <w:rPr>
                <w:rFonts w:ascii="Arial" w:cs="Arial" w:eastAsia="Arial" w:hAnsi="Arial"/>
                <w:color w:val="1A1A2E"/>
                <w:sz w:val="18"/>
                <w:szCs w:val="18"/>
              </w:rPr>
              <w:t xml:space="preserve">Remove or disable the legacy ADMIN_EMAIL login path, or force it into the same MFA-governed control-plane operator model.</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3.  </w:t>
            </w:r>
            <w:r>
              <w:rPr>
                <w:rFonts w:ascii="Arial" w:cs="Arial" w:eastAsia="Arial" w:hAnsi="Arial"/>
                <w:color w:val="1A1A2E"/>
                <w:sz w:val="18"/>
                <w:szCs w:val="18"/>
              </w:rPr>
              <w:t xml:space="preserve">Produce fresh release evidence: Node workspace build, tests, npm audit, Prisma migration validation, container build and service startup verification in an environment with a working Node runtime and Docker daemon.</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4.  </w:t>
            </w:r>
            <w:r>
              <w:rPr>
                <w:rFonts w:ascii="Arial" w:cs="Arial" w:eastAsia="Arial" w:hAnsi="Arial"/>
                <w:color w:val="1A1A2E"/>
                <w:sz w:val="18"/>
                <w:szCs w:val="18"/>
              </w:rPr>
              <w:t xml:space="preserve">Decide on internal encryption posture and implement TLS/mTLS or document compensating controls for NATS, Redis, PostgreSQL, and Neo4j.</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35400" w:val="clear"/>
            <w:tcMar>
              <w:top w:type="dxa" w:w="100"/>
              <w:left w:type="dxa" w:w="220"/>
              <w:bottom w:type="dxa" w:w="100"/>
              <w:right w:type="dxa" w:w="220"/>
            </w:tcMar>
          </w:tcPr>
          <w:p>
            <w:pPr>
              <w:spacing w:after="0" w:before="0"/>
              <w:jc w:val="left"/>
            </w:pPr>
            <w:r>
              <w:rPr>
                <w:rFonts w:ascii="Arial" w:cs="Arial" w:eastAsia="Arial" w:hAnsi="Arial"/>
                <w:b/>
                <w:bCs/>
                <w:color w:val="FFFFFF"/>
                <w:sz w:val="26"/>
                <w:szCs w:val="26"/>
              </w:rPr>
              <w:t xml:space="preserve">Short-Term Hardening — 8 to 21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1.  </w:t>
            </w:r>
            <w:r>
              <w:rPr>
                <w:rFonts w:ascii="Arial" w:cs="Arial" w:eastAsia="Arial" w:hAnsi="Arial"/>
                <w:color w:val="1A1A2E"/>
                <w:sz w:val="18"/>
                <w:szCs w:val="18"/>
              </w:rPr>
              <w:t xml:space="preserve">Replace broad Record&lt;string, any&gt; settings payloads with typed DTOs and category-specific validation.</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2.  </w:t>
            </w:r>
            <w:r>
              <w:rPr>
                <w:rFonts w:ascii="Arial" w:cs="Arial" w:eastAsia="Arial" w:hAnsi="Arial"/>
                <w:color w:val="1A1A2E"/>
                <w:sz w:val="18"/>
                <w:szCs w:val="18"/>
              </w:rPr>
              <w:t xml:space="preserve">Remove legacy role aliases (super_admin, TENANT_SUPER_ADMIN, AdminOnly, SuperAdminOnly) from active authorization code and documentation.</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3.  </w:t>
            </w:r>
            <w:r>
              <w:rPr>
                <w:rFonts w:ascii="Arial" w:cs="Arial" w:eastAsia="Arial" w:hAnsi="Arial"/>
                <w:color w:val="1A1A2E"/>
                <w:sz w:val="18"/>
                <w:szCs w:val="18"/>
              </w:rPr>
              <w:t xml:space="preserve">Prove immutable logging in a running environment by generating populated ledger files and successful /verify evidence.</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4.  </w:t>
            </w:r>
            <w:r>
              <w:rPr>
                <w:rFonts w:ascii="Arial" w:cs="Arial" w:eastAsia="Arial" w:hAnsi="Arial"/>
                <w:color w:val="1A1A2E"/>
                <w:sz w:val="18"/>
                <w:szCs w:val="18"/>
              </w:rPr>
              <w:t xml:space="preserve">Run deploy/backup-verify.sh in a live environment and retain the output as evidence artifacts.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3A" w:val="clear"/>
            <w:tcMar>
              <w:top w:type="dxa" w:w="100"/>
              <w:left w:type="dxa" w:w="220"/>
              <w:bottom w:type="dxa" w:w="100"/>
              <w:right w:type="dxa" w:w="220"/>
            </w:tcMar>
          </w:tcPr>
          <w:p>
            <w:pPr>
              <w:spacing w:after="0" w:before="0"/>
              <w:jc w:val="left"/>
            </w:pPr>
            <w:r>
              <w:rPr>
                <w:rFonts w:ascii="Arial" w:cs="Arial" w:eastAsia="Arial" w:hAnsi="Arial"/>
                <w:b/>
                <w:bCs/>
                <w:color w:val="FFFFFF"/>
                <w:sz w:val="26"/>
                <w:szCs w:val="26"/>
              </w:rPr>
              <w:t xml:space="preserve">Certification Preparation — 22 to 45 Days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1.  </w:t>
            </w:r>
            <w:r>
              <w:rPr>
                <w:rFonts w:ascii="Arial" w:cs="Arial" w:eastAsia="Arial" w:hAnsi="Arial"/>
                <w:color w:val="1A1A2E"/>
                <w:sz w:val="18"/>
                <w:szCs w:val="18"/>
              </w:rPr>
              <w:t xml:space="preserve">Capture repeatable evidence packs from CI, backup verification, audit verification, and access review completion.</w:t>
            </w:r>
          </w:p>
        </w:tc>
      </w:tr>
      <w:tr>
        <w:tc>
          <w:tcPr>
            <w:tcW w:type="dxa" w:w="9360"/>
            <w:tcBorders>
              <w:top w:val="single" w:color="DDDDDD" w:sz="1"/>
              <w:left w:val="single" w:color="DDDDDD" w:sz="1"/>
              <w:bottom w:val="single" w:color="DDDDDD" w:sz="1"/>
              <w:right w:val="single" w:color="DDDDDD" w:sz="1"/>
            </w:tcBorders>
            <w:shd w:fill="F5F7FA" w:val="clear"/>
            <w:tcMar>
              <w:top w:type="dxa" w:w="100"/>
              <w:left w:type="dxa" w:w="240"/>
              <w:bottom w:type="dxa" w:w="100"/>
              <w:right w:type="dxa" w:w="240"/>
            </w:tcMar>
          </w:tcPr>
          <w:p>
            <w:r>
              <w:rPr>
                <w:rFonts w:ascii="Arial" w:cs="Arial" w:eastAsia="Arial" w:hAnsi="Arial"/>
                <w:b/>
                <w:bCs/>
                <w:color w:val="1A1A2E"/>
                <w:sz w:val="18"/>
                <w:szCs w:val="18"/>
              </w:rPr>
              <w:t xml:space="preserve">2.  </w:t>
            </w:r>
            <w:r>
              <w:rPr>
                <w:rFonts w:ascii="Arial" w:cs="Arial" w:eastAsia="Arial" w:hAnsi="Arial"/>
                <w:color w:val="1A1A2E"/>
                <w:sz w:val="18"/>
                <w:szCs w:val="18"/>
              </w:rPr>
              <w:t xml:space="preserve">Create formal control narratives for the new privacy, MFA, access-review, and rate-limit controls.</w:t>
            </w:r>
          </w:p>
        </w:tc>
      </w:tr>
      <w:tr>
        <w:tc>
          <w:tcPr>
            <w:tcW w:type="dxa" w:w="9360"/>
            <w:tcBorders>
              <w:top w:val="single" w:color="DDDDDD" w:sz="1"/>
              <w:left w:val="single" w:color="DDDDDD" w:sz="1"/>
              <w:bottom w:val="single" w:color="DDDDDD" w:sz="1"/>
              <w:right w:val="single" w:color="DDDDDD" w:sz="1"/>
            </w:tcBorders>
            <w:shd w:fill="FFFFFF" w:val="clear"/>
            <w:tcMar>
              <w:top w:type="dxa" w:w="100"/>
              <w:left w:type="dxa" w:w="240"/>
              <w:bottom w:type="dxa" w:w="100"/>
              <w:right w:type="dxa" w:w="240"/>
            </w:tcMar>
          </w:tcPr>
          <w:p>
            <w:r>
              <w:rPr>
                <w:rFonts w:ascii="Arial" w:cs="Arial" w:eastAsia="Arial" w:hAnsi="Arial"/>
                <w:b/>
                <w:bCs/>
                <w:color w:val="1A1A2E"/>
                <w:sz w:val="18"/>
                <w:szCs w:val="18"/>
              </w:rPr>
              <w:t xml:space="preserve">3.  </w:t>
            </w:r>
            <w:r>
              <w:rPr>
                <w:rFonts w:ascii="Arial" w:cs="Arial" w:eastAsia="Arial" w:hAnsi="Arial"/>
                <w:color w:val="1A1A2E"/>
                <w:sz w:val="18"/>
                <w:szCs w:val="18"/>
              </w:rPr>
              <w:t xml:space="preserve">Validate operator and tenant onboarding/offboarding end-to-end and store signed-off test evidence.</w:t>
            </w:r>
          </w:p>
        </w:tc>
      </w:tr>
    </w:tbl>
    <w:p>
      <w:pPr>
        <w:spacing w:after="100" w:before="0"/>
      </w:pPr>
      <w:r>
        <w:t xml:space="preserve"/>
      </w:r>
    </w:p>
    <w:p>
      <w:r>
        <w:br w:type="page"/>
      </w:r>
    </w:p>
    <w:p>
      <w:pPr>
        <w:pStyle w:val="Heading1"/>
      </w:pPr>
      <w:bookmarkStart w:name="decision" w:id="12"/>
      <w:r>
        <w:t xml:space="preserve">11. Go-Live Deployment Decision</w:t>
      </w:r>
      <w:bookmarkEnd w:id="12"/>
    </w:p>
    <w:p>
      <w:pPr>
        <w:pBdr>
          <w:bottom w:val="single" w:color="C0392B" w:sz="6" w:space="1"/>
        </w:pBdr>
        <w:spacing w:after="100" w:before="100"/>
      </w:pPr>
      <w:r>
        <w:t xml:space="preserve"/>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60"/>
              <w:left w:type="dxa" w:w="200"/>
              <w:bottom w:type="dxa" w:w="160"/>
              <w:right w:type="dxa" w:w="200"/>
            </w:tcMar>
          </w:tcPr>
          <w:p>
            <w:pPr>
              <w:jc w:val="center"/>
            </w:pPr>
            <w:r>
              <w:rPr>
                <w:rFonts w:ascii="Arial" w:cs="Arial" w:eastAsia="Arial" w:hAnsi="Arial"/>
                <w:b/>
                <w:bCs/>
                <w:color w:val="FFFFFF"/>
                <w:sz w:val="52"/>
                <w:szCs w:val="52"/>
              </w:rPr>
              <w:t xml:space="preserve">NO</w:t>
            </w:r>
          </w:p>
          <w:p>
            <w:pPr>
              <w:jc w:val="center"/>
            </w:pPr>
            <w:r>
              <w:rPr>
                <w:rFonts w:ascii="Arial" w:cs="Arial" w:eastAsia="Arial" w:hAnsi="Arial"/>
                <w:b/>
                <w:bCs/>
                <w:color w:val="FFFFFF"/>
                <w:sz w:val="19"/>
                <w:szCs w:val="19"/>
              </w:rPr>
              <w:t xml:space="preserve">Production Go-Live</w:t>
            </w:r>
          </w:p>
        </w:tc>
        <w:tc>
          <w:tcPr>
            <w:tcW w:type="dxa" w:w="3120"/>
            <w:tcBorders>
              <w:top w:val="single" w:color="D35400" w:sz="1"/>
              <w:left w:val="single" w:color="D35400" w:sz="1"/>
              <w:bottom w:val="single" w:color="D35400" w:sz="1"/>
              <w:right w:val="single" w:color="D35400" w:sz="1"/>
            </w:tcBorders>
            <w:shd w:fill="D35400" w:val="clear"/>
            <w:tcMar>
              <w:top w:type="dxa" w:w="160"/>
              <w:left w:type="dxa" w:w="200"/>
              <w:bottom w:type="dxa" w:w="160"/>
              <w:right w:type="dxa" w:w="200"/>
            </w:tcMar>
          </w:tcPr>
          <w:p>
            <w:pPr>
              <w:jc w:val="center"/>
            </w:pPr>
            <w:r>
              <w:rPr>
                <w:rFonts w:ascii="Arial" w:cs="Arial" w:eastAsia="Arial" w:hAnsi="Arial"/>
                <w:b/>
                <w:bCs/>
                <w:color w:val="FFFFFF"/>
                <w:sz w:val="52"/>
                <w:szCs w:val="52"/>
              </w:rPr>
              <w:t xml:space="preserve">YES*</w:t>
            </w:r>
          </w:p>
          <w:p>
            <w:pPr>
              <w:jc w:val="center"/>
            </w:pPr>
            <w:r>
              <w:rPr>
                <w:rFonts w:ascii="Arial" w:cs="Arial" w:eastAsia="Arial" w:hAnsi="Arial"/>
                <w:b/>
                <w:bCs/>
                <w:color w:val="FFFFFF"/>
                <w:sz w:val="19"/>
                <w:szCs w:val="19"/>
              </w:rPr>
              <w:t xml:space="preserve">Controlled Staging / Pilot</w:t>
            </w:r>
          </w:p>
        </w:tc>
        <w:tc>
          <w:tcPr>
            <w:tcW w:type="dxa" w:w="3120"/>
            <w:tcBorders>
              <w:top w:val="single" w:color="C0392B" w:sz="1"/>
              <w:left w:val="single" w:color="C0392B" w:sz="1"/>
              <w:bottom w:val="single" w:color="C0392B" w:sz="1"/>
              <w:right w:val="single" w:color="C0392B" w:sz="1"/>
            </w:tcBorders>
            <w:shd w:fill="C0392B" w:val="clear"/>
            <w:tcMar>
              <w:top w:type="dxa" w:w="160"/>
              <w:left w:type="dxa" w:w="200"/>
              <w:bottom w:type="dxa" w:w="160"/>
              <w:right w:type="dxa" w:w="200"/>
            </w:tcMar>
          </w:tcPr>
          <w:p>
            <w:pPr>
              <w:jc w:val="center"/>
            </w:pPr>
            <w:r>
              <w:rPr>
                <w:rFonts w:ascii="Arial" w:cs="Arial" w:eastAsia="Arial" w:hAnsi="Arial"/>
                <w:b/>
                <w:bCs/>
                <w:color w:val="FFFFFF"/>
                <w:sz w:val="52"/>
                <w:szCs w:val="52"/>
              </w:rPr>
              <w:t xml:space="preserve">NO</w:t>
            </w:r>
          </w:p>
          <w:p>
            <w:pPr>
              <w:jc w:val="center"/>
            </w:pPr>
            <w:r>
              <w:rPr>
                <w:rFonts w:ascii="Arial" w:cs="Arial" w:eastAsia="Arial" w:hAnsi="Arial"/>
                <w:b/>
                <w:bCs/>
                <w:color w:val="FFFFFF"/>
                <w:sz w:val="19"/>
                <w:szCs w:val="19"/>
              </w:rPr>
              <w:t xml:space="preserve">Certification Readiness</w:t>
            </w:r>
          </w:p>
        </w:tc>
      </w:tr>
    </w:tbl>
    <w:p>
      <w:pPr>
        <w:spacing w:after="50" w:before="0"/>
      </w:pPr>
      <w:r>
        <w:t xml:space="preserve"/>
      </w:r>
    </w:p>
    <w:p>
      <w:pPr>
        <w:spacing w:after="80" w:before="60"/>
        <w:jc w:val="left"/>
      </w:pPr>
      <w:r>
        <w:rPr>
          <w:rFonts w:ascii="Arial" w:cs="Arial" w:eastAsia="Arial" w:hAnsi="Arial"/>
          <w:b w:val="false"/>
          <w:bCs w:val="false"/>
          <w:color w:val="666666"/>
          <w:sz w:val="17"/>
          <w:szCs w:val="17"/>
        </w:rPr>
        <w:t xml:space="preserve">* Conditional on acknowledging residual risks documented in this report.</w:t>
      </w:r>
    </w:p>
    <w:p>
      <w:pPr>
        <w:spacing w:after="100" w:before="0"/>
      </w:pPr>
      <w:r>
        <w:t xml:space="preserve"/>
      </w:r>
    </w:p>
    <w:p>
      <w:pPr>
        <w:spacing w:after="120" w:before="60"/>
        <w:jc w:val="left"/>
      </w:pPr>
      <w:r>
        <w:rPr>
          <w:rFonts w:ascii="Arial" w:cs="Arial" w:eastAsia="Arial" w:hAnsi="Arial"/>
          <w:b w:val="false"/>
          <w:bCs w:val="false"/>
          <w:color w:val="1A1A2E"/>
          <w:sz w:val="20"/>
          <w:szCs w:val="20"/>
        </w:rPr>
        <w:t xml:space="preserve">Architecture and foundational controls are now close to enterprise grade. The platform is not blocked by the earlier catastrophic trust-boundary failures. It remains blocked by one major authorization defect, one legacy privileged access pattern, and insufficient live validation evidence.</w:t>
      </w:r>
    </w:p>
    <w:p>
      <w:pPr>
        <w:pStyle w:val="Heading1"/>
      </w:pPr>
      <w:bookmarkStart w:name="limits" w:id="13"/>
      <w:r>
        <w:t xml:space="preserve">12. Audit Limitations</w:t>
      </w:r>
      <w:bookmarkEnd w:id="13"/>
    </w:p>
    <w:p>
      <w:pPr>
        <w:pBdr>
          <w:bottom w:val="single" w:color="2563A8" w:sz="6" w:space="1"/>
        </w:pBdr>
        <w:spacing w:after="100" w:before="100"/>
      </w:pPr>
      <w:r>
        <w:t xml:space="preserve"/>
      </w:r>
    </w:p>
    <w:p>
      <w:pPr>
        <w:spacing w:after="50" w:before="0"/>
      </w:pPr>
      <w:r>
        <w:t xml:space="preserve"/>
      </w:r>
    </w:p>
    <w:p>
      <w:pPr>
        <w:pStyle w:val="ListParagraph"/>
        <w:numPr>
          <w:ilvl w:val="0"/>
          <w:numId w:val="3"/>
        </w:numPr>
        <w:spacing w:after="40" w:before="40"/>
      </w:pPr>
      <w:r>
        <w:rPr>
          <w:rFonts w:ascii="Arial" w:cs="Arial" w:eastAsia="Arial" w:hAnsi="Arial"/>
          <w:color w:val="1A1A2E"/>
          <w:sz w:val="20"/>
          <w:szCs w:val="20"/>
        </w:rPr>
        <w:t xml:space="preserve">This assessment was primarily static and configuration-based.</w:t>
      </w:r>
    </w:p>
    <w:p>
      <w:pPr>
        <w:pStyle w:val="ListParagraph"/>
        <w:numPr>
          <w:ilvl w:val="0"/>
          <w:numId w:val="3"/>
        </w:numPr>
        <w:spacing w:after="40" w:before="40"/>
      </w:pPr>
      <w:r>
        <w:rPr>
          <w:rFonts w:ascii="Arial" w:cs="Arial" w:eastAsia="Arial" w:hAnsi="Arial"/>
          <w:color w:val="1A1A2E"/>
          <w:sz w:val="20"/>
          <w:szCs w:val="20"/>
        </w:rPr>
        <w:t xml:space="preserve">node -v failed in this environment, so fresh Node workspace builds, tests, and npm audit could not be reproduced from the local runner.</w:t>
      </w:r>
    </w:p>
    <w:p>
      <w:pPr>
        <w:pStyle w:val="ListParagraph"/>
        <w:numPr>
          <w:ilvl w:val="0"/>
          <w:numId w:val="3"/>
        </w:numPr>
        <w:spacing w:after="40" w:before="40"/>
      </w:pPr>
      <w:r>
        <w:rPr>
          <w:rFonts w:ascii="Arial" w:cs="Arial" w:eastAsia="Arial" w:hAnsi="Arial"/>
          <w:color w:val="1A1A2E"/>
          <w:sz w:val="20"/>
          <w:szCs w:val="20"/>
        </w:rPr>
        <w:t xml:space="preserve">docker version failed because the Docker daemon was unavailable at /Users/sudhir/.docker/run/docker.sock, so live image builds and containerized runtime validation were not completed.</w:t>
      </w:r>
    </w:p>
    <w:p>
      <w:pPr>
        <w:pStyle w:val="ListParagraph"/>
        <w:numPr>
          <w:ilvl w:val="0"/>
          <w:numId w:val="3"/>
        </w:numPr>
        <w:spacing w:after="40" w:before="40"/>
      </w:pPr>
      <w:r>
        <w:rPr>
          <w:rFonts w:ascii="Arial" w:cs="Arial" w:eastAsia="Arial" w:hAnsi="Arial"/>
          <w:color w:val="1A1A2E"/>
          <w:sz w:val="20"/>
          <w:szCs w:val="20"/>
        </w:rPr>
        <w:t xml:space="preserve">These limitations do not prove a defect, but they materially reduce certification-grade evidence quality.</w:t>
      </w:r>
    </w:p>
    <w:p>
      <w:pPr>
        <w:spacing w:after="100" w:before="0"/>
      </w:pPr>
      <w:r>
        <w:t xml:space="preserve"/>
      </w:r>
    </w:p>
    <w:p>
      <w:pPr>
        <w:pStyle w:val="Heading1"/>
      </w:pPr>
      <w:bookmarkStart w:name="conclusion" w:id="14"/>
      <w:r>
        <w:t xml:space="preserve">13. Final Determination</w:t>
      </w:r>
      <w:bookmarkEnd w:id="14"/>
    </w:p>
    <w:p>
      <w:pPr>
        <w:pBdr>
          <w:bottom w:val="single" w:color="1B3A5C" w:sz="6" w:space="1"/>
        </w:pBdr>
        <w:spacing w:after="100" w:before="100"/>
      </w:pPr>
      <w:r>
        <w:t xml:space="preserve"/>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12"/>
              <w:bottom w:val="single" w:color="1B3A5C" w:sz="4"/>
              <w:right w:val="single" w:color="1B3A5C" w:sz="1"/>
            </w:tcBorders>
            <w:shd w:fill="D9E8F5" w:val="clear"/>
            <w:tcMar>
              <w:top w:type="dxa" w:w="180"/>
              <w:left w:type="dxa" w:w="280"/>
              <w:bottom w:type="dxa" w:w="180"/>
              <w:right w:type="dxa" w:w="280"/>
            </w:tcMar>
          </w:tcPr>
          <w:p>
            <w:pPr>
              <w:spacing w:after="120" w:before="60"/>
              <w:jc w:val="left"/>
            </w:pPr>
            <w:r>
              <w:rPr>
                <w:rFonts w:ascii="Arial" w:cs="Arial" w:eastAsia="Arial" w:hAnsi="Arial"/>
                <w:b w:val="false"/>
                <w:bCs w:val="false"/>
                <w:color w:val="1A1A2E"/>
                <w:sz w:val="20"/>
                <w:szCs w:val="20"/>
              </w:rPr>
              <w:t xml:space="preserve">IDMatr is not yet ready for enterprise production deployment and is not yet ready for SOC 2, ISO 27001, PCI-DSS, GDPR, or HIPAA certification preparation sign-off.</w:t>
            </w:r>
          </w:p>
          <w:p>
            <w:pPr>
              <w:spacing w:after="0" w:before="60"/>
              <w:jc w:val="left"/>
            </w:pPr>
            <w:r>
              <w:rPr>
                <w:rFonts w:ascii="Arial" w:cs="Arial" w:eastAsia="Arial" w:hAnsi="Arial"/>
                <w:b w:val="false"/>
                <w:bCs w:val="false"/>
                <w:color w:val="1A1A2E"/>
                <w:sz w:val="20"/>
                <w:szCs w:val="20"/>
              </w:rPr>
              <w:t xml:space="preserve">The repository now shows a strong remediation trajectory and a much healthier control baseline than earlier audits. If the remaining high-risk authorization issue is corrected, the legacy admin path is removed, and live release evidence is generated in a functioning runtime environment, IDMatr can realistically move into a production-readiness re-audit.</w:t>
            </w:r>
          </w:p>
        </w:tc>
      </w:tr>
    </w:tbl>
    <w:p>
      <w:pPr>
        <w:spacing w:after="200" w:before="0"/>
      </w:pPr>
      <w:r>
        <w:t xml:space="preserve"/>
      </w:r>
    </w:p>
    <w:p>
      <w:pPr>
        <w:pBdr>
          <w:top w:val="single" w:color="1B3A5C" w:sz="6" w:space="2"/>
        </w:pBdr>
        <w:spacing w:after="0" w:before="200"/>
        <w:jc w:val="center"/>
      </w:pPr>
      <w:r>
        <w:rPr>
          <w:rFonts w:ascii="Arial" w:cs="Arial" w:eastAsia="Arial" w:hAnsi="Arial"/>
          <w:color w:val="888888"/>
          <w:sz w:val="17"/>
          <w:szCs w:val="17"/>
        </w:rPr>
        <w:t xml:space="preserve">IDMatr Enterprise Security &amp; Compliance Audit Report  •  March 14, 2026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2"/>
      </w:pBdr>
      <w:spacing w:before="80"/>
      <w:jc w:val="center"/>
    </w:pPr>
    <w:r>
      <w:rPr>
        <w:rFonts w:ascii="Arial" w:cs="Arial" w:eastAsia="Arial" w:hAnsi="Arial"/>
        <w:color w:val="888888"/>
        <w:sz w:val="17"/>
        <w:szCs w:val="17"/>
      </w:rPr>
      <w:t xml:space="preserve">IDMatr Audit Report  •  Confidential  •  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B3A5C" w:val="clear"/>
          <w:tcMar>
            <w:top w:type="dxa" w:w="60"/>
            <w:left w:type="dxa" w:w="200"/>
            <w:bottom w:type="dxa" w:w="60"/>
            <w:right w:type="dxa" w:w="120"/>
          </w:tcMar>
        </w:tcPr>
        <w:p>
          <w:r>
            <w:rPr>
              <w:rFonts w:ascii="Arial" w:cs="Arial" w:eastAsia="Arial" w:hAnsi="Arial"/>
              <w:b/>
              <w:bCs/>
              <w:color w:val="FFFFFF"/>
              <w:sz w:val="17"/>
              <w:szCs w:val="17"/>
            </w:rPr>
            <w:t xml:space="preserve">IDMatr Enterprise Security &amp; Compliance Audit Report</w:t>
          </w:r>
        </w:p>
      </w:tc>
      <w:tc>
        <w:tcPr>
          <w:tcW w:type="dxa" w:w="4080"/>
          <w:tcBorders>
            <w:top w:val="none" w:color="FFFFFF" w:sz="0"/>
            <w:left w:val="none" w:color="FFFFFF" w:sz="0"/>
            <w:bottom w:val="none" w:color="FFFFFF" w:sz="0"/>
            <w:right w:val="none" w:color="FFFFFF" w:sz="0"/>
          </w:tcBorders>
          <w:shd w:fill="2563A8" w:val="clear"/>
          <w:tcMar>
            <w:top w:type="dxa" w:w="60"/>
            <w:left w:type="dxa" w:w="120"/>
            <w:bottom w:type="dxa" w:w="60"/>
            <w:right w:type="dxa" w:w="200"/>
          </w:tcMar>
        </w:tcPr>
        <w:p>
          <w:pPr>
            <w:jc w:val="right"/>
          </w:pPr>
          <w:r>
            <w:rPr>
              <w:rFonts w:ascii="Arial" w:cs="Arial" w:eastAsia="Arial" w:hAnsi="Arial"/>
              <w:color w:val="FFFFFF"/>
              <w:sz w:val="17"/>
              <w:szCs w:val="17"/>
            </w:rPr>
            <w:t xml:space="preserve">CONFIDENTIAL • March 14,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A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2026-03-14T12:31:11.344Z</dcterms:created>
  <dcterms:modified xsi:type="dcterms:W3CDTF">2026-03-14T12:31:11.345Z</dcterms:modified>
</cp:coreProperties>
</file>

<file path=docProps/custom.xml><?xml version="1.0" encoding="utf-8"?>
<Properties xmlns="http://schemas.openxmlformats.org/officeDocument/2006/custom-properties" xmlns:vt="http://schemas.openxmlformats.org/officeDocument/2006/docPropsVTypes"/>
</file>