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120" w:before="0"/>
        <w:jc w:val="center"/>
      </w:pPr>
      <w:r>
        <w:rPr>
          <w:rFonts w:ascii="Arial" w:cs="Arial" w:eastAsia="Arial" w:hAnsi="Arial"/>
          <w:b/>
          <w:bCs/>
          <w:color w:val="1F3864"/>
          <w:sz w:val="80"/>
          <w:szCs w:val="80"/>
        </w:rPr>
        <w:t xml:space="preserve">IDMatr</w:t>
      </w:r>
    </w:p>
    <w:p>
      <w:pPr>
        <w:spacing w:after="480" w:before="0"/>
        <w:jc w:val="center"/>
      </w:pPr>
      <w:r>
        <w:rPr>
          <w:rFonts w:ascii="Arial" w:cs="Arial" w:eastAsia="Arial" w:hAnsi="Arial"/>
          <w:color w:val="2E75B6"/>
          <w:sz w:val="36"/>
          <w:szCs w:val="36"/>
        </w:rPr>
        <w:t xml:space="preserve">Enterprise Identity Security Platform</w:t>
      </w:r>
    </w:p>
    <w:p>
      <w:pPr>
        <w:pBdr>
          <w:top w:val="single" w:color="2E75B6" w:sz="12" w:space="1"/>
          <w:bottom w:val="single" w:color="2E75B6" w:sz="12" w:space="1"/>
        </w:pBdr>
        <w:spacing w:after="200" w:before="200"/>
        <w:jc w:val="center"/>
      </w:pPr>
      <w:r>
        <w:rPr>
          <w:rFonts w:ascii="Arial" w:cs="Arial" w:eastAsia="Arial" w:hAnsi="Arial"/>
          <w:b/>
          <w:bCs/>
          <w:color w:val="1F3864"/>
          <w:sz w:val="52"/>
          <w:szCs w:val="52"/>
        </w:rPr>
        <w:t xml:space="preserve">Security &amp; Compliance Readiness Report</w:t>
      </w:r>
    </w:p>
    <w:p>
      <w:pPr>
        <w:spacing w:after="0" w:before="480"/>
      </w:pPr>
      <w:r>
        <w:t xml:space="preserve"/>
      </w:r>
    </w:p>
    <w:p>
      <w:pPr>
        <w:spacing w:after="480" w:before="0"/>
        <w:jc w:val="center"/>
      </w:pPr>
      <w:r>
        <w:rPr>
          <w:rFonts w:ascii="Arial" w:cs="Arial" w:eastAsia="Arial" w:hAnsi="Arial"/>
          <w:color w:val="595959"/>
          <w:sz w:val="24"/>
          <w:szCs w:val="24"/>
        </w:rPr>
        <w:t xml:space="preserve">Covering SOC 2 Type II  ·  ISO/IEC 27001:2022  ·  PCI-DSS v4.0  ·  GDPR  ·  HIPAA</w:t>
      </w:r>
    </w:p>
    <w:p>
      <w:pPr>
        <w:spacing w:after="0" w:before="480"/>
      </w:pPr>
      <w:r>
        <w:t xml:space="preserve"/>
      </w:r>
    </w:p>
    <w:p>
      <w:pPr>
        <w:jc w:val="center"/>
      </w:pPr>
      <w:r>
        <w:rPr>
          <w:rFonts w:ascii="Arial" w:cs="Arial" w:eastAsia="Arial" w:hAnsi="Arial"/>
          <w:color w:val="595959"/>
          <w:sz w:val="22"/>
          <w:szCs w:val="22"/>
        </w:rPr>
        <w:t xml:space="preserve">Version: </w:t>
      </w:r>
      <w:r>
        <w:rPr>
          <w:rFonts w:ascii="Arial" w:cs="Arial" w:eastAsia="Arial" w:hAnsi="Arial"/>
          <w:b/>
          <w:bCs/>
          <w:color w:val="000000"/>
          <w:sz w:val="22"/>
          <w:szCs w:val="22"/>
        </w:rPr>
        <w:t xml:space="preserve">1.0.0</w:t>
      </w:r>
      <w:r>
        <w:rPr>
          <w:rFonts w:ascii="Arial" w:cs="Arial" w:eastAsia="Arial" w:hAnsi="Arial"/>
          <w:color w:val="595959"/>
          <w:sz w:val="22"/>
          <w:szCs w:val="22"/>
        </w:rPr>
        <w:t xml:space="preserve">     |     Report Date: </w:t>
      </w:r>
      <w:r>
        <w:rPr>
          <w:rFonts w:ascii="Arial" w:cs="Arial" w:eastAsia="Arial" w:hAnsi="Arial"/>
          <w:b/>
          <w:bCs/>
          <w:color w:val="000000"/>
          <w:sz w:val="22"/>
          <w:szCs w:val="22"/>
        </w:rPr>
        <w:t xml:space="preserve">13 March 2026</w:t>
      </w:r>
    </w:p>
    <w:p>
      <w:pPr>
        <w:spacing w:after="0" w:before="80"/>
        <w:jc w:val="center"/>
      </w:pPr>
      <w:r>
        <w:rPr>
          <w:rFonts w:ascii="Arial" w:cs="Arial" w:eastAsia="Arial" w:hAnsi="Arial"/>
          <w:color w:val="595959"/>
          <w:sz w:val="22"/>
          <w:szCs w:val="22"/>
        </w:rPr>
        <w:t xml:space="preserve">Classification: </w:t>
      </w:r>
      <w:r>
        <w:rPr>
          <w:rFonts w:ascii="Arial" w:cs="Arial" w:eastAsia="Arial" w:hAnsi="Arial"/>
          <w:b/>
          <w:bCs/>
          <w:color w:val="843C0C"/>
          <w:sz w:val="22"/>
          <w:szCs w:val="22"/>
        </w:rPr>
        <w:t xml:space="preserve">Internal — Security &amp; Finance-Legal Team</w:t>
      </w:r>
    </w:p>
    <w:p>
      <w:r>
        <w:br w:type="page"/>
      </w:r>
    </w:p>
    <w:p>
      <w:pPr>
        <w:pStyle w:val="Heading1"/>
        <w:pBdr>
          <w:bottom w:val="single" w:color="2E75B6" w:sz="8" w:space="4"/>
        </w:pBdr>
        <w:spacing w:after="160" w:before="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Executive Summary</w:t>
      </w:r>
    </w:p>
    <w:p>
      <w:pPr>
        <w:spacing w:after="60" w:before="60"/>
      </w:pPr>
      <w:r>
        <w:rPr>
          <w:rFonts w:ascii="Arial" w:cs="Arial" w:eastAsia="Arial" w:hAnsi="Arial"/>
          <w:b w:val="false"/>
          <w:bCs w:val="false"/>
          <w:color w:val="000000"/>
          <w:sz w:val="22"/>
          <w:szCs w:val="22"/>
        </w:rPr>
        <w:t xml:space="preserve">IDMatr is an enterprise-grade, multi-tenant Identity Governance &amp; Administration (IGA) platform delivering Identity and Access Management (IAM), Identity Security Posture Management (ISPM), and Identity Threat Detection &amp; Response (ITDR) capabilities. This report presents a comprehensive assessment of IDMatr's security controls against five major compliance frameworks, identifies open gaps, and provides a prioritised remediation roadmap.</w:t>
      </w:r>
    </w:p>
    <w:p>
      <w:pPr>
        <w:spacing w:after="0" w:before="120"/>
      </w:pPr>
      <w:r>
        <w:t xml:space="preserve"/>
      </w:r>
    </w:p>
    <w:p>
      <w:pPr>
        <w:spacing w:after="60" w:before="60"/>
      </w:pPr>
      <w:r>
        <w:rPr>
          <w:rFonts w:ascii="Arial" w:cs="Arial" w:eastAsia="Arial" w:hAnsi="Arial"/>
          <w:b w:val="false"/>
          <w:bCs w:val="false"/>
          <w:color w:val="000000"/>
          <w:sz w:val="22"/>
          <w:szCs w:val="22"/>
        </w:rPr>
        <w:t xml:space="preserve">Overall, IDMatr demonstrates a strong security posture. Its architecture is built on sound principles — zero-trust boundaries, tenant isolation by design, immutable audit trails, and fail-secure startup behaviour. The platform's GDPR readiness is the highest at 88%, followed by SOC 2 Type II at 85% and ISO/IEC 27001:2022 at 82%. PCI-DSS and HIPAA readiness, at 74% and 71% respectively, reflect that some technical safeguards specific to payment card and healthcare data environments remain unimplemented.</w:t>
      </w:r>
    </w:p>
    <w:p>
      <w:pPr>
        <w:spacing w:after="0" w:before="160"/>
      </w:pPr>
      <w:r>
        <w:t xml:space="preserve"/>
      </w:r>
    </w:p>
    <w:p>
      <w:pPr>
        <w:pStyle w:val="Heading2"/>
        <w:spacing w:after="120" w:before="240"/>
      </w:pPr>
      <w:r>
        <w:rPr>
          <w:rFonts w:ascii="Arial" w:cs="Arial" w:eastAsia="Arial" w:hAnsi="Arial"/>
          <w:b/>
          <w:bCs/>
          <w:color w:val="2E75B6"/>
          <w:sz w:val="26"/>
          <w:szCs w:val="26"/>
        </w:rPr>
        <w:t xml:space="preserve">Compliance Readiness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400"/>
        <w:gridCol w:w="2360"/>
      </w:tblGrid>
      <w:tr>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Framework</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Readiness</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Open Gaps</w:t>
            </w:r>
          </w:p>
        </w:tc>
        <w:tc>
          <w:tcPr>
            <w:tcW w:type="dxa" w:w="2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SOC 2 Type II</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85%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4</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HIGH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ISO/IEC 27001:2022</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20"/>
                <w:szCs w:val="20"/>
              </w:rPr>
              <w:t xml:space="preserve">82%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6</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20"/>
                <w:szCs w:val="20"/>
              </w:rPr>
              <w:t xml:space="preserve">HIGH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PCI-DSS v4.0</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20"/>
                <w:szCs w:val="20"/>
              </w:rPr>
              <w:t xml:space="preserve">74%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8</w:t>
            </w:r>
          </w:p>
        </w:tc>
        <w:tc>
          <w:tcPr>
            <w:tcW w:type="dxa" w:w="2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20"/>
                <w:szCs w:val="20"/>
              </w:rPr>
              <w:t xml:space="preserve">MEDIUM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GDPR</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88%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3</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HIGH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HIPAA</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20"/>
                <w:szCs w:val="20"/>
              </w:rPr>
              <w:t xml:space="preserve">71%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9</w:t>
            </w:r>
          </w:p>
        </w:tc>
        <w:tc>
          <w:tcPr>
            <w:tcW w:type="dxa" w:w="2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20"/>
                <w:szCs w:val="20"/>
              </w:rPr>
              <w:t xml:space="preserve">MEDIUM</w:t>
            </w:r>
          </w:p>
        </w:tc>
      </w:tr>
    </w:tbl>
    <w:p>
      <w:pPr>
        <w:spacing w:after="0" w:before="160"/>
      </w:pPr>
      <w:r>
        <w:t xml:space="preserve"/>
      </w:r>
    </w:p>
    <w:p>
      <w:pPr>
        <w:spacing w:after="60" w:before="60"/>
      </w:pPr>
      <w:r>
        <w:rPr>
          <w:rFonts w:ascii="Arial" w:cs="Arial" w:eastAsia="Arial" w:hAnsi="Arial"/>
          <w:b w:val="false"/>
          <w:bCs w:val="false"/>
          <w:color w:val="000000"/>
          <w:sz w:val="22"/>
          <w:szCs w:val="22"/>
        </w:rPr>
        <w:t xml:space="preserve">The 30 total open gaps across all frameworks are dominated by a small number of high-impact items that appear across multiple frameworks: the absence of Multi-Factor Authentication (MFA), unencrypted internal NATS traffic, and missing GDPR data-subject rights endpoints. Addressing the ten P1/P2 items identified in this report will substantially improve readiness across all five frameworks simultaneously.</w:t>
      </w:r>
    </w:p>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Platform Architecture Overview</w:t>
      </w:r>
    </w:p>
    <w:p>
      <w:pPr>
        <w:pStyle w:val="Heading2"/>
        <w:spacing w:after="120" w:before="240"/>
      </w:pPr>
      <w:r>
        <w:rPr>
          <w:rFonts w:ascii="Arial" w:cs="Arial" w:eastAsia="Arial" w:hAnsi="Arial"/>
          <w:b/>
          <w:bCs/>
          <w:color w:val="2E75B6"/>
          <w:sz w:val="26"/>
          <w:szCs w:val="26"/>
        </w:rPr>
        <w:t xml:space="preserve">1.1  Deployment Model</w:t>
      </w:r>
    </w:p>
    <w:p>
      <w:pPr>
        <w:spacing w:after="60" w:before="60"/>
      </w:pPr>
      <w:r>
        <w:rPr>
          <w:rFonts w:ascii="Arial" w:cs="Arial" w:eastAsia="Arial" w:hAnsi="Arial"/>
          <w:b w:val="false"/>
          <w:bCs w:val="false"/>
          <w:color w:val="000000"/>
          <w:sz w:val="22"/>
          <w:szCs w:val="22"/>
        </w:rPr>
        <w:t xml:space="preserve">IDMatr is a multi-tenant SaaS application built on containerised microservices (Docker / Kubernetes-ready OCI-compliant images). All inter-service communication uses a NATS message bus, keeping service HTTP ports off the host network. The only externally reachable HTTP endpoint is the API Gateway on port 3001.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Multi-tenant SaaS — containerised microservices</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JWT (HS256), 8-hour token expiry (configurable)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Messaging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NATS message bus (internal services only)</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Data Stores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PostgreSQL 15 (primary), Neo4j 5 (graph), Redis 7 (cache/session)</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Runtime 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Non-root containers (uid 1001), Alpine Linux base, dumb-init PID1</w:t>
            </w:r>
          </w:p>
        </w:tc>
      </w:tr>
    </w:tbl>
    <w:p>
      <w:pPr>
        <w:spacing w:after="0" w:before="160"/>
      </w:pPr>
      <w:r>
        <w:t xml:space="preserve"/>
      </w:r>
    </w:p>
    <w:p>
      <w:pPr>
        <w:pStyle w:val="Heading2"/>
        <w:spacing w:after="120" w:before="240"/>
      </w:pPr>
      <w:r>
        <w:rPr>
          <w:rFonts w:ascii="Arial" w:cs="Arial" w:eastAsia="Arial" w:hAnsi="Arial"/>
          <w:b/>
          <w:bCs/>
          <w:color w:val="2E75B6"/>
          <w:sz w:val="26"/>
          <w:szCs w:val="26"/>
        </w:rPr>
        <w:t xml:space="preserve">1.2  Service &amp; Database Mapping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Database</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Models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identity-service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identity_service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User, Application, Role, Permission, AccessGrant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discovery-service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discovery_service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DiscoveredApp, DiscoveredUser, DiscoveryConnector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governance-service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governance_service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ApprovalWorkflow, WorkflowHistory, CertificationCampaign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risk-engine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risk_engine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RiskEvent, RiskProfile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audit-service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audit_service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AuditLog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policy-engine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identity_service (shared)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User, Role, Permission, AccessGrant (read-only)</w:t>
            </w:r>
          </w:p>
        </w:tc>
      </w:tr>
    </w:tbl>
    <w:p>
      <w:pPr>
        <w:spacing w:after="0" w:before="160"/>
      </w:pPr>
      <w:r>
        <w:t xml:space="preserve"/>
      </w:r>
    </w:p>
    <w:p>
      <w:pPr>
        <w:pStyle w:val="Heading2"/>
        <w:spacing w:after="120" w:before="240"/>
      </w:pPr>
      <w:r>
        <w:rPr>
          <w:rFonts w:ascii="Arial" w:cs="Arial" w:eastAsia="Arial" w:hAnsi="Arial"/>
          <w:b/>
          <w:bCs/>
          <w:color w:val="2E75B6"/>
          <w:sz w:val="26"/>
          <w:szCs w:val="26"/>
        </w:rPr>
        <w:t xml:space="preserve">1.3  Multi-Tenancy Architecture</w:t>
      </w:r>
    </w:p>
    <w:p>
      <w:pPr>
        <w:spacing w:after="60" w:before="60"/>
      </w:pPr>
      <w:r>
        <w:rPr>
          <w:rFonts w:ascii="Arial" w:cs="Arial" w:eastAsia="Arial" w:hAnsi="Arial"/>
          <w:b w:val="false"/>
          <w:bCs w:val="false"/>
          <w:color w:val="000000"/>
          <w:sz w:val="22"/>
          <w:szCs w:val="22"/>
        </w:rPr>
        <w:t xml:space="preserve">Every data model across every service carries a tenantId field. All ORM queries (Prisma) include a WHERE tenantId = ? clause enforced at the service layer. The TenantMiddleware at the API Gateway resolves tenant context from the X-Tenant-ID header, the JWT payload claim, or the request subdomain — in that order. There is no application-layer path for cross-tenant data access.</w:t>
      </w:r>
    </w:p>
    <w:p>
      <w:pPr>
        <w:spacing w:after="60" w:before="60"/>
      </w:pPr>
      <w:r>
        <w:rPr>
          <w:rFonts w:ascii="Arial" w:cs="Arial" w:eastAsia="Arial" w:hAnsi="Arial"/>
          <w:b w:val="false"/>
          <w:bCs w:val="false"/>
          <w:color w:val="000000"/>
          <w:sz w:val="22"/>
          <w:szCs w:val="22"/>
        </w:rPr>
        <w:t xml:space="preserve">Compound unique constraints (e.g. @@unique([tenantId, email]) on User) prevent cross-tenant data collisions at the database level, providing a defence-in-depth guarantee independent of application logic.</w:t>
      </w:r>
    </w:p>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Security Architecture</w:t>
      </w:r>
    </w:p>
    <w:p>
      <w:pPr>
        <w:pStyle w:val="Heading2"/>
        <w:spacing w:after="120" w:before="240"/>
      </w:pPr>
      <w:r>
        <w:rPr>
          <w:rFonts w:ascii="Arial" w:cs="Arial" w:eastAsia="Arial" w:hAnsi="Arial"/>
          <w:b/>
          <w:bCs/>
          <w:color w:val="2E75B6"/>
          <w:sz w:val="26"/>
          <w:szCs w:val="26"/>
        </w:rPr>
        <w:t xml:space="preserve">2.1  Architecture Principles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400"/>
        <w:gridCol w:w="6320"/>
      </w:tblGrid>
      <w:tr>
        <w:tc>
          <w:tcPr>
            <w:tcW w:type="dxa" w:w="6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Principle</w:t>
            </w:r>
          </w:p>
        </w:tc>
        <w:tc>
          <w:tcPr>
            <w:tcW w:type="dxa" w:w="63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2E75B6"/>
                <w:sz w:val="20"/>
                <w:szCs w:val="20"/>
              </w:rPr>
              <w:t xml:space="preserve">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Zero-Trust at every boundary</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Every request is authenticated and tenant-scoped regardless of origin or network location.</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2E75B6"/>
                <w:sz w:val="20"/>
                <w:szCs w:val="20"/>
              </w:rPr>
              <w:t xml:space="preserve">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Multi-tenant isolation by default</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tenantId is mandatory on every data model; no global queries exist in application code.</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2E75B6"/>
                <w:sz w:val="20"/>
                <w:szCs w:val="20"/>
              </w:rPr>
              <w:t xml:space="preserve">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Least privilege</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Services communicate only via scoped NATS message patterns; no service holds credentials for another.</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2E75B6"/>
                <w:sz w:val="20"/>
                <w:szCs w:val="20"/>
              </w:rPr>
              <w:t xml:space="preserve">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Immutable audit trail</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Every state-changing operation produces an immutable AuditLog record with actor, target, IP, and timestamp.</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2E75B6"/>
                <w:sz w:val="20"/>
                <w:szCs w:val="20"/>
              </w:rPr>
              <w:t xml:space="preserve">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Fail-secure</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Startup fails hard on missing JWT_SECRET; Prisma connection failures surface immediately rather than being swallowed.</w:t>
            </w:r>
          </w:p>
        </w:tc>
      </w:tr>
    </w:tbl>
    <w:p>
      <w:pPr>
        <w:spacing w:after="0" w:before="160"/>
      </w:pPr>
      <w:r>
        <w:t xml:space="preserve"/>
      </w:r>
    </w:p>
    <w:p>
      <w:pPr>
        <w:pStyle w:val="Heading2"/>
        <w:spacing w:after="120" w:before="240"/>
      </w:pPr>
      <w:r>
        <w:rPr>
          <w:rFonts w:ascii="Arial" w:cs="Arial" w:eastAsia="Arial" w:hAnsi="Arial"/>
          <w:b/>
          <w:bCs/>
          <w:color w:val="2E75B6"/>
          <w:sz w:val="26"/>
          <w:szCs w:val="26"/>
        </w:rPr>
        <w:t xml:space="preserve">2.2  Network Security Model</w:t>
      </w:r>
    </w:p>
    <w:p>
      <w:pPr>
        <w:spacing w:after="60" w:before="60"/>
      </w:pPr>
      <w:r>
        <w:rPr>
          <w:rFonts w:ascii="Arial" w:cs="Arial" w:eastAsia="Arial" w:hAnsi="Arial"/>
          <w:b w:val="false"/>
          <w:bCs w:val="false"/>
          <w:color w:val="000000"/>
          <w:sz w:val="22"/>
          <w:szCs w:val="22"/>
        </w:rPr>
        <w:t xml:space="preserve">The API Gateway (port 3001) is the sole ingress point for all external HTTP traffic. All microservices expose only NATS message-pattern handlers — no HTTP ports are published to the host network. Infrastructure services (PostgreSQL, Neo4j, Redis, NATS) reside on a private Docker bridge network inaccessible from outside the container cluster.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7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Controls Applied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External Ingress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JWT validation (Passport-JWT), TenantMiddleware, request rate-limiting, class-validator input validation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Internal Mesh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NATS private bus — no HTTP ports exposed; every message payload carries tenantId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Data Layer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PostgreSQL, Neo4j, Redis on isolated Docker network; credentials injected via environment variables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Admin / Ops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Control Plane API (port 3010) operates independently from data plane; credentials cannot cross boundaries</w:t>
            </w:r>
          </w:p>
        </w:tc>
      </w:tr>
    </w:tbl>
    <w:p>
      <w:pPr>
        <w:spacing w:after="60" w:before="60"/>
      </w:pPr>
      <w:r>
        <w:rPr>
          <w:rFonts w:ascii="Arial" w:cs="Arial" w:eastAsia="Arial" w:hAnsi="Arial"/>
          <w:b w:val="false"/>
          <w:bCs w:val="false"/>
          <w:color w:val="843C0C"/>
          <w:sz w:val="22"/>
          <w:szCs w:val="22"/>
        </w:rPr>
        <w:t xml:space="preserve">Known gap: NATS internal traffic is not TLS-encrypted in the default configuration, creating a risk of internal traffic interception. This is classified P1 and must be remediated by enabling the TLS block in nats.conf and mounting certificates in docker-compose.yml.</w:t>
      </w:r>
    </w:p>
    <w:p>
      <w:pPr>
        <w:spacing w:after="0" w:before="160"/>
      </w:pPr>
      <w:r>
        <w:t xml:space="preserve"/>
      </w:r>
    </w:p>
    <w:p>
      <w:pPr>
        <w:pStyle w:val="Heading2"/>
        <w:spacing w:after="120" w:before="240"/>
      </w:pPr>
      <w:r>
        <w:rPr>
          <w:rFonts w:ascii="Arial" w:cs="Arial" w:eastAsia="Arial" w:hAnsi="Arial"/>
          <w:b/>
          <w:bCs/>
          <w:color w:val="2E75B6"/>
          <w:sz w:val="26"/>
          <w:szCs w:val="26"/>
        </w:rPr>
        <w:t xml:space="preserve">2.3  Authentication &amp; Session Management</w:t>
      </w:r>
    </w:p>
    <w:p>
      <w:pPr>
        <w:pStyle w:val="Heading3"/>
        <w:spacing w:after="80" w:before="180"/>
      </w:pPr>
      <w:r>
        <w:rPr>
          <w:rFonts w:ascii="Arial" w:cs="Arial" w:eastAsia="Arial" w:hAnsi="Arial"/>
          <w:b/>
          <w:bCs/>
          <w:color w:val="595959"/>
          <w:sz w:val="24"/>
          <w:szCs w:val="24"/>
        </w:rPr>
        <w:t xml:space="preserve">JWT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3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Algorithm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HS256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@nestjs/jwt default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Secret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Min. 256-bit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JWT_SECRET env var — service throws at startup if absent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Expiry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8 hours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JWT_EXPIRES_IN env var (default: 8h)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Claims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sub, email, tenantId, role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Set by identity-service on login</w:t>
            </w:r>
          </w:p>
        </w:tc>
      </w:tr>
    </w:tbl>
    <w:p>
      <w:pPr>
        <w:spacing w:after="0" w:before="120"/>
      </w:pPr>
      <w:r>
        <w:t xml:space="preserve"/>
      </w:r>
    </w:p>
    <w:p>
      <w:pPr>
        <w:pStyle w:val="Heading3"/>
        <w:spacing w:after="80" w:before="180"/>
      </w:pPr>
      <w:r>
        <w:rPr>
          <w:rFonts w:ascii="Arial" w:cs="Arial" w:eastAsia="Arial" w:hAnsi="Arial"/>
          <w:b/>
          <w:bCs/>
          <w:color w:val="595959"/>
          <w:sz w:val="24"/>
          <w:szCs w:val="24"/>
        </w:rPr>
        <w:t xml:space="preserve">Tenant Resolution Order</w:t>
      </w:r>
    </w:p>
    <w:p>
      <w:pPr>
        <w:spacing w:after="60" w:before="60"/>
      </w:pPr>
      <w:r>
        <w:rPr>
          <w:rFonts w:ascii="Arial" w:cs="Arial" w:eastAsia="Arial" w:hAnsi="Arial"/>
          <w:b w:val="false"/>
          <w:bCs w:val="false"/>
          <w:color w:val="000000"/>
          <w:sz w:val="22"/>
          <w:szCs w:val="22"/>
        </w:rPr>
        <w:t xml:space="preserve">The API Gateway resolves tenant context in three steps: (1) X-Tenant-ID header — validated as a UUID and bound to req.tenantId; (2) Authorization Bearer JWT — decoded payload.tenantId extracted; (3) subdomain (e.g. acme.idmatr.app) — slug extracted and resolved. Requests with no tenant context are limited to public/admin routes (/health, /auth/login, /auth/me).</w:t>
      </w:r>
    </w:p>
    <w:p>
      <w:pPr>
        <w:spacing w:after="0" w:before="160"/>
      </w:pPr>
      <w:r>
        <w:t xml:space="preserve"/>
      </w:r>
    </w:p>
    <w:p>
      <w:pPr>
        <w:pStyle w:val="Heading2"/>
        <w:spacing w:after="120" w:before="240"/>
      </w:pPr>
      <w:r>
        <w:rPr>
          <w:rFonts w:ascii="Arial" w:cs="Arial" w:eastAsia="Arial" w:hAnsi="Arial"/>
          <w:b/>
          <w:bCs/>
          <w:color w:val="2E75B6"/>
          <w:sz w:val="26"/>
          <w:szCs w:val="26"/>
        </w:rPr>
        <w:t xml:space="preserve">2.4  Secrets Management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Secret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Location</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Rotation Trigger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JWT_SECRET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.env / container env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On-demand; service restart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DATABASE_URL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Per-service .env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On DB credential rotation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REDIS_URL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Worker/notification .env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On credential rotation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NEO4J_*</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Graph service .env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On credential rotation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GOOGLE_* (OAuth)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Discovery service .env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OAuth token refresh automated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MICROSOFT_* (OAuth)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Discovery service .env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OAuth token refresh automated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SLACK_BOT_TOKEN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Discovery service .env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On Slack app rotation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GITHUB_TOKEN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Discovery service .env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On PAT expiry</w:t>
            </w:r>
          </w:p>
        </w:tc>
      </w:tr>
    </w:tbl>
    <w:p>
      <w:pPr>
        <w:spacing w:after="0" w:before="80"/>
      </w:pPr>
      <w:r>
        <w:t xml:space="preserve"/>
      </w:r>
    </w:p>
    <w:p>
      <w:pPr>
        <w:spacing w:after="60" w:before="60"/>
      </w:pPr>
      <w:r>
        <w:rPr>
          <w:rFonts w:ascii="Arial" w:cs="Arial" w:eastAsia="Arial" w:hAnsi="Arial"/>
          <w:b w:val="false"/>
          <w:bCs w:val="false"/>
          <w:color w:val="000000"/>
          <w:sz w:val="22"/>
          <w:szCs w:val="22"/>
        </w:rPr>
        <w:t xml:space="preserve">Secrets are never logged. Database URLs are never exposed through API responses. OAuth tokens are stored as connector configuration and are not returned to API consumers. The JWT_SECRET has no silent fallback — its absence causes an immediate startup exception.</w:t>
      </w:r>
    </w:p>
    <w:p>
      <w:pPr>
        <w:spacing w:after="0" w:before="160"/>
      </w:pPr>
      <w:r>
        <w:t xml:space="preserve"/>
      </w:r>
    </w:p>
    <w:p>
      <w:pPr>
        <w:pStyle w:val="Heading2"/>
        <w:spacing w:after="120" w:before="240"/>
      </w:pPr>
      <w:r>
        <w:rPr>
          <w:rFonts w:ascii="Arial" w:cs="Arial" w:eastAsia="Arial" w:hAnsi="Arial"/>
          <w:b/>
          <w:bCs/>
          <w:color w:val="2E75B6"/>
          <w:sz w:val="26"/>
          <w:szCs w:val="26"/>
        </w:rPr>
        <w:t xml:space="preserve">2.5  Audit Logging Architecture</w:t>
      </w:r>
    </w:p>
    <w:p>
      <w:pPr>
        <w:spacing w:after="60" w:before="60"/>
      </w:pPr>
      <w:r>
        <w:rPr>
          <w:rFonts w:ascii="Arial" w:cs="Arial" w:eastAsia="Arial" w:hAnsi="Arial"/>
          <w:b w:val="false"/>
          <w:bCs w:val="false"/>
          <w:color w:val="000000"/>
          <w:sz w:val="22"/>
          <w:szCs w:val="22"/>
        </w:rPr>
        <w:t xml:space="preserve">Every state-changing operation emits an AuditLog record via the dedicated audit-service. The schema captures the full context required for forensic investigation: who acted (actorId, actorType), what they did (action), what they acted on (targetId, targetType), the outcome (status), and network context (ipAddress, userAgent). A composite index on (tenantId, timestamp) supports efficient per-tenant time-range queries.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 Category</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Logged</w:t>
            </w:r>
          </w:p>
        </w:tc>
        <w:tc>
          <w:tcPr>
            <w:tcW w:type="dxa" w:w="5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Fields Captured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User login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375623"/>
                <w:sz w:val="20"/>
                <w:szCs w:val="20"/>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actorId, ipAddress, userAgent, status (success/failure)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Access grant / revoke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375623"/>
                <w:sz w:val="20"/>
                <w:szCs w:val="20"/>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actorId, targetId (userId), applicationId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Role change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375623"/>
                <w:sz w:val="20"/>
                <w:szCs w:val="20"/>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actorId, targetId, old role, new 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Threat detection (ITDR)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375623"/>
                <w:sz w:val="20"/>
                <w:szCs w:val="20"/>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automated trigger, eventType, severity, affected userId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Threat response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375623"/>
                <w:sz w:val="20"/>
                <w:szCs w:val="20"/>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actorId, threatId, action (resolve/escalate/investigate)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Discovery scan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375623"/>
                <w:sz w:val="20"/>
                <w:szCs w:val="20"/>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tenantId, connector source, identities found 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Workflow approval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375623"/>
                <w:sz w:val="20"/>
                <w:szCs w:val="20"/>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approverId, decision, comment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Identity CRUD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375623"/>
                <w:sz w:val="20"/>
                <w:szCs w:val="20"/>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actorId, targetId, changed fields</w:t>
            </w:r>
          </w:p>
        </w:tc>
      </w:tr>
    </w:tbl>
    <w:p>
      <w:pPr>
        <w:spacing w:after="60" w:before="60"/>
      </w:pPr>
      <w:r>
        <w:rPr>
          <w:rFonts w:ascii="Arial" w:cs="Arial" w:eastAsia="Arial" w:hAnsi="Arial"/>
          <w:b w:val="false"/>
          <w:bCs w:val="false"/>
          <w:color w:val="595959"/>
          <w:sz w:val="22"/>
          <w:szCs w:val="22"/>
        </w:rPr>
        <w:t xml:space="preserve">Log integrity note: Records are write-once by application design (no update/delete endpoint). Hardening to full append-only is pending (P2): applying PostgreSQL row-level security and revoking DELETE on the AuditLog table.</w:t>
      </w:r>
    </w:p>
    <w:p>
      <w:pPr>
        <w:spacing w:after="0" w:before="160"/>
      </w:pPr>
      <w:r>
        <w:t xml:space="preserve"/>
      </w:r>
    </w:p>
    <w:p>
      <w:pPr>
        <w:pStyle w:val="Heading2"/>
        <w:spacing w:after="120" w:before="240"/>
      </w:pPr>
      <w:r>
        <w:rPr>
          <w:rFonts w:ascii="Arial" w:cs="Arial" w:eastAsia="Arial" w:hAnsi="Arial"/>
          <w:b/>
          <w:bCs/>
          <w:color w:val="2E75B6"/>
          <w:sz w:val="26"/>
          <w:szCs w:val="26"/>
        </w:rPr>
        <w:t xml:space="preserve">2.6  Threat Detection &amp; ITDR</w:t>
      </w:r>
    </w:p>
    <w:p>
      <w:pPr>
        <w:pStyle w:val="Heading3"/>
        <w:spacing w:after="80" w:before="180"/>
      </w:pPr>
      <w:r>
        <w:rPr>
          <w:rFonts w:ascii="Arial" w:cs="Arial" w:eastAsia="Arial" w:hAnsi="Arial"/>
          <w:b/>
          <w:bCs/>
          <w:color w:val="595959"/>
          <w:sz w:val="24"/>
          <w:szCs w:val="24"/>
        </w:rPr>
        <w:t xml:space="preserve">Risk Scoring Model</w:t>
      </w:r>
    </w:p>
    <w:p>
      <w:pPr>
        <w:spacing w:after="60" w:before="60"/>
      </w:pPr>
      <w:r>
        <w:rPr>
          <w:rFonts w:ascii="Arial" w:cs="Arial" w:eastAsia="Arial" w:hAnsi="Arial"/>
          <w:b w:val="false"/>
          <w:bCs w:val="false"/>
          <w:color w:val="000000"/>
          <w:sz w:val="22"/>
          <w:szCs w:val="22"/>
        </w:rPr>
        <w:t xml:space="preserve">The risk engine calculates a per-identity risk score using a weighted severity model with temporal decay. Scores are capped in the range [0, 100].</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8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28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Critical event weight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40 points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Per occurrence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High event weight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20 points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Per occurrence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Medium event weight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10 points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Per occurrence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Low event weight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5 points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Per occurrence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Temporal decay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-2 points/day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Days since last event</w:t>
            </w:r>
          </w:p>
        </w:tc>
      </w:tr>
    </w:tbl>
    <w:p>
      <w:pPr>
        <w:spacing w:after="0" w:before="120"/>
      </w:pPr>
      <w:r>
        <w:t xml:space="preserve"/>
      </w:r>
    </w:p>
    <w:p>
      <w:pPr>
        <w:pStyle w:val="Heading3"/>
        <w:spacing w:after="80" w:before="180"/>
      </w:pPr>
      <w:r>
        <w:rPr>
          <w:rFonts w:ascii="Arial" w:cs="Arial" w:eastAsia="Arial" w:hAnsi="Arial"/>
          <w:b/>
          <w:bCs/>
          <w:color w:val="595959"/>
          <w:sz w:val="24"/>
          <w:szCs w:val="24"/>
        </w:rPr>
        <w:t xml:space="preserve">Detection Patterns &amp; MITRE ATT&amp;CK Mappings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Pattern</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Detection Logic</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MITRE Tactic</w:t>
            </w:r>
          </w:p>
        </w:tc>
        <w:tc>
          <w:tcPr>
            <w:tcW w:type="dxa" w:w="2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Playbook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Impossible Travel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2+ abnormal_behavior events for same 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T1078 — Valid Accounts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2E75B6"/>
                <w:sz w:val="20"/>
                <w:szCs w:val="20"/>
              </w:rPr>
              <w:t xml:space="preserve">ATO-001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Privilege Escalation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Any privilege_escalation event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T1068 — Privilege Escalation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2E75B6"/>
                <w:sz w:val="20"/>
                <w:szCs w:val="20"/>
              </w:rPr>
              <w:t xml:space="preserve">PRIV-003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Dormant Account Activation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Any dormant_account event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T1098 — Account Manipulation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2E75B6"/>
                <w:sz w:val="20"/>
                <w:szCs w:val="20"/>
              </w:rPr>
              <w:t xml:space="preserve">DORM-001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Excessive Privilege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Any excessive_privilege event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T1134 — Access Token Manipulation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2E75B6"/>
                <w:sz w:val="20"/>
                <w:szCs w:val="20"/>
              </w:rPr>
              <w:t xml:space="preserve">PRIV-001</w:t>
            </w:r>
          </w:p>
        </w:tc>
      </w:tr>
    </w:tbl>
    <w:p>
      <w:pPr>
        <w:spacing w:after="0" w:before="160"/>
      </w:pPr>
      <w:r>
        <w:t xml:space="preserve"/>
      </w:r>
    </w:p>
    <w:p>
      <w:pPr>
        <w:pStyle w:val="Heading2"/>
        <w:spacing w:after="120" w:before="240"/>
      </w:pPr>
      <w:r>
        <w:rPr>
          <w:rFonts w:ascii="Arial" w:cs="Arial" w:eastAsia="Arial" w:hAnsi="Arial"/>
          <w:b/>
          <w:bCs/>
          <w:color w:val="2E75B6"/>
          <w:sz w:val="26"/>
          <w:szCs w:val="26"/>
        </w:rPr>
        <w:t xml:space="preserve">2.7  Container Security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Control</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Multi-stage builds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Build artefacts only; no toolchain in runner image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Non-root execution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adduser -S nestjs -u 1001 -G nodejs; USER nestjs in all Dockerfiles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Minimal base image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node:20-alpine (~5 MB 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PID 1 safety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dumb-init as ENTRYPOINT prevents zombie processes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Health checks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Every container has a HEALTHCHECK directive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Supply chain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npm ci --ignore-scripts; lock file committed; Prisma binaries pinned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Runtime secrets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 secrets baked into images; injected via env at runtime (Docker Compose / K8s Secrets)</w:t>
            </w:r>
          </w:p>
        </w:tc>
      </w:tr>
    </w:tbl>
    <w:p>
      <w:pPr>
        <w:spacing w:after="0" w:before="160"/>
      </w:pPr>
      <w:r>
        <w:t xml:space="preserve"/>
      </w:r>
    </w:p>
    <w:p>
      <w:pPr>
        <w:pStyle w:val="Heading2"/>
        <w:spacing w:after="120" w:before="240"/>
      </w:pPr>
      <w:r>
        <w:rPr>
          <w:rFonts w:ascii="Arial" w:cs="Arial" w:eastAsia="Arial" w:hAnsi="Arial"/>
          <w:b/>
          <w:bCs/>
          <w:color w:val="2E75B6"/>
          <w:sz w:val="26"/>
          <w:szCs w:val="26"/>
        </w:rPr>
        <w:t xml:space="preserve">2.8  Incident Response &amp; Alert Pipeline</w:t>
      </w:r>
    </w:p>
    <w:p>
      <w:pPr>
        <w:spacing w:after="60" w:before="60"/>
      </w:pPr>
      <w:r>
        <w:rPr>
          <w:rFonts w:ascii="Arial" w:cs="Arial" w:eastAsia="Arial" w:hAnsi="Arial"/>
          <w:b w:val="false"/>
          <w:bCs w:val="false"/>
          <w:color w:val="000000"/>
          <w:sz w:val="22"/>
          <w:szCs w:val="22"/>
        </w:rPr>
        <w:t xml:space="preserve">Security incidents are classified into four severity tiers with defined response-time SLAs. The ITDR pipeline automates initial detection and notification, enabling security analysts to focus on triage and response rather than detection.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60"/>
        <w:gridCol w:w="3600"/>
      </w:tblGrid>
      <w:t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Response SLA</w:t>
            </w:r>
          </w:p>
        </w:tc>
      </w:tr>
      <w:tr>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843C0C"/>
                <w:sz w:val="20"/>
                <w:szCs w:val="20"/>
              </w:rPr>
              <w:t xml:space="preserve">Critical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Active breach, data exfiltration, credential compromise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1 hour</w:t>
            </w:r>
          </w:p>
        </w:tc>
      </w:tr>
      <w:tr>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Privilege escalation, dormant account activation, ITDR alert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4 hours</w:t>
            </w:r>
          </w:p>
        </w:tc>
      </w:tr>
      <w:tr>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Policy violation, failed authentication spike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24 hours</w:t>
            </w:r>
          </w:p>
        </w:tc>
      </w:tr>
      <w:tr>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Low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Informational, low-risk configuration drift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72 hours</w:t>
            </w:r>
          </w:p>
        </w:tc>
      </w:tr>
    </w:tbl>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SOC 2 Type II — Controls Mapping  (85% Ready)</w:t>
      </w:r>
    </w:p>
    <w:p>
      <w:pPr>
        <w:spacing w:after="60" w:before="60"/>
      </w:pPr>
      <w:r>
        <w:rPr>
          <w:rFonts w:ascii="Arial" w:cs="Arial" w:eastAsia="Arial" w:hAnsi="Arial"/>
          <w:b w:val="false"/>
          <w:bCs w:val="false"/>
          <w:color w:val="000000"/>
          <w:sz w:val="22"/>
          <w:szCs w:val="22"/>
        </w:rPr>
        <w:t xml:space="preserve">IDMatr maps well to the SOC 2 Trust Services Criteria. The four open gaps are moderate in severity and none affect core security controls. The most impactful is the absence of encrypted NATS traffic (CC6.7), which is shared with other frameworks.</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3.1.1  Security — CC6 (Logical &amp; Physical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600"/>
        <w:gridCol w:w="3960"/>
      </w:tblGrid>
      <w:tr>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Control</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3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Evidence / Note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CC6.1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Logical access security measures</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JWT auth guard on all routes; JwtStrategy validates JWT_SECRET at startup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CC6.2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System component access restricted</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TenantMiddleware enforces tenantId isolation on every request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CC6.3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Access removed when no longer required</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AccessGrant status: revoked/expired; expiresAt field on all grants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CC6.6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Logical access from outside boundary</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API Gateway is sole ingress; all internal services on private NATS bus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CC6.7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Transmission encrypted</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PARTIAL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Internal NATS traffic not TLS-encrypted in default config — Gap #1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CC6.8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Malicious software prevented</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PARTIAL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No antivirus/EDR in container runtime — Gap #2</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3.1.2  Availability (A1) &amp; Confidentiality (C1) &amp; Processing Integrity (PI1)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600"/>
        <w:gridCol w:w="3960"/>
      </w:tblGrid>
      <w:tr>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Control</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3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Evidence / Note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A1.1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Capacity management</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Docker health checks; all containers expose /health endpoints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A1.2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Environmental protections</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dumb-init PID1; non-root container users (uid 1001)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A1.3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Backup and recovery</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18"/>
                <w:szCs w:val="18"/>
              </w:rPr>
              <w:t xml:space="preserve">NOT IMPLEMENTED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No documented backup procedure — Gap #3</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C1.1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Confidential information identified</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PII fields isolated per-tenant; metadata JSON columns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C1.2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Confidential information protected</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Database-level tenant isolation; no plaintext secrets in code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PI1.1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Complete and accurate processing</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Audit log created for every state-changing operation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PI1.2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Outputs complete and accurate</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Prisma transactions ensure atomic writes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P1.1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Privacy notice</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18"/>
                <w:szCs w:val="18"/>
              </w:rPr>
              <w:t xml:space="preserve">NOT IMPLEMENTED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No privacy notice endpoint — Gap #4</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P4.2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Sensitive data handling</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Passwords hashed with bcryptjs (cost factor 12) before storage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P6.1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Consent for data collection</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PARTIAL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Not enforced at API layer for third-party connector data</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3.1.3  SOC 2 Open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200"/>
        <w:gridCol w:w="4560"/>
      </w:tblGrid>
      <w:tr>
        <w:tc>
          <w:tcPr>
            <w:tcW w:type="dxa" w:w="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 Description</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Remediation Action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G1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NATS internal traffic not TLS-encrypted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Enable NATS TLS in docker-compose.yml; configure tls: block in nats.conf</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G2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 runtime container security scanning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Integrate Falco or Trivy in CI/CD pipeline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G3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 backup/recovery procedure documented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Define PostgreSQL backup schedule (pg_dump or pgBackRest); test restore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G4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 privacy notice / data processing disclosure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Add GET /api/privacy endpoint returning data handling policy</w:t>
            </w:r>
          </w:p>
        </w:tc>
      </w:tr>
    </w:tbl>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ISO/IEC 27001:2022 — Controls Mapping  (82% Ready)</w:t>
      </w:r>
    </w:p>
    <w:p>
      <w:pPr>
        <w:spacing w:after="60" w:before="60"/>
      </w:pPr>
      <w:r>
        <w:rPr>
          <w:rFonts w:ascii="Arial" w:cs="Arial" w:eastAsia="Arial" w:hAnsi="Arial"/>
          <w:b w:val="false"/>
          <w:bCs w:val="false"/>
          <w:color w:val="000000"/>
          <w:sz w:val="22"/>
          <w:szCs w:val="22"/>
        </w:rPr>
        <w:t xml:space="preserve">IDMatr aligns strongly with ISO/IEC 27001:2022 Annex A technological controls. The six gaps are predominantly organisational — security awareness training, formal risk treatment documentation, and SLA/RTO/RPO definitions — rather than technical deficiencies in the platform itself.</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3.2.1  Annex A — Organisational Controls (A.5)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760"/>
        <w:gridCol w:w="220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Control</w:t>
            </w:r>
          </w:p>
        </w:tc>
        <w:tc>
          <w:tcPr>
            <w:tcW w:type="dxa" w:w="5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A.5.2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Information security roles defined</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A.5.9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Inventory of information assets</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A.5.12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Classification of information</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PARTIAL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A.5.33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Protection of records</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3.2.2  Annex A — People &amp; Physical Controls (A.6, A.7)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760"/>
        <w:gridCol w:w="220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Control</w:t>
            </w:r>
          </w:p>
        </w:tc>
        <w:tc>
          <w:tcPr>
            <w:tcW w:type="dxa" w:w="5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A.6.3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Information security awareness training</w:t>
            </w:r>
          </w:p>
        </w:tc>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18"/>
                <w:szCs w:val="18"/>
              </w:rPr>
              <w:t xml:space="preserve">NOT IMPLEMENTED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A.7.1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Physical security perimeters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N/A (cloud-native)</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3.2.3  Annex A — Technological Controls (A.8)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760"/>
        <w:gridCol w:w="220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Control</w:t>
            </w:r>
          </w:p>
        </w:tc>
        <w:tc>
          <w:tcPr>
            <w:tcW w:type="dxa" w:w="5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A.8.2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Privileged access rights</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A.8.3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Information access restriction</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A.8.4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Access to source code</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PARTIAL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A.8.5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Secure authentication</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A.8.7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Protection against malware</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PARTIAL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A.8.12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Data leakage prevention</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A.8.15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Logging</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A.8.16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Monitoring activities</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PARTIAL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A.8.24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Use of cryptography</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A.8.28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Secure coding</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A.8.32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Change management</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PARTIAL</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3.2.4  ISO 27001 Open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200"/>
        <w:gridCol w:w="4560"/>
      </w:tblGrid>
      <w:tr>
        <w:tc>
          <w:tcPr>
            <w:tcW w:type="dxa" w:w="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 Description</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Remediation Action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G1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 security awareness training programme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Define training policy; link to HR onboarding process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G2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Docker images not signed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Implement Docker Content Trust (DOCKER_CONTENT_TRUST=1)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G3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 runtime malware protection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Integrate Falco for container anomaly detection in CI/CD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G4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 SIEM integration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Forward audit logs to SIEM platform (Elastic, Splunk, or Wazuh)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G5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 formal risk treatment plan document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Create risk register derived from risk-engine scoring data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G6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 SLA/RTO/RPO documentation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Define recovery objectives; document in operational runbook</w:t>
            </w:r>
          </w:p>
        </w:tc>
      </w:tr>
    </w:tbl>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PCI-DSS v4.0 — Controls Mapping  (74% Ready)</w:t>
      </w:r>
    </w:p>
    <w:p>
      <w:pPr>
        <w:spacing w:after="60" w:before="60"/>
      </w:pPr>
      <w:r>
        <w:rPr>
          <w:rFonts w:ascii="Arial" w:cs="Arial" w:eastAsia="Arial" w:hAnsi="Arial"/>
          <w:b w:val="false"/>
          <w:bCs w:val="false"/>
          <w:color w:val="000000"/>
          <w:sz w:val="22"/>
          <w:szCs w:val="22"/>
        </w:rPr>
        <w:t xml:space="preserve">IDMatr does not process cardholder data (CHD) directly. However, when deployed in a PCI-DSS environment to manage access to systems that handle payment card data, the following requirements apply. At 74% readiness, four high-severity gaps — absent MFA, password complexity policy, penetration testing, and incident response plan — require immediate attention.</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3.3.1  Applicable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400"/>
        <w:gridCol w:w="39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3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Evidence / Note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Req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Apply secure configurations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Non-root containers; no default credentials in code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Req 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Restrict access to system components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RBAC enforced; least-privilege role model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Req 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Identify users and authenticate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JWT auth; unique user IDs; 8h session expiry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Req 8.2.6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Dormant accounts disabled</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Dormant account detection built into risk engine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Req 8.3.6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Password complexity</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PARTIAL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bcrypt used but no minimum complexity enforced at API — Gap #1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Req 8.6.1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Interactive account usage logged</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All logins and access changes recorded in AuditLog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Req 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Log and monitor all access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Comprehensive audit logging with IP, UserAgent, timestamp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Req 10.3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Log tampering protection</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PARTIAL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No append-only log storage at DB level — Gap #2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Req 11.3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Penetration testing</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18"/>
                <w:szCs w:val="18"/>
              </w:rPr>
              <w:t xml:space="preserve">NOT IMPLEMENTED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No pentest conducted — Gap #3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Req 12.3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Targeted risk analysis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Risk engine calculates per-identity risk scores</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3.3.2  PCI-DSS Open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200"/>
        <w:gridCol w:w="4560"/>
      </w:tblGrid>
      <w:tr>
        <w:tc>
          <w:tcPr>
            <w:tcW w:type="dxa" w:w="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 Description</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Remediation Action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G1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 password complexity policy enforced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Add class-validator @MinLength(12) @Matches(/[A-Z].*[0-9]/) on password field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G2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Audit logs deletable by DB administrator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Apply PostgreSQL row security policy; revoke DELETE on AuditLog table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G3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 penetration test conducted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Schedule annual pentest; document scope covering API gateway and auth flows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G4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 network segmentation diagram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Document VLAN/security group topology for production deployment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G5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MFA not enforced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Add TOTP/WebAuthn second factor to authentication flow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G6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Vulnerability scanning not scheduled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Integrate Trivy in CI pipeline; schedule quarterly NVD scans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G7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Encryption key rotation procedure not defined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Document JWT secret rotation procedure; automate with secret manager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G8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 incident response plan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Write IR playbook referencing ITDR response workflows in risk-engine</w:t>
            </w:r>
          </w:p>
        </w:tc>
      </w:tr>
    </w:tbl>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GDPR — Controls Mapping  (88% Ready)</w:t>
      </w:r>
    </w:p>
    <w:p>
      <w:pPr>
        <w:spacing w:after="60" w:before="60"/>
      </w:pPr>
      <w:r>
        <w:rPr>
          <w:rFonts w:ascii="Arial" w:cs="Arial" w:eastAsia="Arial" w:hAnsi="Arial"/>
          <w:b w:val="false"/>
          <w:bCs w:val="false"/>
          <w:color w:val="000000"/>
          <w:sz w:val="22"/>
          <w:szCs w:val="22"/>
        </w:rPr>
        <w:t xml:space="preserve">IDMatr's multi-tenant isolation architecture is well-aligned with GDPR's privacy-by-design requirements (Art. 25). At 88%, this is the strongest framework score. The three remaining gaps — data subject information notice, right to erasure, and data portability — are all API-layer features that can be implemented with relatively low engineering effort.</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3.4.1  Key Articles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600"/>
        <w:gridCol w:w="3960"/>
      </w:tblGrid>
      <w:tr>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Article</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3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Evidence / Note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Art.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Principles of processing (lawfulness, purpose limitation)</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tenantId isolation; data only processed for tenant's stated purpose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Art. 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Lawful basis for processing</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PARTIAL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Connector scanning collects employee data; consent/contract basis must be documented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Art. 13/14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Information to data subjects</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18"/>
                <w:szCs w:val="18"/>
              </w:rPr>
              <w:t xml:space="preserve">NOT IMPLEMENTED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No privacy notice endpoint — Gap #1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Art. 17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Right to erasure</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PARTIAL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No delete-user endpoint — Gap #2</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Art. 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Data portability</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PARTIAL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No export-user-data endpoint — Gap #3</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Art. 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Privacy by design</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Multi-tenant isolation; minimal data collection in discovery service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Art. 30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Records of processing activities</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AuditLog provides full processing activity record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Art. 32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Security of processing</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Encryption at rest, TLS in transit, JWT, bcrypt password hashing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Art. 33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Breach notification</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ITDR threat detection enables rapid breach identification; Notification service for alerting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Art. 35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Data Protection Impact Assessment</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PARTIAL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Risk engine provides technical assessment; formal DPIA document required</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3.4.2  GDPR Open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200"/>
        <w:gridCol w:w="4560"/>
      </w:tblGrid>
      <w:tr>
        <w:tc>
          <w:tcPr>
            <w:tcW w:type="dxa" w:w="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 Description</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Remediation Action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G1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 data subject information notice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Add GET /api/privacy-notice; document all data categories collected per connector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G2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 right-to-erasure (delete user) endpoint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Implement DELETE /api/identities/:id with cascade delete of all PII fields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G3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 data portability export endpoint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Implement GET /api/identities/:id/export returning JSON/CSV of all user data</w:t>
            </w:r>
          </w:p>
        </w:tc>
      </w:tr>
    </w:tbl>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HIPAA — Controls Mapping  (71% Ready)</w:t>
      </w:r>
    </w:p>
    <w:p>
      <w:pPr>
        <w:spacing w:after="60" w:before="60"/>
      </w:pPr>
      <w:r>
        <w:rPr>
          <w:rFonts w:ascii="Arial" w:cs="Arial" w:eastAsia="Arial" w:hAnsi="Arial"/>
          <w:b w:val="false"/>
          <w:bCs w:val="false"/>
          <w:color w:val="000000"/>
          <w:sz w:val="22"/>
          <w:szCs w:val="22"/>
        </w:rPr>
        <w:t xml:space="preserve">HIPAA applies if IDMatr is used to manage access to systems containing Protected Health Information (PHI). At 71%, this is the lowest readiness score, driven primarily by nine open gaps across both administrative and technical safeguards. Four gaps are classified HIGH severity and must be addressed before any deployment in a healthcare or life-sciences context.</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3.5.1  Administrative Safeguards (§164.308)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Standard</w:t>
            </w:r>
          </w:p>
        </w:tc>
        <w:tc>
          <w:tcPr>
            <w:tcW w:type="dxa" w:w="5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§164.308(a)(1)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Risk analysis</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§164.308(a)(3)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Workforce clearance</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PARTIAL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§164.308(a)(4)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Access management</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§164.308(a)(5)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Security awareness training</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18"/>
                <w:szCs w:val="18"/>
              </w:rPr>
              <w:t xml:space="preserve">NOT IMPLEMENTED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§164.308(a)(6)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Security incident procedures</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3.5.2  Technical Safeguards (§164.312)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Standard</w:t>
            </w:r>
          </w:p>
        </w:tc>
        <w:tc>
          <w:tcPr>
            <w:tcW w:type="dxa" w:w="5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§164.312(a)(1)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Unique user identification</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§164.312(a)(2)(i)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Emergency access procedure</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18"/>
                <w:szCs w:val="18"/>
              </w:rPr>
              <w:t xml:space="preserve">NOT IMPLEMENTED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§164.312(a)(2)(iii)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Automatic logoff</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PARTIAL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§164.312(b)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Audit controls</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§164.312(c)(1)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Integrity controls</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PARTIAL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§164.312(d)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Person authentication</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IMPLEMENTED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2E75B6"/>
                <w:sz w:val="20"/>
                <w:szCs w:val="20"/>
              </w:rPr>
              <w:t xml:space="preserve">§164.312(e)(1)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Transmission security</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PARTIAL</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3.5.3  HIPAA Open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200"/>
        <w:gridCol w:w="4560"/>
      </w:tblGrid>
      <w:tr>
        <w:tc>
          <w:tcPr>
            <w:tcW w:type="dxa" w:w="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 Description</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Remediation Action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G1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 security awareness training records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Implement training tracking module or integrate with LMS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G2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 emergency access (break-glass) procedure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Define break-glass account procedure; document in operational runbook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G3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 automatic session idle timeout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Add Redis-backed session tracking with 15-minute idle timeout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G4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 TLS on internal NATS bus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Enable NATS TLS with mTLS between all internal services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G5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Audit records not digitally signed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Add HMAC signature to AuditLog records at write time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G6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 Minimum Necessary standard enforcement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Implement field-level access control on PHI attributes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G7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 Business Associate Agreement (BAA) template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Legal team to prepare BAA for customers using IDMatr with PHI systems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G8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 HIPAA-specific data classification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Tag fields containing PHI in data model documentation and API schema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G9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Audit log retention policy not defined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Define 6-year log retention; implement archival to cold storage</w:t>
            </w:r>
          </w:p>
        </w:tc>
      </w:tr>
    </w:tbl>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Implemented Security Controls Summary</w:t>
      </w:r>
    </w:p>
    <w:p>
      <w:pPr>
        <w:spacing w:after="60" w:before="60"/>
      </w:pPr>
      <w:r>
        <w:rPr>
          <w:rFonts w:ascii="Arial" w:cs="Arial" w:eastAsia="Arial" w:hAnsi="Arial"/>
          <w:b w:val="false"/>
          <w:bCs w:val="false"/>
          <w:color w:val="000000"/>
          <w:sz w:val="22"/>
          <w:szCs w:val="22"/>
        </w:rPr>
        <w:t xml:space="preserve">The following core controls are fully implemented and provide the compliance foundation across all five assessed frameworks. These represent the platform's security strengths.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Control Category</w:t>
            </w:r>
          </w:p>
        </w:tc>
        <w:tc>
          <w:tcPr>
            <w:tcW w:type="dxa" w:w="6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Authentication &amp; Authorisation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JWT-based auth with configurable secret and expiry. Passport JWT strategy enforces JWT_SECRET at startup. Role-Based Access Control via Role → Permission → AccessGrant model. Separate admin (control-plane) and tenant (API gateway) authentication boundaries.</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Multi-Tenant Isolation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tenantId field on every data model in every service. All ORM queries include WHERE tenantId = ? enforced by service layer. TenantMiddleware resolves tenantId from header, JWT claim, or subdomain. Compound unique constraints prevent cross-tenant identity collisions.</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Audit Logging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AuditLog captures: tenantId, actorId, actorType, action, targetId, targetType, status, ipAddress, userAgent, timestamp. Composite index on (tenantId, timestamp). Immutable by design — no update/delete endpoint.</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Threat Detection (ITDR)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Risk scoring engine with weighted severity model. Pattern detection: impossible travel, privilege escalation, dormant account activation, excessive privilege. MITRE ATT&amp;CK tactic mapping for all threat types. Automated playbook assignment per threat type.</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Access Lifecycle Management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Access grants with expiresAt for automatic expiry. Status lifecycle: revoked/expired/active. JML (Joiner/Mover/Leaver) workflow via Governance service. Certification campaigns for periodic access review.</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Discovery &amp; Shadow 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Connectors: Google Workspace, Microsoft 365, Slack, GitHub. OAuth app discovery via Google Reports API. Shadow IT classification (shadow-it status) for unrecognised OAuth apps. Connector health tracking with last-scan timestamp.</w:t>
            </w:r>
          </w:p>
        </w:tc>
      </w:tr>
    </w:tbl>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Risk Prioritisation &amp; Remediation Roadmap</w:t>
      </w:r>
    </w:p>
    <w:p>
      <w:pPr>
        <w:pStyle w:val="Heading2"/>
        <w:spacing w:after="120" w:before="240"/>
      </w:pPr>
      <w:r>
        <w:rPr>
          <w:rFonts w:ascii="Arial" w:cs="Arial" w:eastAsia="Arial" w:hAnsi="Arial"/>
          <w:b/>
          <w:bCs/>
          <w:color w:val="2E75B6"/>
          <w:sz w:val="26"/>
          <w:szCs w:val="26"/>
        </w:rPr>
        <w:t xml:space="preserve">5.1  Risk Prioritisation Matrix</w:t>
      </w:r>
    </w:p>
    <w:p>
      <w:pPr>
        <w:spacing w:after="60" w:before="60"/>
      </w:pPr>
      <w:r>
        <w:rPr>
          <w:rFonts w:ascii="Arial" w:cs="Arial" w:eastAsia="Arial" w:hAnsi="Arial"/>
          <w:b w:val="false"/>
          <w:bCs w:val="false"/>
          <w:color w:val="000000"/>
          <w:sz w:val="22"/>
          <w:szCs w:val="22"/>
        </w:rPr>
        <w:t xml:space="preserve">Items are prioritised P1 (critical — address immediately), P2 (important — address within 90 days), and P3 (moderate — address within 180 days), weighted by number of frameworks affected, severity, and implementation effort.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800"/>
        <w:gridCol w:w="1360"/>
        <w:gridCol w:w="800"/>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3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Frameworks Affected</w:t>
            </w:r>
          </w:p>
        </w:tc>
        <w:tc>
          <w:tcPr>
            <w:tcW w:type="dxa" w:w="1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20"/>
                <w:szCs w:val="20"/>
              </w:rPr>
              <w:t xml:space="preserve">P1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MFA not enforced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PCI-DSS, HIPAA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PARTIAL</w:t>
            </w:r>
          </w:p>
        </w:tc>
      </w:tr>
      <w:tr>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20"/>
                <w:szCs w:val="20"/>
              </w:rPr>
              <w:t xml:space="preserve">P1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NATS internal traffic not encrypted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SOC 2, ISO 27001, HIPAA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Medium</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PARTIAL</w:t>
            </w:r>
          </w:p>
        </w:tc>
      </w:tr>
      <w:tr>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20"/>
                <w:szCs w:val="20"/>
              </w:rPr>
              <w:t xml:space="preserve">P1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 right-to-erasure endpoint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GDPR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Low</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PARTIAL</w:t>
            </w:r>
          </w:p>
        </w:tc>
      </w:tr>
      <w:tr>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20"/>
                <w:szCs w:val="20"/>
              </w:rPr>
              <w:t xml:space="preserve">P1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Password complexity not enforced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PCI-DSS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Low</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PARTIAL</w:t>
            </w:r>
          </w:p>
        </w:tc>
      </w:tr>
      <w:tr>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20"/>
                <w:szCs w:val="20"/>
              </w:rPr>
              <w:t xml:space="preserve">P2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 penetration test conducted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PCI-DSS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PARTIAL</w:t>
            </w:r>
          </w:p>
        </w:tc>
      </w:tr>
      <w:tr>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20"/>
                <w:szCs w:val="20"/>
              </w:rPr>
              <w:t xml:space="preserve">P2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Audit log append-only enforcement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PCI-DSS, HIPAA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Low</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PARTIAL</w:t>
            </w:r>
          </w:p>
        </w:tc>
      </w:tr>
      <w:tr>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20"/>
                <w:szCs w:val="20"/>
              </w:rPr>
              <w:t xml:space="preserve">P2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 SIEM integration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ISO 27001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Medium</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PARTIAL</w:t>
            </w:r>
          </w:p>
        </w:tc>
      </w:tr>
      <w:tr>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20"/>
                <w:szCs w:val="20"/>
              </w:rPr>
              <w:t xml:space="preserve">P2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Data portability export endpoint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GDPR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Low</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PARTIAL</w:t>
            </w:r>
          </w:p>
        </w:tc>
      </w:tr>
      <w:tr>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P3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Database backup procedure documented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SOC 2</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Low</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PARTIAL</w:t>
            </w:r>
          </w:p>
        </w:tc>
      </w:tr>
      <w:tr>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P3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Incident response plan written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595959"/>
                <w:sz w:val="20"/>
                <w:szCs w:val="20"/>
              </w:rPr>
              <w:t xml:space="preserve">PCI-DSS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Low</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PARTIAL</w:t>
            </w:r>
          </w:p>
        </w:tc>
      </w:tr>
    </w:tbl>
    <w:p>
      <w:pPr>
        <w:spacing w:after="0" w:before="160"/>
      </w:pPr>
      <w:r>
        <w:t xml:space="preserve"/>
      </w:r>
    </w:p>
    <w:p>
      <w:pPr>
        <w:pStyle w:val="Heading2"/>
        <w:spacing w:after="120" w:before="240"/>
      </w:pPr>
      <w:r>
        <w:rPr>
          <w:rFonts w:ascii="Arial" w:cs="Arial" w:eastAsia="Arial" w:hAnsi="Arial"/>
          <w:b/>
          <w:bCs/>
          <w:color w:val="2E75B6"/>
          <w:sz w:val="26"/>
          <w:szCs w:val="26"/>
        </w:rPr>
        <w:t xml:space="preserve">5.2  Remediation Roadmap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9360"/>
            <w:gridSpan w:val="2"/>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r>
              <w:rPr>
                <w:rFonts w:ascii="Arial" w:cs="Arial" w:eastAsia="Arial" w:hAnsi="Arial"/>
                <w:b/>
                <w:bCs/>
                <w:color w:val="843C0C"/>
                <w:sz w:val="24"/>
                <w:szCs w:val="24"/>
              </w:rPr>
              <w:t xml:space="preserve">Immediate  </w:t>
            </w:r>
            <w:r>
              <w:rPr>
                <w:rFonts w:ascii="Arial" w:cs="Arial" w:eastAsia="Arial" w:hAnsi="Arial"/>
                <w:color w:val="595959"/>
                <w:sz w:val="22"/>
                <w:szCs w:val="22"/>
              </w:rPr>
              <w:t xml:space="preserve">(0–30 days)</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843C0C"/>
                <w:sz w:val="20"/>
                <w:szCs w:val="20"/>
              </w:rPr>
              <w:t xml:space="preserve">1.</w:t>
            </w:r>
          </w:p>
        </w:tc>
        <w:tc>
          <w:tcPr>
            <w:tcW w:type="dxa" w:w="8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Enable NATS TLS — update docker-compose.yml with TLS cert volumes and configure nats.conf</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843C0C"/>
                <w:sz w:val="20"/>
                <w:szCs w:val="20"/>
              </w:rPr>
              <w:t xml:space="preserve">2.</w:t>
            </w:r>
          </w:p>
        </w:tc>
        <w:tc>
          <w:tcPr>
            <w:tcW w:type="dxa" w:w="8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Implement DELETE /api/identities/:id with cascade delete of all PII fields (GDPR right to erasure)</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843C0C"/>
                <w:sz w:val="20"/>
                <w:szCs w:val="20"/>
              </w:rPr>
              <w:t xml:space="preserve">3.</w:t>
            </w:r>
          </w:p>
        </w:tc>
        <w:tc>
          <w:tcPr>
            <w:tcW w:type="dxa" w:w="8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Add password complexity validation (class-validator) in auth service</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843C0C"/>
                <w:sz w:val="20"/>
                <w:szCs w:val="20"/>
              </w:rPr>
              <w:t xml:space="preserve">4.</w:t>
            </w:r>
          </w:p>
        </w:tc>
        <w:tc>
          <w:tcPr>
            <w:tcW w:type="dxa" w:w="8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Document database backup schedule and test restore procedure</w:t>
            </w:r>
          </w:p>
        </w:tc>
      </w:tr>
      <w:tr>
        <w:tc>
          <w:tcPr>
            <w:tcW w:type="dxa" w:w="9360"/>
            <w:gridSpan w:val="2"/>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r>
              <w:rPr>
                <w:rFonts w:ascii="Arial" w:cs="Arial" w:eastAsia="Arial" w:hAnsi="Arial"/>
                <w:b/>
                <w:bCs/>
                <w:color w:val="7F6000"/>
                <w:sz w:val="24"/>
                <w:szCs w:val="24"/>
              </w:rPr>
              <w:t xml:space="preserve">Short-term  </w:t>
            </w:r>
            <w:r>
              <w:rPr>
                <w:rFonts w:ascii="Arial" w:cs="Arial" w:eastAsia="Arial" w:hAnsi="Arial"/>
                <w:color w:val="595959"/>
                <w:sz w:val="22"/>
                <w:szCs w:val="22"/>
              </w:rPr>
              <w:t xml:space="preserve">(30–90 days)</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7F6000"/>
                <w:sz w:val="20"/>
                <w:szCs w:val="20"/>
              </w:rPr>
              <w:t xml:space="preserve">1.</w:t>
            </w:r>
          </w:p>
        </w:tc>
        <w:tc>
          <w:tcPr>
            <w:tcW w:type="dxa" w:w="8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Implement MFA (TOTP) — add authenticator field to User model; enforce on login</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7F6000"/>
                <w:sz w:val="20"/>
                <w:szCs w:val="20"/>
              </w:rPr>
              <w:t xml:space="preserve">2.</w:t>
            </w:r>
          </w:p>
        </w:tc>
        <w:tc>
          <w:tcPr>
            <w:tcW w:type="dxa" w:w="8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Make audit log append-only (PostgreSQL row security + revoke DELETE privilege)</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7F6000"/>
                <w:sz w:val="20"/>
                <w:szCs w:val="20"/>
              </w:rPr>
              <w:t xml:space="preserve">3.</w:t>
            </w:r>
          </w:p>
        </w:tc>
        <w:tc>
          <w:tcPr>
            <w:tcW w:type="dxa" w:w="8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Integrate Trivy vulnerability scanning into Docker build CI pipeline</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7F6000"/>
                <w:sz w:val="20"/>
                <w:szCs w:val="20"/>
              </w:rPr>
              <w:t xml:space="preserve">4.</w:t>
            </w:r>
          </w:p>
        </w:tc>
        <w:tc>
          <w:tcPr>
            <w:tcW w:type="dxa" w:w="8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Write incident response playbook referencing ITDR workflows</w:t>
            </w:r>
          </w:p>
        </w:tc>
      </w:tr>
      <w:tr>
        <w:tc>
          <w:tcPr>
            <w:tcW w:type="dxa" w:w="9360"/>
            <w:gridSpan w:val="2"/>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24"/>
                <w:szCs w:val="24"/>
              </w:rPr>
              <w:t xml:space="preserve">Medium-term  </w:t>
            </w:r>
            <w:r>
              <w:rPr>
                <w:rFonts w:ascii="Arial" w:cs="Arial" w:eastAsia="Arial" w:hAnsi="Arial"/>
                <w:color w:val="595959"/>
                <w:sz w:val="22"/>
                <w:szCs w:val="22"/>
              </w:rPr>
              <w:t xml:space="preserve">(90–180 days)</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375623"/>
                <w:sz w:val="20"/>
                <w:szCs w:val="20"/>
              </w:rPr>
              <w:t xml:space="preserve">1.</w:t>
            </w:r>
          </w:p>
        </w:tc>
        <w:tc>
          <w:tcPr>
            <w:tcW w:type="dxa" w:w="8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SIEM integration — ship AuditLog events to Elastic/Splunk/Wazuh</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375623"/>
                <w:sz w:val="20"/>
                <w:szCs w:val="20"/>
              </w:rPr>
              <w:t xml:space="preserve">2.</w:t>
            </w:r>
          </w:p>
        </w:tc>
        <w:tc>
          <w:tcPr>
            <w:tcW w:type="dxa" w:w="8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Data portability export endpoint (GET /api/identities/:id/export)</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375623"/>
                <w:sz w:val="20"/>
                <w:szCs w:val="20"/>
              </w:rPr>
              <w:t xml:space="preserve">3.</w:t>
            </w:r>
          </w:p>
        </w:tc>
        <w:tc>
          <w:tcPr>
            <w:tcW w:type="dxa" w:w="8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Schedule and execute formal penetration test engagement</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375623"/>
                <w:sz w:val="20"/>
                <w:szCs w:val="20"/>
              </w:rPr>
              <w:t xml:space="preserve">4.</w:t>
            </w:r>
          </w:p>
        </w:tc>
        <w:tc>
          <w:tcPr>
            <w:tcW w:type="dxa" w:w="8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Prepare formal DPIA documentation for each connector data source</w:t>
            </w:r>
          </w:p>
        </w:tc>
      </w:tr>
    </w:tbl>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Document Notes</w:t>
      </w:r>
    </w:p>
    <w:p>
      <w:pPr>
        <w:spacing w:after="60" w:before="60"/>
      </w:pPr>
      <w:r>
        <w:rPr>
          <w:rFonts w:ascii="Arial" w:cs="Arial" w:eastAsia="Arial" w:hAnsi="Arial"/>
          <w:b w:val="false"/>
          <w:bCs w:val="false"/>
          <w:color w:val="000000"/>
          <w:sz w:val="22"/>
          <w:szCs w:val="22"/>
        </w:rPr>
        <w:t xml:space="preserve">This report was generated from automated codebase analysis of the IDMatr platform (version 1.0.0) on 13 March 2026. Control status reflects code-level implementation as observed in the platform source. Operational procedures, vendor agreements, and organisational policies require separate validation and are not assessed here.</w:t>
      </w:r>
    </w:p>
    <w:p>
      <w:pPr>
        <w:spacing w:after="0" w:before="80"/>
      </w:pPr>
      <w:r>
        <w:t xml:space="preserve"/>
      </w:r>
    </w:p>
    <w:p>
      <w:pPr>
        <w:spacing w:after="60" w:before="60"/>
      </w:pPr>
      <w:r>
        <w:rPr>
          <w:rFonts w:ascii="Arial" w:cs="Arial" w:eastAsia="Arial" w:hAnsi="Arial"/>
          <w:b w:val="false"/>
          <w:bCs w:val="false"/>
          <w:color w:val="000000"/>
          <w:sz w:val="22"/>
          <w:szCs w:val="22"/>
        </w:rPr>
        <w:t xml:space="preserve">The compliance readiness percentages represent the proportion of formally assessed controls that are fully implemented. Partial implementations are counted as 50% credit toward readiness. Not-implemented controls receive 0% credit.</w:t>
      </w:r>
    </w:p>
    <w:p>
      <w:pPr>
        <w:spacing w:after="0" w:before="80"/>
      </w:pPr>
      <w:r>
        <w:t xml:space="preserve"/>
      </w:r>
    </w:p>
    <w:p>
      <w:pPr>
        <w:spacing w:after="60" w:before="60"/>
      </w:pPr>
      <w:r>
        <w:rPr>
          <w:rFonts w:ascii="Arial" w:cs="Arial" w:eastAsia="Arial" w:hAnsi="Arial"/>
          <w:b w:val="false"/>
          <w:bCs w:val="false"/>
          <w:color w:val="000000"/>
          <w:sz w:val="22"/>
          <w:szCs w:val="22"/>
        </w:rPr>
        <w:t xml:space="preserve">This document is classified Internal — Security &amp; Finance-Legal Team and should not be distributed outside the organisation without explicit approval from the platform security owner.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595959"/>
        <w:sz w:val="18"/>
        <w:szCs w:val="18"/>
      </w:rPr>
      <w:t xml:space="preserve">IDMatr v1.0.0  |  13 March 2026</w:t>
    </w:r>
    <w:r>
      <w:rPr>
        <w:rFonts w:ascii="Arial" w:cs="Arial" w:eastAsia="Arial" w:hAnsi="Arial"/>
        <w:sz w:val="18"/>
        <w:szCs w:val="18"/>
      </w:rPr>
      <w:t xml:space="preserve">	</w:t>
    </w: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595959"/>
        <w:sz w:val="18"/>
        <w:szCs w:val="18"/>
      </w:rPr>
      <w:t xml:space="preserve">IDMatr — Security &amp; Compliance Readiness Report</w:t>
    </w:r>
    <w:r>
      <w:rPr>
        <w:rFonts w:ascii="Arial" w:cs="Arial" w:eastAsia="Arial" w:hAnsi="Arial"/>
        <w:sz w:val="18"/>
        <w:szCs w:val="18"/>
      </w:rPr>
      <w:t xml:space="preserve">	</w:t>
    </w:r>
    <w:r>
      <w:rPr>
        <w:rFonts w:ascii="Arial" w:cs="Arial" w:eastAsia="Arial" w:hAnsi="Arial"/>
        <w:b/>
        <w:bCs/>
        <w:color w:val="843C0C"/>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2026-03-13T18:18:25.224Z</dcterms:created>
  <dcterms:modified xsi:type="dcterms:W3CDTF">2026-03-13T18:18:25.225Z</dcterms:modified>
</cp:coreProperties>
</file>

<file path=docProps/custom.xml><?xml version="1.0" encoding="utf-8"?>
<Properties xmlns="http://schemas.openxmlformats.org/officeDocument/2006/custom-properties" xmlns:vt="http://schemas.openxmlformats.org/officeDocument/2006/docPropsVTypes"/>
</file>