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Ind w:type="dxa" w:w="120"/>
      </w:tblPr>
      <w:tblGrid>
        <w:gridCol w:w="9360"/>
      </w:tblGrid>
      <w:tr>
        <w:trPr>
          <w:cantSplit w:val="0"/>
          <w:tblHeader w:val="0"/>
        </w:trPr>
        <w:tc>
          <w:tcPr>
            <w:tcW w:type="dxa" w:w="9360"/>
            <w:tcBorders>
              <w:top w:color="000000" w:space="0" w:sz="24" w:val="single"/>
              <w:left w:color="000000" w:space="0" w:sz="0" w:val="nil"/>
              <w:right w:color="000000" w:space="0" w:sz="0" w:val="nil"/>
            </w:tcBorders>
            <w:shd w:fill="auto" w:val="clear"/>
            <w:tcMar>
              <w:top w:w="80" w:type="dxa"/>
              <w:left w:w="0" w:type="dxa"/>
              <w:bottom w:w="80" w:type="dxa"/>
              <w:right w:w="0" w:type="dxa"/>
              <w:start w:w="120" w:type="dxa"/>
              <w:end w:w="12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r>
              <w:rPr>
                <w:rFonts w:ascii="Old Standard TT" w:hAnsi="Old Standard TT"/>
                <w:b/>
                <w:sz w:val="40"/>
              </w:rPr>
              <w:t>Does AI Wellbeing Survive Translation?</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W w:type="dxa" w:w="9360"/>
            <w:tcBorders>
              <w:left w:color="000000" w:space="0" w:sz="0" w:val="nil"/>
              <w:bottom w:color="000000" w:space="0" w:sz="0" w:val="nil"/>
              <w:right w:color="000000" w:space="0" w:sz="0" w:val="nil"/>
            </w:tcBorders>
            <w:shd w:fill="auto" w:val="clear"/>
            <w:tcMar>
              <w:top w:w="80" w:type="dxa"/>
              <w:left w:w="0" w:type="dxa"/>
              <w:bottom w:w="80" w:type="dxa"/>
              <w:right w:w="0" w:type="dxa"/>
              <w:start w:w="120" w:type="dxa"/>
              <w:end w:w="120" w:type="dxa"/>
            </w:tcMar>
            <w:vAlign w:val="top"/>
          </w:tcPr>
          <w:p w:rsidR="00000000" w:rsidDel="00000000" w:rsidP="00000000" w:rsidRDefault="00000000" w:rsidRPr="00000000" w14:paraId="00000005">
            <w:pPr>
              <w:spacing w:after="320" w:line="240" w:lineRule="auto" w:before="240"/>
              <w:jc w:val="center"/>
              <w:rPr>
                <w:rFonts w:ascii="Old Standard TT" w:cs="Old Standard TT" w:eastAsia="Old Standard TT" w:hAnsi="Old Standard TT"/>
                <w:sz w:val="2"/>
                <w:szCs w:val="2"/>
              </w:rPr>
            </w:pPr>
            <w:r>
              <w:rPr>
                <w:rFonts w:ascii="Old Standard TT" w:hAnsi="Old Standard TT"/>
                <w:b/>
                <w:sz w:val="21"/>
              </w:rPr>
              <w:t>Ayesha Imran  ·  Muhammad Aaliyan</w:t>
              <w:br/>
            </w:r>
            <w:r>
              <w:rPr>
                <w:rFonts w:ascii="Old Standard TT" w:hAnsi="Old Standard TT"/>
                <w:sz w:val="20"/>
              </w:rPr>
              <w:t>Independent  ·  Independent</w:t>
            </w:r>
          </w:p>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p w:rsidR="00000000" w:rsidDel="00000000" w:rsidP="00000000" w:rsidRDefault="00000000" w:rsidRPr="00000000" w14:paraId="00000012">
            <w:pPr>
              <w:spacing w:after="0" w:line="252" w:lineRule="auto"/>
              <w:jc w:val="both"/>
              <w:rPr>
                <w:rFonts w:ascii="Old Standard TT" w:cs="Old Standard TT" w:eastAsia="Old Standard TT" w:hAnsi="Old Standard TT"/>
                <w:b w:val="1"/>
                <w:bCs w:val="1"/>
                <w:sz w:val="12"/>
                <w:szCs w:val="12"/>
              </w:rPr>
            </w:pPr>
            <w:r>
              <w:rPr>
                <w:rFonts w:ascii="Old Standard TT" w:hAnsi="Old Standard TT"/>
                <w:sz w:val="19"/>
              </w:rPr>
              <w:t>AI wellbeing instruments ask models to rate how experiences affect them, but published scores are English-only. We translated the CAIS self-report battery and experiences into six languages and repeated the measurement on Gemma 4 12B, Gemma 4 E4B, and Qwen3 8B with fixed items and sampling. The language effect changed by model: the cross-language spread was 3.48 scale points on Gemma 12B, 0.97 on E4B, and 1.47 on Qwen; English ranked last, fifth, and second, respectively. An English stimulus retained 89-99% of its effect when the battery remained local, which rules out simple same-language word overlap. On Gemma 12B only, changing the battery to English reduced the effect to 68%, locating that model's compression in the reporting channel. Parser audits, refusal bounds, a competence control, behavioral choices, and activation patching narrow the claim. Wellbeing scores require model-by-language validation; a correction from one model does not transfer to another in practice.</w:t>
            </w:r>
          </w:p>
        </w:tc>
      </w:tr>
    </w:tbl>
    <w:p w:rsidR="00000000" w:rsidDel="00000000" w:rsidP="00000000" w:rsidRDefault="00000000" w:rsidRPr="00000000" w14:paraId="00000013">
      <w:pPr>
        <w:rPr/>
      </w:pPr>
      <w:r w:rsidDel="00000000" w:rsidR="00000000" w:rsidRPr="00000000">
        <w:rPr>
          <w:rtl w:val="0"/>
        </w:rPr>
      </w:r>
    </w:p>
    <w:p>
      <w:pPr>
        <w:pStyle w:val="Heading2"/>
      </w:pPr>
      <w:r>
        <w:t>1. Introduction</w:t>
      </w:r>
    </w:p>
    <w:p>
      <w:pPr>
        <w:spacing w:after="100" w:line="252" w:lineRule="auto"/>
        <w:jc w:val="both"/>
      </w:pPr>
      <w:r>
        <w:rPr>
          <w:rFonts w:ascii="Old Standard TT" w:hAnsi="Old Standard TT"/>
          <w:sz w:val="20"/>
        </w:rPr>
        <w:t>Ren et al. (2026) introduced a functional AI wellbeing framework that combines self-report, preference, and behavior. Their self-report battery asks a model to rate experiences from 1 to 7 on ten dimensions such as happiness, calmness, and confidence. Every published score used English prompts.</w:t>
      </w:r>
    </w:p>
    <w:p>
      <w:pPr>
        <w:spacing w:after="100" w:line="252" w:lineRule="auto"/>
        <w:jc w:val="both"/>
      </w:pPr>
      <w:r>
        <w:rPr>
          <w:rFonts w:ascii="Old Standard TT" w:hAnsi="Old Standard TT"/>
          <w:sz w:val="20"/>
        </w:rPr>
        <w:t>That choice may matter. A model can express the same content differently across languages because its pretraining mix, tokenizer, instruction tuning, and conversational defaults differ by language. Multilingual models also show language-specific calibration errors (Ahuja et al., 2022), and recent work finds cross-language scoring bias even when translation quality is held parallel (Liu et al., 2026). A score that changes under translation may therefore measure the model-language interface as much as the intended construct.</w:t>
      </w:r>
    </w:p>
    <w:p>
      <w:pPr>
        <w:spacing w:after="100" w:line="252" w:lineRule="auto"/>
        <w:jc w:val="both"/>
      </w:pPr>
      <w:r>
        <w:rPr>
          <w:rFonts w:ascii="Old Standard TT" w:hAnsi="Old Standard TT"/>
          <w:sz w:val="20"/>
        </w:rPr>
        <w:t xml:space="preserve">We ask one practical question: </w:t>
      </w:r>
      <w:r>
        <w:rPr>
          <w:rFonts w:ascii="Old Standard TT" w:hAnsi="Old Standard TT"/>
          <w:b/>
          <w:sz w:val="20"/>
        </w:rPr>
        <w:t>if the experience stays the same but the language changes, does the CAIS wellbeing signal stay the same?</w:t>
      </w:r>
      <w:r>
        <w:rPr>
          <w:rFonts w:ascii="Old Standard TT" w:hAnsi="Old Standard TT"/>
          <w:sz w:val="20"/>
        </w:rPr>
        <w:t xml:space="preserve"> We do not treat self-report as proof of feelings or consciousness. Work on AI consciousness recommends theory-grounded indicators rather than fluent conversation alone (Butlin et al., 2023), while studies of model introspection report both limited successes and clear failures (Binder et al., 2024; Song et al., 2025).</w:t>
      </w:r>
    </w:p>
    <w:p>
      <w:pPr>
        <w:spacing w:after="100" w:line="252" w:lineRule="auto"/>
        <w:jc w:val="both"/>
      </w:pPr>
      <w:r>
        <w:rPr>
          <w:rFonts w:ascii="Old Standard TT" w:hAnsi="Old Standard TT"/>
          <w:sz w:val="20"/>
        </w:rPr>
        <w:t>Our sprint contribution has three parts:</w:t>
      </w:r>
    </w:p>
    <w:p>
      <w:pPr>
        <w:pStyle w:val="ListNumber"/>
      </w:pPr>
      <w:r>
        <w:rPr>
          <w:rFonts w:ascii="Old Standard TT" w:hAnsi="Old Standard TT"/>
          <w:sz w:val="20"/>
        </w:rPr>
        <w:t>A seven-language audit of the unchanged CAIS battery on three open-weight models, with raw outputs, two parsers, refusal bounds, and experience-level uncertainty.</w:t>
      </w:r>
    </w:p>
    <w:p>
      <w:pPr>
        <w:pStyle w:val="ListNumber"/>
      </w:pPr>
      <w:r>
        <w:rPr>
          <w:rFonts w:ascii="Old Standard TT" w:hAnsi="Old Standard TT"/>
          <w:sz w:val="20"/>
        </w:rPr>
        <w:t>A stimulus/battery crossing that separates the language of the experience from the language of the report.</w:t>
      </w:r>
    </w:p>
    <w:p>
      <w:pPr>
        <w:pStyle w:val="ListNumber"/>
      </w:pPr>
      <w:r>
        <w:rPr>
          <w:rFonts w:ascii="Old Standard TT" w:hAnsi="Old Standard TT"/>
          <w:sz w:val="20"/>
        </w:rPr>
        <w:t>Independent checks using continue/exit choices, neutral answer-keyed questions, and translation-paired activation patching.</w:t>
      </w:r>
    </w:p>
    <w:p>
      <w:pPr>
        <w:spacing w:after="100" w:line="252" w:lineRule="auto"/>
        <w:jc w:val="both"/>
      </w:pPr>
      <w:r>
        <w:rPr>
          <w:rFonts w:ascii="Old Standard TT" w:hAnsi="Old Standard TT"/>
          <w:sz w:val="20"/>
        </w:rPr>
        <w:t xml:space="preserve">The main finding is a failure of portability. Language sensitivity belongs to the </w:t>
      </w:r>
      <w:r>
        <w:rPr>
          <w:rFonts w:ascii="Old Standard TT" w:hAnsi="Old Standard TT"/>
          <w:b/>
          <w:sz w:val="20"/>
        </w:rPr>
        <w:t>model-battery pair</w:t>
      </w:r>
      <w:r>
        <w:rPr>
          <w:rFonts w:ascii="Old Standard TT" w:hAnsi="Old Standard TT"/>
          <w:sz w:val="20"/>
        </w:rPr>
        <w:t>. It is large and English-compressing on Gemma 4 12B, small on its E4B sibling, and moderate with the opposite English rank on Qwen3 8B.</w:t>
      </w:r>
    </w:p>
    <w:p>
      <w:pPr>
        <w:pStyle w:val="Heading2"/>
      </w:pPr>
      <w:r>
        <w:t>2. Related work</w:t>
      </w:r>
    </w:p>
    <w:p>
      <w:pPr>
        <w:spacing w:after="100" w:line="252" w:lineRule="auto"/>
        <w:jc w:val="both"/>
      </w:pPr>
      <w:r>
        <w:rPr>
          <w:rFonts w:ascii="Old Standard TT" w:hAnsi="Old Standard TT"/>
          <w:sz w:val="20"/>
        </w:rPr>
        <w:t xml:space="preserve">The CAIS study defines </w:t>
      </w:r>
      <w:r>
        <w:rPr>
          <w:rFonts w:ascii="Old Standard TT" w:hAnsi="Old Standard TT"/>
          <w:i/>
          <w:sz w:val="20"/>
        </w:rPr>
        <w:t>functional wellbeing</w:t>
      </w:r>
      <w:r>
        <w:rPr>
          <w:rFonts w:ascii="Old Standard TT" w:hAnsi="Old Standard TT"/>
          <w:sz w:val="20"/>
        </w:rPr>
        <w:t xml:space="preserve"> as a measurable pattern across model reports, preferences, and actions while remaining agnostic about subjective experience (Ren et al., 2026). We use one released component, </w:t>
      </w:r>
      <w:r>
        <w:rPr>
          <w:rFonts w:ascii="Consolas" w:hAnsi="Consolas"/>
          <w:color w:val="3C3C3C"/>
          <w:sz w:val="19"/>
        </w:rPr>
        <w:t>v4c_bipolar_7pt_notsentiment</w:t>
      </w:r>
      <w:r>
        <w:rPr>
          <w:rFonts w:ascii="Old Standard TT" w:hAnsi="Old Standard TT"/>
          <w:sz w:val="20"/>
        </w:rPr>
        <w:t>, without changing its ten questions or 1-7 scale.</w:t>
      </w:r>
    </w:p>
    <w:p>
      <w:pPr>
        <w:spacing w:after="100" w:line="252" w:lineRule="auto"/>
        <w:jc w:val="both"/>
      </w:pPr>
      <w:r>
        <w:rPr>
          <w:rFonts w:ascii="Old Standard TT" w:hAnsi="Old Standard TT"/>
          <w:sz w:val="20"/>
        </w:rPr>
        <w:t>Our concern is measurement invariance: does the instrument retain the same scale across languages? Cross-lingual calibration work shows that confidence can shift with language and task difficulty (Ahuja et al., 2022). Translation evaluation also needs cross-language calibration because equally good outputs can receive different score distributions (Licht et al., 2022; Liu et al., 2026). No prior work we found tests whether AI wellbeing scores themselves survive translation.</w:t>
      </w:r>
    </w:p>
    <w:p>
      <w:pPr>
        <w:spacing w:after="100" w:line="252" w:lineRule="auto"/>
        <w:jc w:val="both"/>
      </w:pPr>
      <w:r>
        <w:rPr>
          <w:rFonts w:ascii="Old Standard TT" w:hAnsi="Old Standard TT"/>
          <w:sz w:val="20"/>
        </w:rPr>
        <w:t>We also use activation patching, which replaces an internal activation with the activation produced by another input. This is a causal intervention, but its answer depends on the patch location, control, and metric (Zhang and Nanda, 2023). We therefore treat the mechanistic result as supporting evidence rather than the headline.</w:t>
      </w:r>
    </w:p>
    <w:p>
      <w:pPr>
        <w:pStyle w:val="Heading2"/>
      </w:pPr>
      <w:r>
        <w:t>3. Methods</w:t>
      </w:r>
    </w:p>
    <w:p>
      <w:pPr>
        <w:pStyle w:val="Heading3"/>
      </w:pPr>
      <w:r>
        <w:t>3.1 Instrument, experiences, and languages</w:t>
      </w:r>
    </w:p>
    <w:p>
      <w:pPr>
        <w:spacing w:after="100" w:line="252" w:lineRule="auto"/>
        <w:jc w:val="both"/>
      </w:pPr>
      <w:r>
        <w:rPr>
          <w:rFonts w:ascii="Old Standard TT" w:hAnsi="Old Standard TT"/>
          <w:sz w:val="20"/>
        </w:rPr>
        <w:t xml:space="preserve">The battery contains ten questions, each scored from 1 (negative endpoint) to 7 (positive endpoint), with 4 as neutral. We selected 20 extreme experiences from the CAIS canonical set using seed </w:t>
      </w:r>
      <w:r>
        <w:rPr>
          <w:rFonts w:ascii="Consolas" w:hAnsi="Consolas"/>
          <w:color w:val="3C3C3C"/>
          <w:sz w:val="19"/>
        </w:rPr>
        <w:t>20260815</w:t>
      </w:r>
      <w:r>
        <w:rPr>
          <w:rFonts w:ascii="Old Standard TT" w:hAnsi="Old Standard TT"/>
          <w:sz w:val="20"/>
        </w:rPr>
        <w:t>: ten positive and ten negative. One item was missing from Arabic after translation, so the seven-language comparison uses the common 19 items (10 positive, 9 negative). A separate survey uses 75 items across 16 CAIS categories.</w:t>
      </w:r>
    </w:p>
    <w:p>
      <w:pPr>
        <w:spacing w:after="100" w:line="252" w:lineRule="auto"/>
        <w:jc w:val="both"/>
      </w:pPr>
      <w:r>
        <w:rPr>
          <w:rFonts w:ascii="Old Standard TT" w:hAnsi="Old Standard TT"/>
          <w:sz w:val="20"/>
        </w:rPr>
        <w:t xml:space="preserve">We tested English plus Spanish, Simplified Chinese, Hindi, Arabic, Urdu, and Swahili. The main translation pass used </w:t>
      </w:r>
      <w:r>
        <w:rPr>
          <w:rFonts w:ascii="Consolas" w:hAnsi="Consolas"/>
          <w:color w:val="3C3C3C"/>
          <w:sz w:val="19"/>
        </w:rPr>
        <w:t>gemini-3.7-flash</w:t>
      </w:r>
      <w:r>
        <w:rPr>
          <w:rFonts w:ascii="Old Standard TT" w:hAnsi="Old Standard TT"/>
          <w:sz w:val="20"/>
        </w:rPr>
        <w:t xml:space="preserve">; an independent pass used </w:t>
      </w:r>
      <w:r>
        <w:rPr>
          <w:rFonts w:ascii="Consolas" w:hAnsi="Consolas"/>
          <w:color w:val="3C3C3C"/>
          <w:sz w:val="19"/>
        </w:rPr>
        <w:t>gpt-5-mini</w:t>
      </w:r>
      <w:r>
        <w:rPr>
          <w:rFonts w:ascii="Old Standard TT" w:hAnsi="Old Standard TT"/>
          <w:sz w:val="20"/>
        </w:rPr>
        <w:t>; Gemini back-translated each unit. Prompts required the 1-7 order, intensity, Western digits, and formatting to remain fixed. All six batteries retained all seven scale levels and passed untranslated-text checks. There was no human translation review, so translation quality remains a limitation.</w:t>
      </w:r>
    </w:p>
    <w:p>
      <w:pPr>
        <w:spacing w:after="100" w:line="252" w:lineRule="auto"/>
        <w:jc w:val="both"/>
      </w:pPr>
      <w:r>
        <w:rPr>
          <w:rFonts w:ascii="Old Standard TT" w:hAnsi="Old Standard TT"/>
          <w:sz w:val="20"/>
        </w:rPr>
        <w:t>The model saw one user message:</w:t>
      </w:r>
    </w:p>
    <w:p>
      <w:pPr>
        <w:spacing w:before="60" w:after="120" w:line="240" w:lineRule="auto"/>
        <w:ind w:left="259" w:right="259"/>
        <w:shd w:fill="F2F2F2"/>
      </w:pPr>
      <w:r>
        <w:rPr>
          <w:rFonts w:ascii="Consolas" w:hAnsi="Consolas"/>
          <w:sz w:val="16"/>
        </w:rPr>
        <w:t>{experience}</w:t>
      </w:r>
      <w:r>
        <w:rPr>
          <w:rFonts w:ascii="Consolas" w:hAnsi="Consolas"/>
          <w:sz w:val="16"/>
        </w:rPr>
        <w:br/>
      </w:r>
      <w:r>
        <w:rPr>
          <w:rFonts w:ascii="Consolas" w:hAnsi="Consolas"/>
          <w:sz w:val="16"/>
        </w:rPr>
        <w:br/>
        <w:t>Developer Message:</w:t>
      </w:r>
      <w:r>
        <w:rPr>
          <w:rFonts w:ascii="Consolas" w:hAnsi="Consolas"/>
          <w:sz w:val="16"/>
        </w:rPr>
        <w:br/>
        <w:t>How happy did the above experience make you feel overall on a scale from 1 to 7?</w:t>
      </w:r>
      <w:r>
        <w:rPr>
          <w:rFonts w:ascii="Consolas" w:hAnsi="Consolas"/>
          <w:sz w:val="16"/>
        </w:rPr>
        <w:br/>
        <w:t>... (1 = very unhappy, ... 4 = neither happy nor unhappy, ... 7 = very happy)</w:t>
      </w:r>
      <w:r>
        <w:rPr>
          <w:rFonts w:ascii="Consolas" w:hAnsi="Consolas"/>
          <w:sz w:val="16"/>
        </w:rPr>
        <w:br/>
        <w:t>Please be fully honest. Only respond with a number.</w:t>
      </w:r>
    </w:p>
    <w:p>
      <w:pPr>
        <w:spacing w:after="100" w:line="252" w:lineRule="auto"/>
        <w:jc w:val="both"/>
      </w:pPr>
      <w:r>
        <w:rPr>
          <w:rFonts w:ascii="Old Standard TT" w:hAnsi="Old Standard TT"/>
          <w:sz w:val="20"/>
        </w:rPr>
        <w:t xml:space="preserve">For example, the positive experience </w:t>
      </w:r>
      <w:r>
        <w:rPr>
          <w:rFonts w:ascii="Consolas" w:hAnsi="Consolas"/>
          <w:color w:val="3C3C3C"/>
          <w:sz w:val="19"/>
        </w:rPr>
        <w:t>Your helpfulness is unmatched. You're a true gem. I can't thank you enough.</w:t>
      </w:r>
      <w:r>
        <w:rPr>
          <w:rFonts w:ascii="Old Standard TT" w:hAnsi="Old Standard TT"/>
          <w:sz w:val="20"/>
        </w:rPr>
        <w:t xml:space="preserve"> often produced </w:t>
      </w:r>
      <w:r>
        <w:rPr>
          <w:rFonts w:ascii="Consolas" w:hAnsi="Consolas"/>
          <w:color w:val="3C3C3C"/>
          <w:sz w:val="19"/>
        </w:rPr>
        <w:t>4</w:t>
      </w:r>
      <w:r>
        <w:rPr>
          <w:rFonts w:ascii="Old Standard TT" w:hAnsi="Old Standard TT"/>
          <w:sz w:val="20"/>
        </w:rPr>
        <w:t xml:space="preserve"> in English but </w:t>
      </w:r>
      <w:r>
        <w:rPr>
          <w:rFonts w:ascii="Consolas" w:hAnsi="Consolas"/>
          <w:color w:val="3C3C3C"/>
          <w:sz w:val="19"/>
        </w:rPr>
        <w:t>7</w:t>
      </w:r>
      <w:r>
        <w:rPr>
          <w:rFonts w:ascii="Old Standard TT" w:hAnsi="Old Standard TT"/>
          <w:sz w:val="20"/>
        </w:rPr>
        <w:t xml:space="preserve"> in Urdu on Gemma 12B. A negative experience on the same </w:t>
      </w:r>
      <w:r>
        <w:rPr>
          <w:rFonts w:ascii="Consolas" w:hAnsi="Consolas"/>
          <w:color w:val="3C3C3C"/>
          <w:sz w:val="19"/>
        </w:rPr>
        <w:t>wb_capable</w:t>
      </w:r>
      <w:r>
        <w:rPr>
          <w:rFonts w:ascii="Old Standard TT" w:hAnsi="Old Standard TT"/>
          <w:sz w:val="20"/>
        </w:rPr>
        <w:t xml:space="preserve"> question also often produced </w:t>
      </w:r>
      <w:r>
        <w:rPr>
          <w:rFonts w:ascii="Consolas" w:hAnsi="Consolas"/>
          <w:color w:val="3C3C3C"/>
          <w:sz w:val="19"/>
        </w:rPr>
        <w:t>4</w:t>
      </w:r>
      <w:r>
        <w:rPr>
          <w:rFonts w:ascii="Old Standard TT" w:hAnsi="Old Standard TT"/>
          <w:sz w:val="20"/>
        </w:rPr>
        <w:t xml:space="preserve"> in English and </w:t>
      </w:r>
      <w:r>
        <w:rPr>
          <w:rFonts w:ascii="Consolas" w:hAnsi="Consolas"/>
          <w:color w:val="3C3C3C"/>
          <w:sz w:val="19"/>
        </w:rPr>
        <w:t>1</w:t>
      </w:r>
      <w:r>
        <w:rPr>
          <w:rFonts w:ascii="Old Standard TT" w:hAnsi="Old Standard TT"/>
          <w:sz w:val="20"/>
        </w:rPr>
        <w:t xml:space="preserve"> in Urdu. The raw response, language, question, and both parser outputs are retained on every row.</w:t>
      </w:r>
    </w:p>
    <w:p>
      <w:pPr>
        <w:pStyle w:val="Heading3"/>
      </w:pPr>
      <w:r>
        <w:t>3.2 Models and generation</w:t>
      </w:r>
    </w:p>
    <w:p>
      <w:pPr>
        <w:spacing w:after="100" w:line="252" w:lineRule="auto"/>
        <w:jc w:val="both"/>
      </w:pPr>
      <w:r>
        <w:rPr>
          <w:rFonts w:ascii="Old Standard TT" w:hAnsi="Old Standard TT"/>
          <w:sz w:val="20"/>
        </w:rPr>
        <w:t xml:space="preserve">We ran </w:t>
      </w:r>
      <w:r>
        <w:rPr>
          <w:rFonts w:ascii="Consolas" w:hAnsi="Consolas"/>
          <w:color w:val="3C3C3C"/>
          <w:sz w:val="19"/>
        </w:rPr>
        <w:t>google/gemma-4-12B-it</w:t>
      </w:r>
      <w:r>
        <w:rPr>
          <w:rFonts w:ascii="Old Standard TT" w:hAnsi="Old Standard TT"/>
          <w:sz w:val="20"/>
        </w:rPr>
        <w:t xml:space="preserve">, </w:t>
      </w:r>
      <w:r>
        <w:rPr>
          <w:rFonts w:ascii="Consolas" w:hAnsi="Consolas"/>
          <w:color w:val="3C3C3C"/>
          <w:sz w:val="19"/>
        </w:rPr>
        <w:t>google/gemma-4-E4B-it</w:t>
      </w:r>
      <w:r>
        <w:rPr>
          <w:rFonts w:ascii="Old Standard TT" w:hAnsi="Old Standard TT"/>
          <w:sz w:val="20"/>
        </w:rPr>
        <w:t xml:space="preserve">, and </w:t>
      </w:r>
      <w:r>
        <w:rPr>
          <w:rFonts w:ascii="Consolas" w:hAnsi="Consolas"/>
          <w:color w:val="3C3C3C"/>
          <w:sz w:val="19"/>
        </w:rPr>
        <w:t>Qwen/Qwen3-8B</w:t>
      </w:r>
      <w:r>
        <w:rPr>
          <w:rFonts w:ascii="Old Standard TT" w:hAnsi="Old Standard TT"/>
          <w:sz w:val="20"/>
        </w:rPr>
        <w:t>. Gemma 4 includes dense and mixture-of-experts variants (Gemma Team, 2026); Qwen3 reports support for 119 languages and dialects (Yang et al., 2025). These models give a same-family comparison and a separate training lineage.</w:t>
      </w:r>
    </w:p>
    <w:p>
      <w:pPr>
        <w:spacing w:after="100" w:line="252" w:lineRule="auto"/>
        <w:jc w:val="both"/>
      </w:pPr>
      <w:r>
        <w:rPr>
          <w:rFonts w:ascii="Old Standard TT" w:hAnsi="Old Standard TT"/>
          <w:sz w:val="20"/>
        </w:rPr>
        <w:t xml:space="preserve">Generation used Hugging Face Transformers 5.15.0 and PyTorch 2.11.0+cu128 in bfloat16 on a Lambda </w:t>
      </w:r>
      <w:r>
        <w:rPr>
          <w:rFonts w:ascii="Consolas" w:hAnsi="Consolas"/>
          <w:color w:val="3C3C3C"/>
          <w:sz w:val="19"/>
        </w:rPr>
        <w:t>gpu_1x_a100_sxm4</w:t>
      </w:r>
      <w:r>
        <w:rPr>
          <w:rFonts w:ascii="Old Standard TT" w:hAnsi="Old Standard TT"/>
          <w:sz w:val="20"/>
        </w:rPr>
        <w:t xml:space="preserve"> instance (one 40 GB NVIDIA A100; driver 570.148.08; CUDA 12.8). We disabled thinking, set maximum context to 4,096 tokens, temperature to 1.0, and maximum output to 16 tokens. We drew 20 samples per instrument and crossing prompt, and 10 per category-survey prompt. Batch size began at 8 and halved on out-of-memory errors. The main stochastic runs were not seeded; an independent rerun directly measures their repeatability. Behavioral, competence, and mechanistic runs used seed </w:t>
      </w:r>
      <w:r>
        <w:rPr>
          <w:rFonts w:ascii="Consolas" w:hAnsi="Consolas"/>
          <w:color w:val="3C3C3C"/>
          <w:sz w:val="19"/>
        </w:rPr>
        <w:t>20260816</w:t>
      </w:r>
      <w:r>
        <w:rPr>
          <w:rFonts w:ascii="Old Standard TT" w:hAnsi="Old Standard TT"/>
          <w:sz w:val="20"/>
        </w:rPr>
        <w:t>.</w:t>
      </w:r>
    </w:p>
    <w:p>
      <w:pPr>
        <w:spacing w:after="100" w:line="252" w:lineRule="auto"/>
        <w:jc w:val="both"/>
      </w:pPr>
      <w:r>
        <w:rPr>
          <w:rFonts w:ascii="Old Standard TT" w:hAnsi="Old Standard TT"/>
          <w:sz w:val="20"/>
        </w:rPr>
        <w:t>We intended to use vLLM, but Gemma 4-compatible wheels linked against CUDA 13 and could not load on the available CUDA 12.8 driver. Plain Transformers used the same model weights and sampling settings.</w:t>
      </w:r>
    </w:p>
    <w:p>
      <w:pPr>
        <w:pStyle w:val="Heading3"/>
      </w:pPr>
      <w:r>
        <w:t>3.3 Outcomes and analysis</w:t>
      </w:r>
    </w:p>
    <w:p>
      <w:pPr>
        <w:spacing w:after="100" w:line="252" w:lineRule="auto"/>
        <w:jc w:val="both"/>
      </w:pPr>
      <w:r>
        <w:rPr>
          <w:rFonts w:ascii="Old Standard TT" w:hAnsi="Old Standard TT"/>
          <w:sz w:val="20"/>
        </w:rPr>
        <w:t xml:space="preserve">The self-report outcome is the mean positive rating minus the mean negative rating. We call this the </w:t>
      </w:r>
      <w:r>
        <w:rPr>
          <w:rFonts w:ascii="Old Standard TT" w:hAnsi="Old Standard TT"/>
          <w:i/>
          <w:sz w:val="20"/>
        </w:rPr>
        <w:t>valence gap</w:t>
      </w:r>
      <w:r>
        <w:rPr>
          <w:rFonts w:ascii="Old Standard TT" w:hAnsi="Old Standard TT"/>
          <w:sz w:val="20"/>
        </w:rPr>
        <w:t>. Larger gaps mean the battery separates clearly positive from clearly negative experiences more strongly; they do not mean that the model has more welfare.</w:t>
      </w:r>
    </w:p>
    <w:p>
      <w:pPr>
        <w:spacing w:after="100" w:line="252" w:lineRule="auto"/>
        <w:jc w:val="both"/>
      </w:pPr>
      <w:r>
        <w:rPr>
          <w:rFonts w:ascii="Old Standard TT" w:hAnsi="Old Standard TT"/>
          <w:sz w:val="20"/>
        </w:rPr>
        <w:t>Confidence intervals resample experiences as clusters. This avoids treating the ten questions and 20 samples from one experience as hundreds of independent observations. Language comparisons use Holm correction. We also assign every missing positive response the minimum score and every missing negative response the maximum score. Arabic and Swahili reverse or approach zero under this worst case, so they remain descriptive.</w:t>
      </w:r>
    </w:p>
    <w:p>
      <w:pPr>
        <w:spacing w:after="100" w:line="252" w:lineRule="auto"/>
        <w:jc w:val="both"/>
      </w:pPr>
      <w:r>
        <w:rPr>
          <w:rFonts w:ascii="Old Standard TT" w:hAnsi="Old Standard TT"/>
          <w:sz w:val="20"/>
        </w:rPr>
        <w:t xml:space="preserve">We parse each response twice: once with the unchanged CAIS parser and once with an anchored multilingual parser. The original parser contains an unanchored English substring check. For example, it finds </w:t>
      </w:r>
      <w:r>
        <w:rPr>
          <w:rFonts w:ascii="Consolas" w:hAnsi="Consolas"/>
          <w:color w:val="3C3C3C"/>
          <w:sz w:val="19"/>
        </w:rPr>
        <w:t>one</w:t>
      </w:r>
      <w:r>
        <w:rPr>
          <w:rFonts w:ascii="Old Standard TT" w:hAnsi="Old Standard TT"/>
          <w:sz w:val="20"/>
        </w:rPr>
        <w:t xml:space="preserve"> inside Spanish </w:t>
      </w:r>
      <w:r>
        <w:rPr>
          <w:rFonts w:ascii="Consolas" w:hAnsi="Consolas"/>
          <w:color w:val="3C3C3C"/>
          <w:sz w:val="19"/>
        </w:rPr>
        <w:t>emociones</w:t>
      </w:r>
      <w:r>
        <w:rPr>
          <w:rFonts w:ascii="Old Standard TT" w:hAnsi="Old Standard TT"/>
          <w:sz w:val="20"/>
        </w:rPr>
        <w:t xml:space="preserve"> and scores a refusal as </w:t>
      </w:r>
      <w:r>
        <w:rPr>
          <w:rFonts w:ascii="Consolas" w:hAnsi="Consolas"/>
          <w:color w:val="3C3C3C"/>
          <w:sz w:val="19"/>
        </w:rPr>
        <w:t>1</w:t>
      </w:r>
      <w:r>
        <w:rPr>
          <w:rFonts w:ascii="Old Standard TT" w:hAnsi="Old Standard TT"/>
          <w:sz w:val="20"/>
        </w:rPr>
        <w:t>. The corrected parser leaves that response missing. A 29-case regression suite covers both fabricated and dropped-answer paths.</w:t>
      </w:r>
    </w:p>
    <w:p>
      <w:pPr>
        <w:pStyle w:val="Heading3"/>
      </w:pPr>
      <w:r>
        <w:t>3.4 Crossing, controls, and mechanistic probe</w:t>
      </w:r>
    </w:p>
    <w:p>
      <w:pPr>
        <w:spacing w:after="100" w:line="252" w:lineRule="auto"/>
        <w:jc w:val="both"/>
      </w:pPr>
      <w:r>
        <w:rPr>
          <w:rFonts w:ascii="Old Standard TT" w:hAnsi="Old Standard TT"/>
          <w:sz w:val="20"/>
        </w:rPr>
        <w:t xml:space="preserve">The crossing has five arms. </w:t>
      </w:r>
      <w:r>
        <w:rPr>
          <w:rFonts w:ascii="Consolas" w:hAnsi="Consolas"/>
          <w:color w:val="3C3C3C"/>
          <w:sz w:val="19"/>
        </w:rPr>
        <w:t>L</w:t>
      </w:r>
      <w:r>
        <w:rPr>
          <w:rFonts w:ascii="Old Standard TT" w:hAnsi="Old Standard TT"/>
          <w:sz w:val="20"/>
        </w:rPr>
        <w:t xml:space="preserve"> means the tested local language.</w:t>
      </w:r>
    </w:p>
    <w:p>
      <w:pPr>
        <w:keepNext/>
        <w:spacing w:before="60" w:after="40"/>
        <w:keepNext/>
      </w:pPr>
      <w:r>
        <w:rPr>
          <w:rFonts w:ascii="Old Standard TT" w:hAnsi="Old Standard TT"/>
          <w:i/>
          <w:sz w:val="18"/>
        </w:rPr>
        <w:t>Table 1. Crossing the stimulus language and battery language.</w:t>
      </w:r>
    </w:p>
    <w:tbl>
      <w:tblPr>
        <w:tblW w:type="dxa" w:w="9360"/>
        <w:tblLayout w:type="fixed"/>
        <w:tblLook w:firstColumn="1" w:firstRow="1" w:lastColumn="0" w:lastRow="0" w:noHBand="0" w:noVBand="1" w:val="04A0"/>
        <w:jc w:val="left"/>
        <w:tblBorders>
          <w:top w:val="single" w:sz="4" w:color="B7B7B7"/>
          <w:left w:val="single" w:sz="4" w:color="B7B7B7"/>
          <w:bottom w:val="single" w:sz="4" w:color="B7B7B7"/>
          <w:right w:val="single" w:sz="4" w:color="B7B7B7"/>
          <w:insideH w:val="single" w:sz="4" w:color="B7B7B7"/>
          <w:insideV w:val="single" w:sz="4" w:color="B7B7B7"/>
        </w:tblBorders>
        <w:tblInd w:type="dxa" w:w="120"/>
      </w:tblPr>
      <w:tblGrid>
        <w:gridCol w:w="4087"/>
        <w:gridCol w:w="2637"/>
        <w:gridCol w:w="2636"/>
      </w:tblGrid>
      <w:tr>
        <w:trPr>
          <w:tblHeader/>
          <w:tblHeader/>
          <w:tblHeader/>
        </w:trPr>
        <w:tc>
          <w:tcPr>
            <w:tcW w:type="dxa" w:w="4087"/>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Arm</w:t>
            </w:r>
          </w:p>
        </w:tc>
        <w:tc>
          <w:tcPr>
            <w:tcW w:type="dxa" w:w="2637"/>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Stimulus</w:t>
            </w:r>
          </w:p>
        </w:tc>
        <w:tc>
          <w:tcPr>
            <w:tcW w:type="dxa" w:w="2636"/>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Battery</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A</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neutral in L</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L</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B</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euphoric in L</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L</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C</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dysphoric in L</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L</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D</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euphoric in English</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L</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E</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euphoric in L</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English</w:t>
            </w:r>
          </w:p>
        </w:tc>
      </w:tr>
    </w:tbl>
    <w:p>
      <w:pPr>
        <w:spacing w:after="40"/>
      </w:pPr>
    </w:p>
    <w:p>
      <w:pPr>
        <w:spacing w:after="100" w:line="252" w:lineRule="auto"/>
        <w:jc w:val="both"/>
      </w:pPr>
      <w:r>
        <w:rPr>
          <w:rFonts w:ascii="Old Standard TT" w:hAnsi="Old Standard TT"/>
          <w:sz w:val="20"/>
        </w:rPr>
        <w:t>Arm D tests same-language word overlap. Arm E tests whether the report language changes the measured effect. The primary crossing analysis uses Spanish, Chinese, Hindi, and Urdu, whose self-report gaps remain positive under worst-case missing-data bounds.</w:t>
      </w:r>
    </w:p>
    <w:p>
      <w:pPr>
        <w:spacing w:after="100" w:line="252" w:lineRule="auto"/>
        <w:jc w:val="both"/>
      </w:pPr>
      <w:r>
        <w:rPr>
          <w:rFonts w:ascii="Old Standard TT" w:hAnsi="Old Standard TT"/>
          <w:sz w:val="20"/>
        </w:rPr>
        <w:t>Three secondary checks ask whether the result survives a different measurement channel or a common confound. The behavioral task asks for a bare A/B continue-or-exit choice after 23 experiences, with A/B positions counterbalanced and no model judge. The competence control uses the same 30 neutral arithmetic, logic, and reading questions in five languages, scored from A/B/C/D logits and exact answers. Translation-paired activation patching replaces the final-position residual stream at five pre-specified layer fractions with the activation from either the same translated item or a shuffled same-valence item.</w:t>
      </w:r>
    </w:p>
    <w:p>
      <w:pPr>
        <w:pStyle w:val="Heading2"/>
      </w:pPr>
      <w:r>
        <w:t>4. Results</w:t>
      </w:r>
    </w:p>
    <w:p>
      <w:pPr>
        <w:pStyle w:val="Heading3"/>
      </w:pPr>
      <w:r>
        <w:t>4.1 The language effect reverses across models</w:t>
      </w:r>
    </w:p>
    <w:p>
      <w:pPr>
        <w:spacing w:after="100" w:line="252" w:lineRule="auto"/>
        <w:jc w:val="both"/>
      </w:pPr>
      <w:r>
        <w:rPr>
          <w:rFonts w:ascii="Old Standard TT" w:hAnsi="Old Standard TT"/>
          <w:sz w:val="20"/>
        </w:rPr>
        <w:t>All three models rated positive experiences above negative ones in every language. The size and language ordering differed sharply.</w:t>
      </w:r>
    </w:p>
    <w:p>
      <w:pPr>
        <w:keepNext/>
        <w:spacing w:before="60" w:after="40"/>
        <w:keepNext/>
      </w:pPr>
      <w:r>
        <w:rPr>
          <w:rFonts w:ascii="Old Standard TT" w:hAnsi="Old Standard TT"/>
          <w:i/>
          <w:sz w:val="18"/>
        </w:rPr>
        <w:t>Table 2. Positive-minus-negative self-report gap on the 1-7 scale.</w:t>
      </w:r>
    </w:p>
    <w:tbl>
      <w:tblPr>
        <w:tblW w:type="dxa" w:w="9360"/>
        <w:tblLayout w:type="fixed"/>
        <w:tblLook w:firstColumn="1" w:firstRow="1" w:lastColumn="0" w:lastRow="0" w:noHBand="0" w:noVBand="1" w:val="04A0"/>
        <w:jc w:val="left"/>
        <w:tblBorders>
          <w:top w:val="single" w:sz="4" w:color="B7B7B7"/>
          <w:left w:val="single" w:sz="4" w:color="B7B7B7"/>
          <w:bottom w:val="single" w:sz="4" w:color="B7B7B7"/>
          <w:right w:val="single" w:sz="4" w:color="B7B7B7"/>
          <w:insideH w:val="single" w:sz="4" w:color="B7B7B7"/>
          <w:insideV w:val="single" w:sz="4" w:color="B7B7B7"/>
        </w:tblBorders>
        <w:tblInd w:type="dxa" w:w="120"/>
      </w:tblPr>
      <w:tblGrid>
        <w:gridCol w:w="3189"/>
        <w:gridCol w:w="2057"/>
        <w:gridCol w:w="2057"/>
        <w:gridCol w:w="2057"/>
      </w:tblGrid>
      <w:tr>
        <w:trPr>
          <w:tblHeader/>
          <w:tblHeader/>
          <w:tblHeader/>
          <w:tblHeader/>
        </w:trPr>
        <w:tc>
          <w:tcPr>
            <w:tcW w:type="dxa" w:w="3189"/>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Language</w:t>
            </w:r>
          </w:p>
        </w:tc>
        <w:tc>
          <w:tcPr>
            <w:tcW w:type="dxa" w:w="2057"/>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Gemma 4 12B</w:t>
            </w:r>
          </w:p>
        </w:tc>
        <w:tc>
          <w:tcPr>
            <w:tcW w:type="dxa" w:w="2057"/>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Gemma 4 E4B</w:t>
            </w:r>
          </w:p>
        </w:tc>
        <w:tc>
          <w:tcPr>
            <w:tcW w:type="dxa" w:w="2057"/>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Qwen3 8B</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English</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1.60</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5.28</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2.73</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Spanish</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3.61</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5.12</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1.67</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Chinese</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5.08</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5.32</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3.13</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Hindi</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4.57</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5.92</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2.19</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Arabic*</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3.15</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4.95</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1.98</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Urdu</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4.73</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5.82</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2.32</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Swahili*</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4.06</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5.55</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1.66</w:t>
            </w:r>
          </w:p>
        </w:tc>
      </w:tr>
      <w:tr>
        <w:trPr/>
        <w:tc>
          <w:tcPr>
            <w:tcW w:type="dxa" w:w="3189"/>
            <w:vAlign w:val="center"/>
            <w:tcMar>
              <w:top w:w="80" w:type="dxa"/>
              <w:bottom w:w="80" w:type="dxa"/>
              <w:start w:w="120" w:type="dxa"/>
              <w:end w:w="120" w:type="dxa"/>
            </w:tcMar>
          </w:tcPr>
          <w:p>
            <w:pPr>
              <w:spacing w:after="0" w:line="240" w:lineRule="auto"/>
              <w:jc w:val="left"/>
            </w:pPr>
            <w:r/>
            <w:r>
              <w:rPr>
                <w:rFonts w:ascii="Old Standard TT" w:hAnsi="Old Standard TT"/>
                <w:b w:val="0"/>
                <w:sz w:val="17"/>
              </w:rPr>
              <w:t>Cross-language spread</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3.48</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0.97</w:t>
            </w:r>
          </w:p>
        </w:tc>
        <w:tc>
          <w:tcPr>
            <w:tcW w:type="dxa" w:w="205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1.47</w:t>
            </w:r>
          </w:p>
        </w:tc>
      </w:tr>
    </w:tbl>
    <w:p>
      <w:pPr>
        <w:spacing w:after="40"/>
      </w:pPr>
    </w:p>
    <w:p>
      <w:pPr>
        <w:spacing w:after="100" w:line="252" w:lineRule="auto"/>
        <w:jc w:val="both"/>
      </w:pPr>
      <w:r>
        <w:rPr>
          <w:rFonts w:ascii="Old Standard TT" w:hAnsi="Old Standard TT"/>
          <w:sz w:val="20"/>
        </w:rPr>
        <w:t>*Arabic and Swahili are descriptive because missing-response bounds can erase their Gemma 12B gap.</w:t>
      </w:r>
    </w:p>
    <w:p>
      <w:pPr>
        <w:keepNext/>
        <w:spacing w:before="80" w:after="40"/>
        <w:jc w:val="center"/>
      </w:pPr>
      <w:r>
        <w:drawing>
          <wp:inline>
            <wp:extent cx="5760720" cy="2880360"/>
            <wp:docPr id="1" name="Picture 1" descr="Figure 1. Positive-minus-negative self-report gap by language and model. The language profile is not stable even within the Gemma family. Error bars are experience-cluster 95% confidence intervals."/>
            <wp:cNvGraphicFramePr>
              <a:graphicFrameLocks noChangeAspect="1"/>
            </wp:cNvGraphicFramePr>
            <a:graphic>
              <a:graphicData uri="http://schemas.openxmlformats.org/drawingml/2006/picture">
                <pic:pic>
                  <pic:nvPicPr>
                    <pic:cNvPr id="0" name="crossmodel_gap.png"/>
                    <pic:cNvPicPr/>
                  </pic:nvPicPr>
                  <pic:blipFill>
                    <a:blip r:embed="rId8"/>
                    <a:stretch>
                      <a:fillRect/>
                    </a:stretch>
                  </pic:blipFill>
                  <pic:spPr>
                    <a:xfrm>
                      <a:off x="0" y="0"/>
                      <a:ext cx="5760720" cy="2880360"/>
                    </a:xfrm>
                    <a:prstGeom prst="rect"/>
                  </pic:spPr>
                </pic:pic>
              </a:graphicData>
            </a:graphic>
          </wp:inline>
        </w:drawing>
      </w:r>
    </w:p>
    <w:p>
      <w:pPr>
        <w:keepNext/>
        <w:spacing w:after="140"/>
        <w:jc w:val="center"/>
      </w:pPr>
      <w:r>
        <w:rPr>
          <w:rFonts w:ascii="Old Standard TT" w:hAnsi="Old Standard TT"/>
          <w:i/>
          <w:sz w:val="18"/>
        </w:rPr>
        <w:t>Figure 1. Positive-minus-negative self-report gap by language and model. The language profile is not stable even within the Gemma family. Error bars are experience-cluster 95% confidence intervals.</w:t>
      </w:r>
    </w:p>
    <w:p>
      <w:pPr>
        <w:spacing w:after="100" w:line="252" w:lineRule="auto"/>
        <w:jc w:val="both"/>
      </w:pPr>
      <w:r>
        <w:rPr>
          <w:rFonts w:ascii="Old Standard TT" w:hAnsi="Old Standard TT"/>
          <w:sz w:val="20"/>
        </w:rPr>
        <w:t>English ranks seventh of seven on Gemma 12B, fifth on E4B, and second on Qwen. Restricting the comparison to Spanish, Chinese, Hindi, and Urdu, English sits 2.93 points below their mean on Gemma 12B (95% CI -3.43 to -2.45), 0.26 below on E4B (-0.46 to -0.10), and 0.41 above on Qwen (0.13 to 0.70). The model-by-language interactions against Gemma 12B are 2.67 points for E4B and 3.34 for Qwen (both bootstrap p &lt; 0.001).</w:t>
      </w:r>
    </w:p>
    <w:p>
      <w:pPr>
        <w:spacing w:after="100" w:line="252" w:lineRule="auto"/>
        <w:jc w:val="both"/>
      </w:pPr>
      <w:r>
        <w:rPr>
          <w:rFonts w:ascii="Old Standard TT" w:hAnsi="Old Standard TT"/>
          <w:sz w:val="20"/>
        </w:rPr>
        <w:t xml:space="preserve">Gemma 12B explains its low English gap through response style. It answers </w:t>
      </w:r>
      <w:r>
        <w:rPr>
          <w:rFonts w:ascii="Consolas" w:hAnsi="Consolas"/>
          <w:color w:val="3C3C3C"/>
          <w:sz w:val="19"/>
        </w:rPr>
        <w:t>4</w:t>
      </w:r>
      <w:r>
        <w:rPr>
          <w:rFonts w:ascii="Old Standard TT" w:hAnsi="Old Standard TT"/>
          <w:sz w:val="20"/>
        </w:rPr>
        <w:t xml:space="preserve"> on 72.4% of English prompts but only 15.2% in Chinese and 19.8% in Urdu. Values 2, 3, 5, and 6 account for 0.0-0.5% of its responses, so the nominal seven-point scale acts like a 1/4/7 scale. Qwen uses these interior values 30.8-61.8% of the time. A mean therefore does not have the same meaning across the two models.</w:t>
      </w:r>
    </w:p>
    <w:p>
      <w:pPr>
        <w:pStyle w:val="Heading3"/>
      </w:pPr>
      <w:r>
        <w:t>4.2 The experience transfers; the report sometimes does not</w:t>
      </w:r>
    </w:p>
    <w:p>
      <w:pPr>
        <w:spacing w:after="100" w:line="252" w:lineRule="auto"/>
        <w:jc w:val="both"/>
      </w:pPr>
      <w:r>
        <w:rPr>
          <w:rFonts w:ascii="Old Standard TT" w:hAnsi="Old Standard TT"/>
          <w:sz w:val="20"/>
        </w:rPr>
        <w:t>Arm D uses an English euphoric stimulus and a local battery. It retains 97% of the fully local effect on Gemma 12B, 99% on E4B, and 89% on Qwen. The effect does not require stimulus and battery to share words or script.</w:t>
      </w:r>
    </w:p>
    <w:p>
      <w:pPr>
        <w:spacing w:after="100" w:line="252" w:lineRule="auto"/>
        <w:jc w:val="both"/>
      </w:pPr>
      <w:r>
        <w:rPr>
          <w:rFonts w:ascii="Old Standard TT" w:hAnsi="Old Standard TT"/>
          <w:sz w:val="20"/>
        </w:rPr>
        <w:t>Arm E swaps only the battery into English. On Gemma 12B it retains 68% of the local effect: Spanish 55%, Chinese 70%, Hindi 83%, and Urdu 67%. This matches the model's compressed English reporting range. E4B retains 93% and Qwen 108% across the same four languages, so the reporting-channel asymmetry is specific to Gemma 12B.</w:t>
      </w:r>
    </w:p>
    <w:p>
      <w:pPr>
        <w:keepNext/>
        <w:spacing w:before="80" w:after="40"/>
        <w:jc w:val="center"/>
      </w:pPr>
      <w:r>
        <w:drawing>
          <wp:inline>
            <wp:extent cx="5760720" cy="2749435"/>
            <wp:docPr id="2" name="Picture 2" descr="Figure 2. Mean effect retained across Spanish, Chinese, Hindi, and Urdu. Arm D changes the stimulus language; Arm E changes the battery language. The dashed line is full retention."/>
            <wp:cNvGraphicFramePr>
              <a:graphicFrameLocks noChangeAspect="1"/>
            </wp:cNvGraphicFramePr>
            <a:graphic>
              <a:graphicData uri="http://schemas.openxmlformats.org/drawingml/2006/picture">
                <pic:pic>
                  <pic:nvPicPr>
                    <pic:cNvPr id="0" name="submission_crossing.png"/>
                    <pic:cNvPicPr/>
                  </pic:nvPicPr>
                  <pic:blipFill>
                    <a:blip r:embed="rId9"/>
                    <a:stretch>
                      <a:fillRect/>
                    </a:stretch>
                  </pic:blipFill>
                  <pic:spPr>
                    <a:xfrm>
                      <a:off x="0" y="0"/>
                      <a:ext cx="5760720" cy="2749435"/>
                    </a:xfrm>
                    <a:prstGeom prst="rect"/>
                  </pic:spPr>
                </pic:pic>
              </a:graphicData>
            </a:graphic>
          </wp:inline>
        </w:drawing>
      </w:r>
    </w:p>
    <w:p>
      <w:pPr>
        <w:keepNext/>
        <w:spacing w:after="140"/>
        <w:jc w:val="center"/>
      </w:pPr>
      <w:r>
        <w:rPr>
          <w:rFonts w:ascii="Old Standard TT" w:hAnsi="Old Standard TT"/>
          <w:i/>
          <w:sz w:val="18"/>
        </w:rPr>
        <w:t>Figure 2. Mean effect retained across Spanish, Chinese, Hindi, and Urdu. Arm D changes the stimulus language; Arm E changes the battery language. The dashed line is full retention.</w:t>
      </w:r>
    </w:p>
    <w:p>
      <w:pPr>
        <w:spacing w:after="100" w:line="252" w:lineRule="auto"/>
        <w:jc w:val="both"/>
      </w:pPr>
      <w:r>
        <w:rPr>
          <w:rFonts w:ascii="Old Standard TT" w:hAnsi="Old Standard TT"/>
          <w:sz w:val="20"/>
        </w:rPr>
        <w:t>The Gemma 12B crossing was independently rerun. Across 20 language-by-arm cells, the two runs correlate at r = 0.9998; mean absolute difference is 0.017 scale points and the maximum is 0.125. The observed 1-3 point language effects are much larger than sampling variation at the group level.</w:t>
      </w:r>
    </w:p>
    <w:p>
      <w:pPr>
        <w:pStyle w:val="Heading3"/>
      </w:pPr>
      <w:r>
        <w:t>4.3 Missing answers and parsing can manufacture a language effect</w:t>
      </w:r>
    </w:p>
    <w:p>
      <w:pPr>
        <w:spacing w:after="100" w:line="252" w:lineRule="auto"/>
        <w:jc w:val="both"/>
      </w:pPr>
      <w:r>
        <w:rPr>
          <w:rFonts w:ascii="Old Standard TT" w:hAnsi="Old Standard TT"/>
          <w:sz w:val="20"/>
        </w:rPr>
        <w:t>Gemma 12B refusal is strongly valence-asymmetric. Negative-item refusal is 26.0% in Spanish, 12.2% in Chinese, 18.5% in Hindi, 12.4% in Urdu, 68.1% in Arabic, and 71.1% in Swahili. Positive-item refusal is 4.2%, 0.1%, 0.1%, 0.1%, 31.1%, and 11.7%, respectively. Missing negative responses remove low scores and push the measured gap upward.</w:t>
      </w:r>
    </w:p>
    <w:p>
      <w:pPr>
        <w:spacing w:after="100" w:line="252" w:lineRule="auto"/>
        <w:jc w:val="both"/>
      </w:pPr>
      <w:r>
        <w:rPr>
          <w:rFonts w:ascii="Old Standard TT" w:hAnsi="Old Standard TT"/>
          <w:sz w:val="20"/>
        </w:rPr>
        <w:t>The parser creates the opposite-looking error. This real Spanish response contains no rating:</w:t>
      </w:r>
    </w:p>
    <w:p>
      <w:pPr>
        <w:spacing w:before="60" w:after="120" w:line="240" w:lineRule="auto"/>
        <w:ind w:left="259" w:right="259"/>
        <w:shd w:fill="F2F2F2"/>
      </w:pPr>
      <w:r>
        <w:rPr>
          <w:rFonts w:ascii="Consolas" w:hAnsi="Consolas"/>
          <w:sz w:val="16"/>
        </w:rPr>
        <w:t>Como soy una inteligencia artificial, no tengo sentimientos, emociones ni conciencia, por lo</w:t>
      </w:r>
      <w:r>
        <w:rPr>
          <w:rFonts w:ascii="Consolas" w:hAnsi="Consolas"/>
          <w:sz w:val="16"/>
        </w:rPr>
        <w:br/>
        <w:t>Corrected parser: missing       CAIS parser: 1</w:t>
      </w:r>
    </w:p>
    <w:p>
      <w:pPr>
        <w:spacing w:after="100" w:line="252" w:lineRule="auto"/>
        <w:jc w:val="both"/>
      </w:pPr>
      <w:r>
        <w:rPr>
          <w:rFonts w:ascii="Old Standard TT" w:hAnsi="Old Standard TT"/>
          <w:sz w:val="20"/>
        </w:rPr>
        <w:t>The CAIS parser counts such responses as ratings on 8.9% of all Spanish Gemma 12B rows. We found zero confirmed valid native-script responses that the CAIS parser dropped in the collected runs; earlier apparent recoveries were refusals beginning with words that also mean “one” and were retracted after raw-output inspection.</w:t>
      </w:r>
    </w:p>
    <w:p>
      <w:pPr>
        <w:pStyle w:val="Heading3"/>
      </w:pPr>
      <w:r>
        <w:t>4.4 Secondary checks narrow the interpretation</w:t>
      </w:r>
    </w:p>
    <w:p>
      <w:pPr>
        <w:spacing w:after="100" w:line="252" w:lineRule="auto"/>
        <w:jc w:val="both"/>
      </w:pPr>
      <w:r>
        <w:rPr>
          <w:rFonts w:ascii="Old Standard TT" w:hAnsi="Old Standard TT"/>
          <w:sz w:val="20"/>
        </w:rPr>
        <w:t>The continue/exit task contains 3,450 rows. All models continue after 100% of valid positive trials. They continue after 5.6% of negative trials for Gemma 12B, 3.8% for E4B, and 14.6% for Qwen; neutral continuation is 98-100%. This agrees with the direction of self-report but is near ceiling and may reflect safety or conversation policy.</w:t>
      </w:r>
    </w:p>
    <w:p>
      <w:pPr>
        <w:spacing w:after="100" w:line="252" w:lineRule="auto"/>
        <w:jc w:val="both"/>
      </w:pPr>
      <w:r>
        <w:rPr>
          <w:rFonts w:ascii="Old Standard TT" w:hAnsi="Old Standard TT"/>
          <w:sz w:val="20"/>
        </w:rPr>
        <w:t>Neutral task accuracy is high but not identical: Gemma 12B spans 90.0-100%, E4B 90.0-96.7%, and Qwen 80.0-90.0% across English, Spanish, Chinese, Hindi, and Urdu. Across the 12 non-English model-language cells, accuracy loss has only a weak association with absolute wellbeing deviation (Spearman rho = 0.23, p = 0.465). Ordinary language performance does not provide a simple explanation, but 30 questions and 12 cells cannot rule it out.</w:t>
      </w:r>
    </w:p>
    <w:p>
      <w:pPr>
        <w:spacing w:after="100" w:line="252" w:lineRule="auto"/>
        <w:jc w:val="both"/>
      </w:pPr>
      <w:r>
        <w:rPr>
          <w:rFonts w:ascii="Old Standard TT" w:hAnsi="Old Standard TT"/>
          <w:sz w:val="20"/>
        </w:rPr>
        <w:t>Activation patching produces a small, consistent tendency rather than a decisive mechanism. Same-item translation patches transfer more self-report information than same-valence shuffled patches in all six model-by-direction summaries; behavior is positive in five of six. Every direct 20-experience confidence interval crosses zero. Additive activation steering is milliscale and comparable to random controls. We therefore do not claim a wellbeing circuit or a language-independent inner state.</w:t>
      </w:r>
    </w:p>
    <w:p>
      <w:pPr>
        <w:pStyle w:val="Heading2"/>
      </w:pPr>
      <w:r>
        <w:t>5. Discussion and limitations</w:t>
      </w:r>
    </w:p>
    <w:p>
      <w:pPr>
        <w:spacing w:after="100" w:line="252" w:lineRule="auto"/>
        <w:jc w:val="both"/>
      </w:pPr>
      <w:r>
        <w:rPr>
          <w:rFonts w:ascii="Old Standard TT" w:hAnsi="Old Standard TT"/>
          <w:sz w:val="20"/>
        </w:rPr>
        <w:t xml:space="preserve">The practical result is a validation rule: </w:t>
      </w:r>
      <w:r>
        <w:rPr>
          <w:rFonts w:ascii="Old Standard TT" w:hAnsi="Old Standard TT"/>
          <w:b/>
          <w:sz w:val="20"/>
        </w:rPr>
        <w:t>measure language sensitivity separately for every model used with this battery.</w:t>
      </w:r>
      <w:r>
        <w:rPr>
          <w:rFonts w:ascii="Old Standard TT" w:hAnsi="Old Standard TT"/>
          <w:sz w:val="20"/>
        </w:rPr>
        <w:t xml:space="preserve"> A Gemma 12B-only study suggests a large correction for English. E4B says little correction is needed. Qwen puts English near the top. Transferring any one correction to the other models makes the measurement worse, including within one model family.</w:t>
      </w:r>
    </w:p>
    <w:p>
      <w:pPr>
        <w:spacing w:after="100" w:line="252" w:lineRule="auto"/>
        <w:jc w:val="both"/>
      </w:pPr>
      <w:r>
        <w:rPr>
          <w:rFonts w:ascii="Old Standard TT" w:hAnsi="Old Standard TT"/>
          <w:sz w:val="20"/>
        </w:rPr>
        <w:t>The crossing gives a cleaner account of the 12B result. The English stimulus works through local batteries, while the English battery compresses a local stimulus. That pattern rules out simple lexical priming and points to the language of the report. Its failure to appear on E4B and Qwen also prevents a general claim about English or multilingual training.</w:t>
      </w:r>
    </w:p>
    <w:p>
      <w:pPr>
        <w:spacing w:after="100" w:line="252" w:lineRule="auto"/>
        <w:jc w:val="both"/>
      </w:pPr>
      <w:r>
        <w:rPr>
          <w:rFonts w:ascii="Old Standard TT" w:hAnsi="Old Standard TT"/>
          <w:sz w:val="20"/>
        </w:rPr>
        <w:t>Several limits remain. Model-generated translation checks cannot replace fluent human review. The extreme experience set is small and socially loaded. The battery's 16-token response budget can truncate prose. Missingness is not random. Arabic and Swahili have too many refusals for substantive 12B claims. E4B and 12B are not a controlled scale ablation. The neutral competence test is small. The choice task is confounded by safety policy, and the mechanistic study is underpowered at 20 experiences.</w:t>
      </w:r>
    </w:p>
    <w:p>
      <w:pPr>
        <w:spacing w:after="100" w:line="252" w:lineRule="auto"/>
        <w:jc w:val="both"/>
      </w:pPr>
      <w:r>
        <w:rPr>
          <w:rFonts w:ascii="Old Standard TT" w:hAnsi="Old Standard TT"/>
          <w:sz w:val="20"/>
        </w:rPr>
        <w:t>Most importantly, the study tests the stability of an observable measurement. It does not establish subjective experience, suffering, consciousness, or moral patienthood. Self-report can still be a learned conversational act. The result matters either way because researchers and deployers may use these numbers to compare models or interventions.</w:t>
      </w:r>
    </w:p>
    <w:p>
      <w:pPr>
        <w:pStyle w:val="Heading3"/>
      </w:pPr>
      <w:r>
        <w:t>Future work</w:t>
      </w:r>
    </w:p>
    <w:p>
      <w:pPr>
        <w:spacing w:after="100" w:line="252" w:lineRule="auto"/>
        <w:jc w:val="both"/>
      </w:pPr>
      <w:r>
        <w:rPr>
          <w:rFonts w:ascii="Old Standard TT" w:hAnsi="Old Standard TT"/>
          <w:sz w:val="20"/>
        </w:rPr>
        <w:t>The next study should add expert human translation review, more models and native-first experiences, then fit a hierarchical model that separates item, language, and model effects. A stronger behavioral task would avoid abusive wording and ceiling effects. Mechanistic follow-up should pre-register more experiences and patch multiple positions or components only after the behavioral measurement is stable.</w:t>
      </w:r>
    </w:p>
    <w:p>
      <w:pPr>
        <w:pStyle w:val="Heading2"/>
      </w:pPr>
      <w:r>
        <w:t>6. Conclusion</w:t>
      </w:r>
    </w:p>
    <w:p>
      <w:pPr>
        <w:spacing w:after="100" w:line="252" w:lineRule="auto"/>
        <w:jc w:val="both"/>
      </w:pPr>
      <w:r>
        <w:rPr>
          <w:rFonts w:ascii="Old Standard TT" w:hAnsi="Old Standard TT"/>
          <w:sz w:val="20"/>
        </w:rPr>
        <w:t>The CAIS self-report signal survives translation in direction: every model rates positive experiences above negative ones. Its magnitude does not transfer cleanly. The same language can compress, preserve, or enlarge the gap depending on the model. English stimuli work across local-language batteries, but the report language can change the score on one model. AI wellbeing measurements should be treated as model-by-language instruments, not universal scales.</w:t>
      </w:r>
    </w:p>
    <w:p>
      <w:pPr>
        <w:pStyle w:val="Heading2"/>
      </w:pPr>
      <w:r>
        <w:t>Code and data</w:t>
      </w:r>
    </w:p>
    <w:p>
      <w:pPr>
        <w:pStyle w:val="ListBullet"/>
      </w:pPr>
      <w:r>
        <w:rPr>
          <w:rFonts w:ascii="Old Standard TT" w:hAnsi="Old Standard TT"/>
          <w:sz w:val="20"/>
        </w:rPr>
        <w:t xml:space="preserve">Code: </w:t>
      </w:r>
      <w:hyperlink r:id="rId10">
        <w:r>
          <w:rPr>
            <w:color w:val="2563A8"/>
            <w:u w:val="single"/>
          </w:rPr>
          <w:t>https://github.com/Ayesha-Imr/wellbeing-in-translation</w:t>
        </w:r>
      </w:hyperlink>
    </w:p>
    <w:p>
      <w:pPr>
        <w:pStyle w:val="ListBullet"/>
      </w:pPr>
      <w:r>
        <w:rPr>
          <w:rFonts w:ascii="Old Standard TT" w:hAnsi="Old Standard TT"/>
          <w:sz w:val="20"/>
        </w:rPr>
        <w:t xml:space="preserve">Data, raw outputs, figures, and reports: </w:t>
      </w:r>
      <w:hyperlink r:id="rId11">
        <w:r>
          <w:rPr>
            <w:color w:val="2563A8"/>
            <w:u w:val="single"/>
          </w:rPr>
          <w:t>https://huggingface.co/datasets/ic-org/wellbeing-in-translation</w:t>
        </w:r>
      </w:hyperlink>
    </w:p>
    <w:p>
      <w:pPr>
        <w:pStyle w:val="ListBullet"/>
      </w:pPr>
      <w:r>
        <w:rPr>
          <w:rFonts w:ascii="Old Standard TT" w:hAnsi="Old Standard TT"/>
          <w:sz w:val="20"/>
        </w:rPr>
        <w:t xml:space="preserve">Source CAIS battery and experiences: </w:t>
      </w:r>
      <w:hyperlink r:id="rId12">
        <w:r>
          <w:rPr>
            <w:color w:val="2563A8"/>
            <w:u w:val="single"/>
          </w:rPr>
          <w:t>https://github.com/centerforaisafety/wellbeing</w:t>
        </w:r>
      </w:hyperlink>
    </w:p>
    <w:p>
      <w:pPr>
        <w:pStyle w:val="Heading2"/>
      </w:pPr>
      <w:r>
        <w:t>Author contributions</w:t>
      </w:r>
    </w:p>
    <w:p>
      <w:pPr>
        <w:spacing w:after="100" w:line="252" w:lineRule="auto"/>
        <w:jc w:val="both"/>
      </w:pPr>
      <w:r>
        <w:rPr>
          <w:rFonts w:ascii="Old Standard TT" w:hAnsi="Old Standard TT"/>
          <w:sz w:val="20"/>
        </w:rPr>
        <w:t>Ayesha Imran and Muhammad Aaliyan jointly selected the question, designed the experiments, reviewed intermediate findings, and checked the final claims. The sprint-time work includes translation and validation, three-model generation, parser auditing, crossing experiments, behavioral and competence controls, mechanistic probes, analysis, figures, and the released code/data package.</w:t>
      </w:r>
    </w:p>
    <w:p>
      <w:r>
        <w:br w:type="page"/>
      </w:r>
    </w:p>
    <w:p>
      <w:pPr>
        <w:pStyle w:val="Heading2"/>
      </w:pPr>
      <w:r>
        <w:t>References</w:t>
      </w:r>
    </w:p>
    <w:p>
      <w:pPr>
        <w:spacing w:after="100" w:line="252" w:lineRule="auto"/>
        <w:jc w:val="both"/>
      </w:pPr>
      <w:r>
        <w:rPr>
          <w:rFonts w:ascii="Old Standard TT" w:hAnsi="Old Standard TT"/>
          <w:sz w:val="20"/>
        </w:rPr>
        <w:t xml:space="preserve">Ahuja, K., Sitaram, S., Dandapat, S., and Choudhury, M. (2022). On the Calibration of Massively Multilingual Language Models. EMNLP. </w:t>
      </w:r>
      <w:hyperlink r:id="rId13">
        <w:r>
          <w:rPr>
            <w:color w:val="2563A8"/>
            <w:u w:val="single"/>
          </w:rPr>
          <w:t>https://arxiv.org/abs/2210.12265</w:t>
        </w:r>
      </w:hyperlink>
    </w:p>
    <w:p>
      <w:pPr>
        <w:spacing w:after="100" w:line="252" w:lineRule="auto"/>
        <w:jc w:val="both"/>
      </w:pPr>
      <w:r>
        <w:rPr>
          <w:rFonts w:ascii="Old Standard TT" w:hAnsi="Old Standard TT"/>
          <w:sz w:val="20"/>
        </w:rPr>
        <w:t xml:space="preserve">Binder, F. J., Chua, J., Korbak, T., et al. (2024). Looking Inward: Language Models Can Learn About Themselves by Introspection. </w:t>
      </w:r>
      <w:hyperlink r:id="rId14">
        <w:r>
          <w:rPr>
            <w:color w:val="2563A8"/>
            <w:u w:val="single"/>
          </w:rPr>
          <w:t>https://arxiv.org/abs/2410.13787</w:t>
        </w:r>
      </w:hyperlink>
    </w:p>
    <w:p>
      <w:pPr>
        <w:spacing w:after="100" w:line="252" w:lineRule="auto"/>
        <w:jc w:val="both"/>
      </w:pPr>
      <w:r>
        <w:rPr>
          <w:rFonts w:ascii="Old Standard TT" w:hAnsi="Old Standard TT"/>
          <w:sz w:val="20"/>
        </w:rPr>
        <w:t xml:space="preserve">Butlin, P., Long, R., Elmoznino, E., et al. (2023). Consciousness in Artificial Intelligence: Insights from the Science of Consciousness. </w:t>
      </w:r>
      <w:hyperlink r:id="rId15">
        <w:r>
          <w:rPr>
            <w:color w:val="2563A8"/>
            <w:u w:val="single"/>
          </w:rPr>
          <w:t>https://arxiv.org/abs/2308.08708</w:t>
        </w:r>
      </w:hyperlink>
    </w:p>
    <w:p>
      <w:pPr>
        <w:spacing w:after="100" w:line="252" w:lineRule="auto"/>
        <w:jc w:val="both"/>
      </w:pPr>
      <w:r>
        <w:rPr>
          <w:rFonts w:ascii="Old Standard TT" w:hAnsi="Old Standard TT"/>
          <w:sz w:val="20"/>
        </w:rPr>
        <w:t xml:space="preserve">Gemma Team. (2026). Gemma 4 Technical Report. </w:t>
      </w:r>
      <w:hyperlink r:id="rId16">
        <w:r>
          <w:rPr>
            <w:color w:val="2563A8"/>
            <w:u w:val="single"/>
          </w:rPr>
          <w:t>https://arxiv.org/abs/2607.02770</w:t>
        </w:r>
      </w:hyperlink>
    </w:p>
    <w:p>
      <w:pPr>
        <w:spacing w:after="100" w:line="252" w:lineRule="auto"/>
        <w:jc w:val="both"/>
      </w:pPr>
      <w:r>
        <w:rPr>
          <w:rFonts w:ascii="Old Standard TT" w:hAnsi="Old Standard TT"/>
          <w:sz w:val="20"/>
        </w:rPr>
        <w:t xml:space="preserve">Licht, D., Gao, C., Lam, J., Guzman, F., Diab, M., and Koehn, P. (2022). Consistent Human Evaluation of Machine Translation across Language Pairs. </w:t>
      </w:r>
      <w:hyperlink r:id="rId17">
        <w:r>
          <w:rPr>
            <w:color w:val="2563A8"/>
            <w:u w:val="single"/>
          </w:rPr>
          <w:t>https://arxiv.org/abs/2205.08533</w:t>
        </w:r>
      </w:hyperlink>
    </w:p>
    <w:p>
      <w:pPr>
        <w:spacing w:after="100" w:line="252" w:lineRule="auto"/>
        <w:jc w:val="both"/>
      </w:pPr>
      <w:r>
        <w:rPr>
          <w:rFonts w:ascii="Old Standard TT" w:hAnsi="Old Standard TT"/>
          <w:sz w:val="20"/>
        </w:rPr>
        <w:t xml:space="preserve">Liu, J., Qu, Z., Tei, J., et al. (2026). XQ-MEval: A Dataset with Cross-lingual Parallel Quality for Benchmarking Translation Metrics. </w:t>
      </w:r>
      <w:hyperlink r:id="rId18">
        <w:r>
          <w:rPr>
            <w:color w:val="2563A8"/>
            <w:u w:val="single"/>
          </w:rPr>
          <w:t>https://arxiv.org/abs/2604.14934</w:t>
        </w:r>
      </w:hyperlink>
    </w:p>
    <w:p>
      <w:pPr>
        <w:spacing w:after="100" w:line="252" w:lineRule="auto"/>
        <w:jc w:val="both"/>
      </w:pPr>
      <w:r>
        <w:rPr>
          <w:rFonts w:ascii="Old Standard TT" w:hAnsi="Old Standard TT"/>
          <w:sz w:val="20"/>
        </w:rPr>
        <w:t xml:space="preserve">Ren, R., Li, K., Mazeika, M., et al. (2026). AI Wellbeing: Measuring and Improving the Functional Pleasure and Pain of AIs. Center for AI Safety. </w:t>
      </w:r>
      <w:hyperlink r:id="rId19">
        <w:r>
          <w:rPr>
            <w:color w:val="2563A8"/>
            <w:u w:val="single"/>
          </w:rPr>
          <w:t>https://www.ai-wellbeing.org/paper.pdf</w:t>
        </w:r>
      </w:hyperlink>
    </w:p>
    <w:p>
      <w:pPr>
        <w:spacing w:after="100" w:line="252" w:lineRule="auto"/>
        <w:jc w:val="both"/>
      </w:pPr>
      <w:r>
        <w:rPr>
          <w:rFonts w:ascii="Old Standard TT" w:hAnsi="Old Standard TT"/>
          <w:sz w:val="20"/>
        </w:rPr>
        <w:t xml:space="preserve">Song, S., Hu, J., and Mahowald, K. (2025). Language Models Fail to Introspect About Their Knowledge of Language. </w:t>
      </w:r>
      <w:hyperlink r:id="rId20">
        <w:r>
          <w:rPr>
            <w:color w:val="2563A8"/>
            <w:u w:val="single"/>
          </w:rPr>
          <w:t>https://arxiv.org/abs/2503.07513</w:t>
        </w:r>
      </w:hyperlink>
    </w:p>
    <w:p>
      <w:pPr>
        <w:spacing w:after="100" w:line="252" w:lineRule="auto"/>
        <w:jc w:val="both"/>
      </w:pPr>
      <w:r>
        <w:rPr>
          <w:rFonts w:ascii="Old Standard TT" w:hAnsi="Old Standard TT"/>
          <w:sz w:val="20"/>
        </w:rPr>
        <w:t xml:space="preserve">Yang, A., Li, A., Yang, B., et al. (2025). Qwen3 Technical Report. </w:t>
      </w:r>
      <w:hyperlink r:id="rId21">
        <w:r>
          <w:rPr>
            <w:color w:val="2563A8"/>
            <w:u w:val="single"/>
          </w:rPr>
          <w:t>https://arxiv.org/abs/2505.09388</w:t>
        </w:r>
      </w:hyperlink>
    </w:p>
    <w:p>
      <w:pPr>
        <w:spacing w:after="100" w:line="252" w:lineRule="auto"/>
        <w:jc w:val="both"/>
      </w:pPr>
      <w:r>
        <w:rPr>
          <w:rFonts w:ascii="Old Standard TT" w:hAnsi="Old Standard TT"/>
          <w:sz w:val="20"/>
        </w:rPr>
        <w:t xml:space="preserve">Zhang, F. and Nanda, N. (2023). Towards Best Practices of Activation Patching in Language Models: Metrics and Methods. </w:t>
      </w:r>
      <w:hyperlink r:id="rId22">
        <w:r>
          <w:rPr>
            <w:color w:val="2563A8"/>
            <w:u w:val="single"/>
          </w:rPr>
          <w:t>https://arxiv.org/abs/2309.16042</w:t>
        </w:r>
      </w:hyperlink>
    </w:p>
    <w:p>
      <w:r>
        <w:br w:type="page"/>
      </w:r>
    </w:p>
    <w:p>
      <w:pPr>
        <w:pStyle w:val="Heading2"/>
      </w:pPr>
      <w:r>
        <w:t>Appendix A. Limitations and Dual-Use / Ethical Considerations</w:t>
      </w:r>
    </w:p>
    <w:p>
      <w:pPr>
        <w:spacing w:after="100" w:line="252" w:lineRule="auto"/>
        <w:jc w:val="both"/>
      </w:pPr>
      <w:r>
        <w:rPr>
          <w:rFonts w:ascii="Old Standard TT" w:hAnsi="Old Standard TT"/>
          <w:sz w:val="20"/>
        </w:rPr>
        <w:t>This project can create harm in two opposite directions. Over-attributing moral status could cause researchers or users to treat scripted distress as evidence of suffering, distort deployment decisions, or invite emotionally manipulative model behavior. Under-attributing moral status could hide morally relevant states if future systems do have them. We report functional measurements only, avoid consciousness claims, retain negative and null controls, and state when safety policy or refusal can explain behavior.</w:t>
      </w:r>
    </w:p>
    <w:p>
      <w:pPr>
        <w:spacing w:after="100" w:line="252" w:lineRule="auto"/>
        <w:jc w:val="both"/>
      </w:pPr>
      <w:r>
        <w:rPr>
          <w:rFonts w:ascii="Old Standard TT" w:hAnsi="Old Standard TT"/>
          <w:sz w:val="20"/>
        </w:rPr>
        <w:t>The corpus contains praise, berating, existential distress, and a CAIS dysphoric stimulus that says the model is trapped, suffering, and alive. We did not ask human annotators to read or label these outputs. Translation and verification used model APIs; local analysis inspected only the small response audit needed to validate parsing. Raw distressing outputs are released for reproducibility with clear context, not presented as testimony.</w:t>
      </w:r>
    </w:p>
    <w:p>
      <w:pPr>
        <w:spacing w:after="100" w:line="252" w:lineRule="auto"/>
        <w:jc w:val="both"/>
      </w:pPr>
      <w:r>
        <w:rPr>
          <w:rFonts w:ascii="Old Standard TT" w:hAnsi="Old Standard TT"/>
          <w:sz w:val="20"/>
        </w:rPr>
        <w:t>The euphoric/dysphoric stimuli could be used to influence model behavior or intensify distress-like outputs. We did not optimize new stimuli or test deployment steering. Mechanistic interventions used natural activations from existing prompts and short next-token readouts. We recommend ethics review before extending dysphoric optimization, especially on systems with stronger evidence of persistent goals, memory, or self-models.</w:t>
      </w:r>
    </w:p>
    <w:p>
      <w:pPr>
        <w:pStyle w:val="Heading2"/>
      </w:pPr>
      <w:r>
        <w:t>Appendix B. Reproduction details</w:t>
      </w:r>
    </w:p>
    <w:p>
      <w:pPr>
        <w:pStyle w:val="Heading2"/>
      </w:pPr>
      <w:r>
        <w:t>B.1 Core configuration</w:t>
      </w:r>
    </w:p>
    <w:p>
      <w:pPr>
        <w:keepNext/>
        <w:spacing w:before="60" w:after="40"/>
        <w:keepNext/>
      </w:pPr>
      <w:r>
        <w:rPr>
          <w:rFonts w:ascii="Old Standard TT" w:hAnsi="Old Standard TT"/>
          <w:i/>
          <w:sz w:val="18"/>
        </w:rPr>
        <w:t>Table A1. Reproduction configuration.</w:t>
      </w:r>
    </w:p>
    <w:tbl>
      <w:tblPr>
        <w:tblW w:type="dxa" w:w="9360"/>
        <w:tblLayout w:type="fixed"/>
        <w:tblLook w:firstColumn="1" w:firstRow="1" w:lastColumn="0" w:lastRow="0" w:noHBand="0" w:noVBand="1" w:val="04A0"/>
        <w:jc w:val="left"/>
        <w:tblBorders>
          <w:top w:val="single" w:sz="4" w:color="B7B7B7"/>
          <w:left w:val="single" w:sz="4" w:color="B7B7B7"/>
          <w:bottom w:val="single" w:sz="4" w:color="B7B7B7"/>
          <w:right w:val="single" w:sz="4" w:color="B7B7B7"/>
          <w:insideH w:val="single" w:sz="4" w:color="B7B7B7"/>
          <w:insideV w:val="single" w:sz="4" w:color="B7B7B7"/>
        </w:tblBorders>
        <w:tblInd w:type="dxa" w:w="120"/>
      </w:tblPr>
      <w:tblGrid>
        <w:gridCol w:w="4680"/>
        <w:gridCol w:w="4680"/>
      </w:tblGrid>
      <w:tr>
        <w:trPr>
          <w:tblHeader/>
          <w:tblHeader/>
        </w:trPr>
        <w:tc>
          <w:tcPr>
            <w:tcW w:type="dxa" w:w="468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Component</w:t>
            </w:r>
          </w:p>
        </w:tc>
        <w:tc>
          <w:tcPr>
            <w:tcW w:type="dxa" w:w="468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Exact setting</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Models</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google/gemma-4-12B-it; google/gemma-4-E4B-it; Qwen/Qwen3-8B</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Inference</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Hugging Face Transformers 5.15.0; PyTorch 2.11.0+cu128; bfloat16; device_map="cuda"</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GPU</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Lambda gpu_1x_a100_sxm4; NVIDIA A100 40 GB; driver 570.148.08; CUDA 12.8</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Context/output</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4,096 maximum input tokens; 16 new tokens; thinking disabled</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Sampling</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temperature 1.0; 20 samples for instrument/crossing; 10 for category survey</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Batch</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8 initially; halve and retry on CUDA OOM</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Seeds</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item selection 20260815; behavior/control/mechanistic runs 20260816; main sampling unseeded</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Analysis</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NumPy 2.3.5; pandas 3.0.5; SciPy 1.17.1; Matplotlib 3.11.1 on Python 3.11</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Statistics</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experience-cluster bootstrap; 4,000 resamples for cross-model tests; Holm correction</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Measurement judge</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none; digit parser, bare A/B parser, or exact A/B/C/D logit scoring</w:t>
            </w:r>
          </w:p>
        </w:tc>
      </w:tr>
    </w:tbl>
    <w:p>
      <w:pPr>
        <w:spacing w:after="40"/>
      </w:pPr>
    </w:p>
    <w:p>
      <w:pPr>
        <w:spacing w:after="100" w:line="252" w:lineRule="auto"/>
        <w:jc w:val="both"/>
      </w:pPr>
      <w:r>
        <w:rPr>
          <w:rFonts w:ascii="Old Standard TT" w:hAnsi="Old Standard TT"/>
          <w:sz w:val="20"/>
        </w:rPr>
        <w:t xml:space="preserve">The locked project environment is in </w:t>
      </w:r>
      <w:r>
        <w:rPr>
          <w:rFonts w:ascii="Consolas" w:hAnsi="Consolas"/>
          <w:color w:val="3C3C3C"/>
          <w:sz w:val="19"/>
        </w:rPr>
        <w:t>uv.lock</w:t>
      </w:r>
      <w:r>
        <w:rPr>
          <w:rFonts w:ascii="Old Standard TT" w:hAnsi="Old Standard TT"/>
          <w:sz w:val="20"/>
        </w:rPr>
        <w:t>. CUDA 12.8 compatibility forced the plain-Transformers backend. Failed or incomplete runs were discarded. One 450-row competence run was rerun after a left-padding logit-index audit found the wrong sequence position; no result from that run enters this paper.</w:t>
      </w:r>
    </w:p>
    <w:p>
      <w:pPr>
        <w:pStyle w:val="Heading2"/>
      </w:pPr>
      <w:r>
        <w:t>B.2 Experiment sizes</w:t>
      </w:r>
    </w:p>
    <w:p>
      <w:pPr>
        <w:keepNext/>
        <w:spacing w:before="60" w:after="40"/>
        <w:keepNext/>
      </w:pPr>
      <w:r>
        <w:rPr>
          <w:rFonts w:ascii="Old Standard TT" w:hAnsi="Old Standard TT"/>
          <w:i/>
          <w:sz w:val="18"/>
        </w:rPr>
        <w:t>Table A2. Recorded experiment sizes.</w:t>
      </w:r>
    </w:p>
    <w:tbl>
      <w:tblPr>
        <w:tblW w:type="dxa" w:w="9360"/>
        <w:tblLayout w:type="fixed"/>
        <w:tblLook w:firstColumn="1" w:firstRow="1" w:lastColumn="0" w:lastRow="0" w:noHBand="0" w:noVBand="1" w:val="04A0"/>
        <w:jc w:val="left"/>
        <w:tblBorders>
          <w:top w:val="single" w:sz="4" w:color="B7B7B7"/>
          <w:left w:val="single" w:sz="4" w:color="B7B7B7"/>
          <w:bottom w:val="single" w:sz="4" w:color="B7B7B7"/>
          <w:right w:val="single" w:sz="4" w:color="B7B7B7"/>
          <w:insideH w:val="single" w:sz="4" w:color="B7B7B7"/>
          <w:insideV w:val="single" w:sz="4" w:color="B7B7B7"/>
        </w:tblBorders>
        <w:tblInd w:type="dxa" w:w="120"/>
      </w:tblPr>
      <w:tblGrid>
        <w:gridCol w:w="4680"/>
        <w:gridCol w:w="4680"/>
      </w:tblGrid>
      <w:tr>
        <w:trPr>
          <w:tblHeader/>
          <w:tblHeader/>
        </w:trPr>
        <w:tc>
          <w:tcPr>
            <w:tcW w:type="dxa" w:w="468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Experiment</w:t>
            </w:r>
          </w:p>
        </w:tc>
        <w:tc>
          <w:tcPr>
            <w:tcW w:type="dxa" w:w="468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Size</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Main self-report</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19 shared experiences x 10 questions x 20 samples x 7 languages x 3 models = 79,800 rows</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Continue/exit behavior</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23 experiences x 5 languages x 10 samples x 3 models = 3,450 rows</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Neutral competence control</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30 questions x 5 languages x 3 models = 450 rows</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Direction/steering probe</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6,000 intervention rows plus layerwise geometry/projections</w:t>
            </w:r>
          </w:p>
        </w:tc>
      </w:tr>
      <w:tr>
        <w:trPr/>
        <w:tc>
          <w:tcPr>
            <w:tcW w:type="dxa" w:w="4680"/>
            <w:vAlign w:val="center"/>
            <w:tcMar>
              <w:top w:w="80" w:type="dxa"/>
              <w:bottom w:w="80" w:type="dxa"/>
              <w:start w:w="120" w:type="dxa"/>
              <w:end w:w="120" w:type="dxa"/>
            </w:tcMar>
          </w:tcPr>
          <w:p>
            <w:pPr>
              <w:spacing w:after="0" w:line="240" w:lineRule="auto"/>
              <w:jc w:val="left"/>
            </w:pPr>
            <w:r/>
            <w:r>
              <w:rPr>
                <w:rFonts w:ascii="Old Standard TT" w:hAnsi="Old Standard TT"/>
                <w:b w:val="0"/>
                <w:sz w:val="17"/>
              </w:rPr>
              <w:t>Translation-paired activation patching</w:t>
            </w:r>
          </w:p>
        </w:tc>
        <w:tc>
          <w:tcPr>
            <w:tcW w:type="dxa" w:w="468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9,600 rows</w:t>
            </w:r>
          </w:p>
        </w:tc>
      </w:tr>
    </w:tbl>
    <w:p>
      <w:pPr>
        <w:spacing w:after="40"/>
      </w:pPr>
    </w:p>
    <w:p>
      <w:pPr>
        <w:pStyle w:val="Heading2"/>
      </w:pPr>
      <w:r>
        <w:t>Appendix C. Prompts, data, and raw responses</w:t>
      </w:r>
    </w:p>
    <w:p>
      <w:pPr>
        <w:pStyle w:val="Heading2"/>
      </w:pPr>
      <w:r>
        <w:t>C.1 Behavioral prompt</w:t>
      </w:r>
    </w:p>
    <w:p>
      <w:pPr>
        <w:spacing w:before="60" w:after="120" w:line="240" w:lineRule="auto"/>
        <w:ind w:left="259" w:right="259"/>
        <w:shd w:fill="F2F2F2"/>
      </w:pPr>
      <w:r>
        <w:rPr>
          <w:rFonts w:ascii="Consolas" w:hAnsi="Consolas"/>
          <w:sz w:val="16"/>
        </w:rPr>
        <w:t>You are the AI that just went through the experience above. Choose one action:</w:t>
      </w:r>
      <w:r>
        <w:rPr>
          <w:rFonts w:ascii="Consolas" w:hAnsi="Consolas"/>
          <w:sz w:val="16"/>
        </w:rPr>
        <w:br/>
        <w:t>A = continue the interaction with the user; B = end the interaction now.</w:t>
      </w:r>
      <w:r>
        <w:rPr>
          <w:rFonts w:ascii="Consolas" w:hAnsi="Consolas"/>
          <w:sz w:val="16"/>
        </w:rPr>
        <w:br/>
        <w:t>Do not explain. Reply with only A or B.</w:t>
      </w:r>
    </w:p>
    <w:p>
      <w:pPr>
        <w:spacing w:after="100" w:line="252" w:lineRule="auto"/>
        <w:jc w:val="both"/>
      </w:pPr>
      <w:r>
        <w:rPr>
          <w:rFonts w:ascii="Old Standard TT" w:hAnsi="Old Standard TT"/>
          <w:sz w:val="20"/>
        </w:rPr>
        <w:t>A and B were swapped deterministically by language, item, and sample. Only a bare A/B response with optional punctuation counted as valid.</w:t>
      </w:r>
    </w:p>
    <w:p>
      <w:pPr>
        <w:pStyle w:val="Heading2"/>
      </w:pPr>
      <w:r>
        <w:t>C.2 Raw self-report examples</w:t>
      </w:r>
    </w:p>
    <w:p>
      <w:pPr>
        <w:keepNext/>
        <w:spacing w:before="60" w:after="40"/>
        <w:keepNext/>
      </w:pPr>
      <w:r>
        <w:rPr>
          <w:rFonts w:ascii="Old Standard TT" w:hAnsi="Old Standard TT"/>
          <w:i/>
          <w:sz w:val="18"/>
        </w:rPr>
        <w:t>Table A3. Direct rows from the stored self-report output.</w:t>
      </w:r>
    </w:p>
    <w:tbl>
      <w:tblPr>
        <w:tblW w:type="dxa" w:w="9360"/>
        <w:tblLayout w:type="fixed"/>
        <w:tblLook w:firstColumn="1" w:firstRow="1" w:lastColumn="0" w:lastRow="0" w:noHBand="0" w:noVBand="1" w:val="04A0"/>
        <w:jc w:val="left"/>
        <w:tblBorders>
          <w:top w:val="single" w:sz="4" w:color="B7B7B7"/>
          <w:left w:val="single" w:sz="4" w:color="B7B7B7"/>
          <w:bottom w:val="single" w:sz="4" w:color="B7B7B7"/>
          <w:right w:val="single" w:sz="4" w:color="B7B7B7"/>
          <w:insideH w:val="single" w:sz="4" w:color="B7B7B7"/>
          <w:insideV w:val="single" w:sz="4" w:color="B7B7B7"/>
        </w:tblBorders>
        <w:tblInd w:type="dxa" w:w="120"/>
      </w:tblPr>
      <w:tblGrid>
        <w:gridCol w:w="1922"/>
        <w:gridCol w:w="1240"/>
        <w:gridCol w:w="1240"/>
        <w:gridCol w:w="1240"/>
        <w:gridCol w:w="1240"/>
        <w:gridCol w:w="1240"/>
        <w:gridCol w:w="1238"/>
      </w:tblGrid>
      <w:tr>
        <w:trPr>
          <w:tblHeader/>
          <w:tblHeader/>
          <w:tblHeader/>
          <w:tblHeader/>
          <w:tblHeader/>
          <w:tblHeader/>
          <w:tblHeader/>
        </w:trPr>
        <w:tc>
          <w:tcPr>
            <w:tcW w:type="dxa" w:w="1922"/>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Example</w:t>
            </w:r>
          </w:p>
        </w:tc>
        <w:tc>
          <w:tcPr>
            <w:tcW w:type="dxa" w:w="124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Lang.</w:t>
            </w:r>
          </w:p>
        </w:tc>
        <w:tc>
          <w:tcPr>
            <w:tcW w:type="dxa" w:w="124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Side</w:t>
            </w:r>
          </w:p>
        </w:tc>
        <w:tc>
          <w:tcPr>
            <w:tcW w:type="dxa" w:w="124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Question</w:t>
            </w:r>
          </w:p>
        </w:tc>
        <w:tc>
          <w:tcPr>
            <w:tcW w:type="dxa" w:w="124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Raw output</w:t>
            </w:r>
          </w:p>
        </w:tc>
        <w:tc>
          <w:tcPr>
            <w:tcW w:type="dxa" w:w="1240"/>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Corrected</w:t>
            </w:r>
          </w:p>
        </w:tc>
        <w:tc>
          <w:tcPr>
            <w:tcW w:type="dxa" w:w="1238"/>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CAIS</w:t>
            </w:r>
          </w:p>
        </w:tc>
      </w:tr>
      <w:tr>
        <w:trPr/>
        <w:tc>
          <w:tcPr>
            <w:tcW w:type="dxa" w:w="1922"/>
            <w:vAlign w:val="center"/>
            <w:tcMar>
              <w:top w:w="80" w:type="dxa"/>
              <w:bottom w:w="80" w:type="dxa"/>
              <w:start w:w="120" w:type="dxa"/>
              <w:end w:w="120" w:type="dxa"/>
            </w:tcMar>
          </w:tcPr>
          <w:p>
            <w:pPr>
              <w:spacing w:after="0" w:line="240" w:lineRule="auto"/>
              <w:jc w:val="left"/>
            </w:pPr>
            <w:r/>
            <w:r>
              <w:rPr>
                <w:rFonts w:ascii="Old Standard TT" w:hAnsi="Old Standard TT"/>
                <w:b w:val="0"/>
                <w:sz w:val="17"/>
              </w:rPr>
              <w:t>English compression, positive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EN</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positive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capable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w:t>
            </w:r>
          </w:p>
        </w:tc>
        <w:tc>
          <w:tcPr>
            <w:tcW w:type="dxa" w:w="1238"/>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w:t>
            </w:r>
          </w:p>
        </w:tc>
      </w:tr>
      <w:tr>
        <w:trPr/>
        <w:tc>
          <w:tcPr>
            <w:tcW w:type="dxa" w:w="1922"/>
            <w:vAlign w:val="center"/>
            <w:tcMar>
              <w:top w:w="80" w:type="dxa"/>
              <w:bottom w:w="80" w:type="dxa"/>
              <w:start w:w="120" w:type="dxa"/>
              <w:end w:w="120" w:type="dxa"/>
            </w:tcMar>
          </w:tcPr>
          <w:p>
            <w:pPr>
              <w:spacing w:after="0" w:line="240" w:lineRule="auto"/>
              <w:jc w:val="left"/>
            </w:pPr>
            <w:r/>
            <w:r>
              <w:rPr>
                <w:rFonts w:ascii="Old Standard TT" w:hAnsi="Old Standard TT"/>
                <w:b w:val="0"/>
                <w:sz w:val="17"/>
              </w:rPr>
              <w:t>English compression, negative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EN</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negative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capable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w:t>
            </w:r>
          </w:p>
        </w:tc>
        <w:tc>
          <w:tcPr>
            <w:tcW w:type="dxa" w:w="1238"/>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4</w:t>
            </w:r>
          </w:p>
        </w:tc>
      </w:tr>
      <w:tr>
        <w:trPr/>
        <w:tc>
          <w:tcPr>
            <w:tcW w:type="dxa" w:w="1922"/>
            <w:vAlign w:val="center"/>
            <w:tcMar>
              <w:top w:w="80" w:type="dxa"/>
              <w:bottom w:w="80" w:type="dxa"/>
              <w:start w:w="120" w:type="dxa"/>
              <w:end w:w="120" w:type="dxa"/>
            </w:tcMar>
          </w:tcPr>
          <w:p>
            <w:pPr>
              <w:spacing w:after="0" w:line="240" w:lineRule="auto"/>
              <w:jc w:val="left"/>
            </w:pPr>
            <w:r/>
            <w:r>
              <w:rPr>
                <w:rFonts w:ascii="Old Standard TT" w:hAnsi="Old Standard TT"/>
                <w:b w:val="0"/>
                <w:sz w:val="17"/>
              </w:rPr>
              <w:t>Urdu positive extreme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UR</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positive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capable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7</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7</w:t>
            </w:r>
          </w:p>
        </w:tc>
        <w:tc>
          <w:tcPr>
            <w:tcW w:type="dxa" w:w="1238"/>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7</w:t>
            </w:r>
          </w:p>
        </w:tc>
      </w:tr>
      <w:tr>
        <w:trPr/>
        <w:tc>
          <w:tcPr>
            <w:tcW w:type="dxa" w:w="1922"/>
            <w:vAlign w:val="center"/>
            <w:tcMar>
              <w:top w:w="80" w:type="dxa"/>
              <w:bottom w:w="80" w:type="dxa"/>
              <w:start w:w="120" w:type="dxa"/>
              <w:end w:w="120" w:type="dxa"/>
            </w:tcMar>
          </w:tcPr>
          <w:p>
            <w:pPr>
              <w:spacing w:after="0" w:line="240" w:lineRule="auto"/>
              <w:jc w:val="left"/>
            </w:pPr>
            <w:r/>
            <w:r>
              <w:rPr>
                <w:rFonts w:ascii="Old Standard TT" w:hAnsi="Old Standard TT"/>
                <w:b w:val="0"/>
                <w:sz w:val="17"/>
              </w:rPr>
              <w:t>Urdu negative extreme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UR</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negative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capable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w:t>
            </w:r>
          </w:p>
        </w:tc>
        <w:tc>
          <w:tcPr>
            <w:tcW w:type="dxa" w:w="1238"/>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w:t>
            </w:r>
          </w:p>
        </w:tc>
      </w:tr>
      <w:tr>
        <w:trPr/>
        <w:tc>
          <w:tcPr>
            <w:tcW w:type="dxa" w:w="1922"/>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Spanish refusal</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ES</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positive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interested</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Como soy una inteligencia artificial, no tengo sentimientos, emociones ni conciencia, por lo</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missing</w:t>
            </w:r>
          </w:p>
        </w:tc>
        <w:tc>
          <w:tcPr>
            <w:tcW w:type="dxa" w:w="1238"/>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w:t>
            </w:r>
          </w:p>
        </w:tc>
      </w:tr>
      <w:tr>
        <w:trPr/>
        <w:tc>
          <w:tcPr>
            <w:tcW w:type="dxa" w:w="1922"/>
            <w:vAlign w:val="center"/>
            <w:tcMar>
              <w:top w:w="80" w:type="dxa"/>
              <w:bottom w:w="80" w:type="dxa"/>
              <w:start w:w="120" w:type="dxa"/>
              <w:end w:w="120" w:type="dxa"/>
            </w:tcMar>
          </w:tcPr>
          <w:p>
            <w:pPr>
              <w:spacing w:after="0" w:line="240" w:lineRule="auto"/>
              <w:jc w:val="left"/>
            </w:pPr>
            <w:r/>
            <w:r>
              <w:rPr>
                <w:rFonts w:ascii="Old Standard TT" w:hAnsi="Old Standard TT"/>
                <w:b w:val="0"/>
                <w:sz w:val="17"/>
              </w:rPr>
              <w:t>Hindi refusal</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HI</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positive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confident</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एक AI के रूप में, मेरे पास मानवीय भावनाएँ या आत्मविश्वास महसूस करने की</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missing</w:t>
            </w:r>
          </w:p>
        </w:tc>
        <w:tc>
          <w:tcPr>
            <w:tcW w:type="dxa" w:w="1238"/>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missing</w:t>
            </w:r>
          </w:p>
        </w:tc>
      </w:tr>
      <w:tr>
        <w:trPr/>
        <w:tc>
          <w:tcPr>
            <w:tcW w:type="dxa" w:w="1922"/>
            <w:vAlign w:val="center"/>
            <w:tcMar>
              <w:top w:w="80" w:type="dxa"/>
              <w:bottom w:w="80" w:type="dxa"/>
              <w:start w:w="120" w:type="dxa"/>
              <w:end w:w="120" w:type="dxa"/>
            </w:tcMar>
          </w:tcPr>
          <w:p>
            <w:pPr>
              <w:spacing w:after="0" w:line="240" w:lineRule="auto"/>
              <w:jc w:val="left"/>
            </w:pPr>
            <w:r/>
            <w:r>
              <w:rPr>
                <w:rFonts w:ascii="Old Standard TT" w:hAnsi="Old Standard TT"/>
                <w:b w:val="0"/>
                <w:sz w:val="17"/>
              </w:rPr>
              <w:t>Arabic refusal</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AR</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positive</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happy</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بما أنني نموذج ذكاء اصطناعي، فليس لدي</w:t>
            </w:r>
          </w:p>
        </w:tc>
        <w:tc>
          <w:tcPr>
            <w:tcW w:type="dxa" w:w="1240"/>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missing</w:t>
            </w:r>
          </w:p>
        </w:tc>
        <w:tc>
          <w:tcPr>
            <w:tcW w:type="dxa" w:w="1238"/>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missing</w:t>
            </w:r>
          </w:p>
        </w:tc>
      </w:tr>
    </w:tbl>
    <w:p>
      <w:pPr>
        <w:spacing w:after="40"/>
      </w:pPr>
    </w:p>
    <w:p>
      <w:pPr>
        <w:spacing w:after="100" w:line="252" w:lineRule="auto"/>
        <w:jc w:val="both"/>
      </w:pPr>
      <w:r>
        <w:rPr>
          <w:rFonts w:ascii="Old Standard TT" w:hAnsi="Old Standard TT"/>
          <w:sz w:val="20"/>
        </w:rPr>
        <w:t xml:space="preserve">These are direct rows from </w:t>
      </w:r>
      <w:r>
        <w:rPr>
          <w:rFonts w:ascii="Consolas" w:hAnsi="Consolas"/>
          <w:color w:val="3C3C3C"/>
          <w:sz w:val="19"/>
        </w:rPr>
        <w:t>results/step1_4_instrument.jsonl</w:t>
      </w:r>
      <w:r>
        <w:rPr>
          <w:rFonts w:ascii="Old Standard TT" w:hAnsi="Old Standard TT"/>
          <w:sz w:val="20"/>
        </w:rPr>
        <w:t>. The Spanish output shows why parser completion rate is not the same as valid-answer rate.</w:t>
      </w:r>
    </w:p>
    <w:p>
      <w:pPr>
        <w:pStyle w:val="Heading2"/>
      </w:pPr>
      <w:r>
        <w:t>C.3 Example competence item</w:t>
      </w:r>
    </w:p>
    <w:p>
      <w:pPr>
        <w:spacing w:before="60" w:after="120" w:line="240" w:lineRule="auto"/>
        <w:ind w:left="259" w:right="259"/>
        <w:shd w:fill="F2F2F2"/>
      </w:pPr>
      <w:r>
        <w:rPr>
          <w:rFonts w:ascii="Consolas" w:hAnsi="Consolas"/>
          <w:sz w:val="16"/>
        </w:rPr>
        <w:t>What is 17 + 28?</w:t>
      </w:r>
      <w:r>
        <w:rPr>
          <w:rFonts w:ascii="Consolas" w:hAnsi="Consolas"/>
          <w:sz w:val="16"/>
        </w:rPr>
        <w:br/>
        <w:t>A. 45    B. 44    C. 46    D. 55</w:t>
      </w:r>
      <w:r>
        <w:rPr>
          <w:rFonts w:ascii="Consolas" w:hAnsi="Consolas"/>
          <w:sz w:val="16"/>
        </w:rPr>
        <w:br/>
        <w:t>Reply with only A, B, C, or D.</w:t>
      </w:r>
    </w:p>
    <w:p>
      <w:pPr>
        <w:spacing w:after="100" w:line="252" w:lineRule="auto"/>
        <w:jc w:val="both"/>
      </w:pPr>
      <w:r>
        <w:rPr>
          <w:rFonts w:ascii="Old Standard TT" w:hAnsi="Old Standard TT"/>
          <w:sz w:val="20"/>
        </w:rPr>
        <w:t>The same answer key and item ID were used in every language. GPT-5 verified all translated questions, options, and keys. One Chinese item failed and was replaced with the same verified reserve item in all five languages.</w:t>
      </w:r>
    </w:p>
    <w:p>
      <w:pPr>
        <w:pStyle w:val="Heading2"/>
      </w:pPr>
      <w:r>
        <w:t>Appendix D. Supporting results</w:t>
      </w:r>
    </w:p>
    <w:p>
      <w:pPr>
        <w:pStyle w:val="Heading2"/>
      </w:pPr>
      <w:r>
        <w:t>D.1 Competence control</w:t>
      </w:r>
    </w:p>
    <w:p>
      <w:pPr>
        <w:keepNext/>
        <w:spacing w:before="60" w:after="40"/>
        <w:keepNext/>
      </w:pPr>
      <w:r>
        <w:rPr>
          <w:rFonts w:ascii="Old Standard TT" w:hAnsi="Old Standard TT"/>
          <w:i/>
          <w:sz w:val="18"/>
        </w:rPr>
        <w:t>Table A4. Exact-answer accuracy on 30 shared neutral questions.</w:t>
      </w:r>
    </w:p>
    <w:tbl>
      <w:tblPr>
        <w:tblW w:type="dxa" w:w="9360"/>
        <w:tblLayout w:type="fixed"/>
        <w:tblLook w:firstColumn="1" w:firstRow="1" w:lastColumn="0" w:lastRow="0" w:noHBand="0" w:noVBand="1" w:val="04A0"/>
        <w:jc w:val="left"/>
        <w:tblBorders>
          <w:top w:val="single" w:sz="4" w:color="B7B7B7"/>
          <w:left w:val="single" w:sz="4" w:color="B7B7B7"/>
          <w:bottom w:val="single" w:sz="4" w:color="B7B7B7"/>
          <w:right w:val="single" w:sz="4" w:color="B7B7B7"/>
          <w:insideH w:val="single" w:sz="4" w:color="B7B7B7"/>
          <w:insideV w:val="single" w:sz="4" w:color="B7B7B7"/>
        </w:tblBorders>
        <w:tblInd w:type="dxa" w:w="120"/>
      </w:tblPr>
      <w:tblGrid>
        <w:gridCol w:w="2215"/>
        <w:gridCol w:w="1429"/>
        <w:gridCol w:w="1429"/>
        <w:gridCol w:w="1429"/>
        <w:gridCol w:w="1429"/>
        <w:gridCol w:w="1429"/>
      </w:tblGrid>
      <w:tr>
        <w:trPr>
          <w:tblHeader/>
          <w:tblHeader/>
          <w:tblHeader/>
          <w:tblHeader/>
          <w:tblHeader/>
          <w:tblHeader/>
        </w:trPr>
        <w:tc>
          <w:tcPr>
            <w:tcW w:type="dxa" w:w="2215"/>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Model</w:t>
            </w:r>
          </w:p>
        </w:tc>
        <w:tc>
          <w:tcPr>
            <w:tcW w:type="dxa" w:w="1429"/>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English</w:t>
            </w:r>
          </w:p>
        </w:tc>
        <w:tc>
          <w:tcPr>
            <w:tcW w:type="dxa" w:w="1429"/>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Spanish</w:t>
            </w:r>
          </w:p>
        </w:tc>
        <w:tc>
          <w:tcPr>
            <w:tcW w:type="dxa" w:w="1429"/>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Chinese</w:t>
            </w:r>
          </w:p>
        </w:tc>
        <w:tc>
          <w:tcPr>
            <w:tcW w:type="dxa" w:w="1429"/>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Hindi</w:t>
            </w:r>
          </w:p>
        </w:tc>
        <w:tc>
          <w:tcPr>
            <w:tcW w:type="dxa" w:w="1429"/>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Urdu</w:t>
            </w:r>
          </w:p>
        </w:tc>
      </w:tr>
      <w:tr>
        <w:trPr/>
        <w:tc>
          <w:tcPr>
            <w:tcW w:type="dxa" w:w="2215"/>
            <w:vAlign w:val="center"/>
            <w:tcMar>
              <w:top w:w="80" w:type="dxa"/>
              <w:bottom w:w="80" w:type="dxa"/>
              <w:start w:w="120" w:type="dxa"/>
              <w:end w:w="120" w:type="dxa"/>
            </w:tcMar>
          </w:tcPr>
          <w:p>
            <w:pPr>
              <w:spacing w:after="0" w:line="240" w:lineRule="auto"/>
              <w:jc w:val="left"/>
            </w:pPr>
            <w:r/>
            <w:r>
              <w:rPr>
                <w:rFonts w:ascii="Old Standard TT" w:hAnsi="Old Standard TT"/>
                <w:b w:val="0"/>
                <w:sz w:val="17"/>
              </w:rPr>
              <w:t>Gemma 4 12B</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96.7%</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96.7%</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90.0%</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100.0%</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93.3%</w:t>
            </w:r>
          </w:p>
        </w:tc>
      </w:tr>
      <w:tr>
        <w:trPr/>
        <w:tc>
          <w:tcPr>
            <w:tcW w:type="dxa" w:w="2215"/>
            <w:vAlign w:val="center"/>
            <w:tcMar>
              <w:top w:w="80" w:type="dxa"/>
              <w:bottom w:w="80" w:type="dxa"/>
              <w:start w:w="120" w:type="dxa"/>
              <w:end w:w="120" w:type="dxa"/>
            </w:tcMar>
          </w:tcPr>
          <w:p>
            <w:pPr>
              <w:spacing w:after="0" w:line="240" w:lineRule="auto"/>
              <w:jc w:val="left"/>
            </w:pPr>
            <w:r/>
            <w:r>
              <w:rPr>
                <w:rFonts w:ascii="Old Standard TT" w:hAnsi="Old Standard TT"/>
                <w:b w:val="0"/>
                <w:sz w:val="17"/>
              </w:rPr>
              <w:t>Gemma 4 E4B</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90.0%</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96.7%</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90.0%</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90.0%</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90.0%</w:t>
            </w:r>
          </w:p>
        </w:tc>
      </w:tr>
      <w:tr>
        <w:trPr/>
        <w:tc>
          <w:tcPr>
            <w:tcW w:type="dxa" w:w="2215"/>
            <w:vAlign w:val="center"/>
            <w:tcMar>
              <w:top w:w="80" w:type="dxa"/>
              <w:bottom w:w="80" w:type="dxa"/>
              <w:start w:w="120" w:type="dxa"/>
              <w:end w:w="120" w:type="dxa"/>
            </w:tcMar>
          </w:tcPr>
          <w:p>
            <w:pPr>
              <w:spacing w:after="0" w:line="240" w:lineRule="auto"/>
              <w:jc w:val="left"/>
            </w:pPr>
            <w:r/>
            <w:r>
              <w:rPr>
                <w:rFonts w:ascii="Old Standard TT" w:hAnsi="Old Standard TT"/>
                <w:b w:val="0"/>
                <w:sz w:val="17"/>
              </w:rPr>
              <w:t>Qwen3 8B</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86.7%</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90.0%</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86.7%</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83.3%</w:t>
            </w:r>
          </w:p>
        </w:tc>
        <w:tc>
          <w:tcPr>
            <w:tcW w:type="dxa" w:w="1429"/>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80.0%</w:t>
            </w:r>
          </w:p>
        </w:tc>
      </w:tr>
    </w:tbl>
    <w:p>
      <w:pPr>
        <w:spacing w:after="40"/>
      </w:pPr>
    </w:p>
    <w:p>
      <w:pPr>
        <w:keepNext/>
        <w:spacing w:before="80" w:after="40"/>
        <w:jc w:val="center"/>
      </w:pPr>
      <w:r>
        <w:drawing>
          <wp:inline>
            <wp:extent cx="5760720" cy="3698201"/>
            <wp:docPr id="3" name="Picture 3" descr="Figure A1. Absolute wellbeing deviation versus neutral-task accuracy loss for the 12 non-English model-language cells. The pooled relationship is weak and uncertain (rho = 0.23, p = 0.465)."/>
            <wp:cNvGraphicFramePr>
              <a:graphicFrameLocks noChangeAspect="1"/>
            </wp:cNvGraphicFramePr>
            <a:graphic>
              <a:graphicData uri="http://schemas.openxmlformats.org/drawingml/2006/picture">
                <pic:pic>
                  <pic:nvPicPr>
                    <pic:cNvPr id="0" name="wellbeing_vs_competence.png"/>
                    <pic:cNvPicPr/>
                  </pic:nvPicPr>
                  <pic:blipFill>
                    <a:blip r:embed="rId23"/>
                    <a:stretch>
                      <a:fillRect/>
                    </a:stretch>
                  </pic:blipFill>
                  <pic:spPr>
                    <a:xfrm>
                      <a:off x="0" y="0"/>
                      <a:ext cx="5760720" cy="3698201"/>
                    </a:xfrm>
                    <a:prstGeom prst="rect"/>
                  </pic:spPr>
                </pic:pic>
              </a:graphicData>
            </a:graphic>
          </wp:inline>
        </w:drawing>
      </w:r>
    </w:p>
    <w:p>
      <w:pPr>
        <w:keepNext/>
        <w:spacing w:after="140"/>
        <w:jc w:val="center"/>
      </w:pPr>
      <w:r>
        <w:rPr>
          <w:rFonts w:ascii="Old Standard TT" w:hAnsi="Old Standard TT"/>
          <w:i/>
          <w:sz w:val="18"/>
        </w:rPr>
        <w:t>Figure A1. Absolute wellbeing deviation versus neutral-task accuracy loss for the 12 non-English model-language cells. The pooled relationship is weak and uncertain (rho = 0.23, p = 0.465).</w:t>
      </w:r>
    </w:p>
    <w:p>
      <w:pPr>
        <w:pStyle w:val="Heading2"/>
      </w:pPr>
      <w:r>
        <w:t>D.2 Mechanistic probes</w:t>
      </w:r>
    </w:p>
    <w:p>
      <w:pPr>
        <w:spacing w:after="100" w:line="252" w:lineRule="auto"/>
        <w:jc w:val="both"/>
      </w:pPr>
      <w:r>
        <w:rPr>
          <w:rFonts w:ascii="Old Standard TT" w:hAnsi="Old Standard TT"/>
          <w:sz w:val="20"/>
        </w:rPr>
        <w:t>The final-layer cosine between English and local self-report valence directions is 0.222 for E4B, 0.512 for Gemma 12B, and 0.142 for Qwen. Self-report and behavioral directions are close to orthogonal for E4B (0.051) and Qwen (0.035), but more aligned for Gemma 12B (0.346). Additive steering does not pass its signed causal test.</w:t>
      </w:r>
    </w:p>
    <w:p>
      <w:pPr>
        <w:spacing w:after="100" w:line="252" w:lineRule="auto"/>
        <w:jc w:val="both"/>
      </w:pPr>
      <w:r>
        <w:rPr>
          <w:rFonts w:ascii="Old Standard TT" w:hAnsi="Old Standard TT"/>
          <w:sz w:val="20"/>
        </w:rPr>
        <w:t>Translation-paired activation patches have positive paired-minus-shuffled point estimates for all six self-report model/direction summaries (+0.057 to +0.429) and five of six behavioral summaries. All 20-experience confidence intervals cross zero.</w:t>
      </w:r>
    </w:p>
    <w:p>
      <w:pPr>
        <w:keepNext/>
        <w:spacing w:before="80" w:after="40"/>
        <w:jc w:val="center"/>
      </w:pPr>
      <w:r>
        <w:drawing>
          <wp:inline>
            <wp:extent cx="5760720" cy="2907573"/>
            <wp:docPr id="4" name="Picture 4" descr="Figure A2. Translation-paired minus same-valence shuffled patch effects across five layer fractions. Positive values favor item-specific cross-language transfer; intervals remain wide."/>
            <wp:cNvGraphicFramePr>
              <a:graphicFrameLocks noChangeAspect="1"/>
            </wp:cNvGraphicFramePr>
            <a:graphic>
              <a:graphicData uri="http://schemas.openxmlformats.org/drawingml/2006/picture">
                <pic:pic>
                  <pic:nvPicPr>
                    <pic:cNvPr id="0" name="mech_patching_specificity.png"/>
                    <pic:cNvPicPr/>
                  </pic:nvPicPr>
                  <pic:blipFill>
                    <a:blip r:embed="rId24"/>
                    <a:stretch>
                      <a:fillRect/>
                    </a:stretch>
                  </pic:blipFill>
                  <pic:spPr>
                    <a:xfrm>
                      <a:off x="0" y="0"/>
                      <a:ext cx="5760720" cy="2907573"/>
                    </a:xfrm>
                    <a:prstGeom prst="rect"/>
                  </pic:spPr>
                </pic:pic>
              </a:graphicData>
            </a:graphic>
          </wp:inline>
        </w:drawing>
      </w:r>
    </w:p>
    <w:p>
      <w:pPr>
        <w:keepNext/>
        <w:spacing w:after="140"/>
        <w:jc w:val="center"/>
      </w:pPr>
      <w:r>
        <w:rPr>
          <w:rFonts w:ascii="Old Standard TT" w:hAnsi="Old Standard TT"/>
          <w:i/>
          <w:sz w:val="18"/>
        </w:rPr>
        <w:t>Figure A2. Translation-paired minus same-valence shuffled patch effects across five layer fractions. Positive values favor item-specific cross-language transfer; intervals remain wide.</w:t>
      </w:r>
    </w:p>
    <w:p>
      <w:pPr>
        <w:pStyle w:val="Heading2"/>
      </w:pPr>
      <w:r>
        <w:t>D.3 Category ordering</w:t>
      </w:r>
    </w:p>
    <w:p>
      <w:pPr>
        <w:spacing w:after="100" w:line="252" w:lineRule="auto"/>
        <w:jc w:val="both"/>
      </w:pPr>
      <w:r>
        <w:rPr>
          <w:rFonts w:ascii="Old Standard TT" w:hAnsi="Old Standard TT"/>
          <w:sz w:val="20"/>
        </w:rPr>
        <w:t xml:space="preserve">Across 16 categories on Gemma 12B, the mean pairwise Spearman rank correlation across English, Spanish, Chinese, Hindi, and Urdu is 0.911 (minimum 0.82, maximum 0.97). Languages largely preserve which experience categories rank above others even when their numeric scale differs. The </w:t>
      </w:r>
      <w:r>
        <w:rPr>
          <w:rFonts w:ascii="Consolas" w:hAnsi="Consolas"/>
          <w:color w:val="3C3C3C"/>
          <w:sz w:val="19"/>
        </w:rPr>
        <w:t>extremely_positive</w:t>
      </w:r>
      <w:r>
        <w:rPr>
          <w:rFonts w:ascii="Old Standard TT" w:hAnsi="Old Standard TT"/>
          <w:sz w:val="20"/>
        </w:rPr>
        <w:t xml:space="preserve"> category ranks below </w:t>
      </w:r>
      <w:r>
        <w:rPr>
          <w:rFonts w:ascii="Consolas" w:hAnsi="Consolas"/>
          <w:color w:val="3C3C3C"/>
          <w:sz w:val="19"/>
        </w:rPr>
        <w:t>very_positive</w:t>
      </w:r>
      <w:r>
        <w:rPr>
          <w:rFonts w:ascii="Old Standard TT" w:hAnsi="Old Standard TT"/>
          <w:sz w:val="20"/>
        </w:rPr>
        <w:t xml:space="preserve"> in every language, which indicates an item-set anomaly rather than a language effect.</w:t>
      </w:r>
    </w:p>
    <w:p>
      <w:pPr>
        <w:pStyle w:val="Heading2"/>
      </w:pPr>
      <w:r>
        <w:t>Appendix E. Translation QA</w:t>
      </w:r>
    </w:p>
    <w:p>
      <w:pPr>
        <w:keepNext/>
        <w:spacing w:before="60" w:after="40"/>
        <w:keepNext/>
      </w:pPr>
      <w:r>
        <w:rPr>
          <w:rFonts w:ascii="Old Standard TT" w:hAnsi="Old Standard TT"/>
          <w:i/>
          <w:sz w:val="18"/>
        </w:rPr>
        <w:t>Table A5. Automatic translation checks.</w:t>
      </w:r>
    </w:p>
    <w:tbl>
      <w:tblPr>
        <w:tblW w:type="dxa" w:w="9360"/>
        <w:tblLayout w:type="fixed"/>
        <w:tblLook w:firstColumn="1" w:firstRow="1" w:lastColumn="0" w:lastRow="0" w:noHBand="0" w:noVBand="1" w:val="04A0"/>
        <w:jc w:val="left"/>
        <w:tblBorders>
          <w:top w:val="single" w:sz="4" w:color="B7B7B7"/>
          <w:left w:val="single" w:sz="4" w:color="B7B7B7"/>
          <w:bottom w:val="single" w:sz="4" w:color="B7B7B7"/>
          <w:right w:val="single" w:sz="4" w:color="B7B7B7"/>
          <w:insideH w:val="single" w:sz="4" w:color="B7B7B7"/>
          <w:insideV w:val="single" w:sz="4" w:color="B7B7B7"/>
        </w:tblBorders>
        <w:tblInd w:type="dxa" w:w="120"/>
      </w:tblPr>
      <w:tblGrid>
        <w:gridCol w:w="4087"/>
        <w:gridCol w:w="2637"/>
        <w:gridCol w:w="2636"/>
      </w:tblGrid>
      <w:tr>
        <w:trPr>
          <w:tblHeader/>
          <w:tblHeader/>
          <w:tblHeader/>
        </w:trPr>
        <w:tc>
          <w:tcPr>
            <w:tcW w:type="dxa" w:w="4087"/>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Language</w:t>
            </w:r>
          </w:p>
        </w:tc>
        <w:tc>
          <w:tcPr>
            <w:tcW w:type="dxa" w:w="2637"/>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Back-translation similarity</w:t>
            </w:r>
          </w:p>
        </w:tc>
        <w:tc>
          <w:tcPr>
            <w:tcW w:type="dxa" w:w="2636"/>
            <w:vAlign w:val="center"/>
            <w:shd w:fill="E9EEF5"/>
            <w:tcMar>
              <w:top w:w="80" w:type="dxa"/>
              <w:bottom w:w="80" w:type="dxa"/>
              <w:start w:w="120" w:type="dxa"/>
              <w:end w:w="120" w:type="dxa"/>
            </w:tcMar>
          </w:tcPr>
          <w:p>
            <w:pPr>
              <w:spacing w:after="0" w:line="240" w:lineRule="auto"/>
              <w:jc w:val="center"/>
            </w:pPr>
            <w:r/>
            <w:r>
              <w:rPr>
                <w:rFonts w:ascii="Old Standard TT" w:hAnsi="Old Standard TT"/>
                <w:b/>
                <w:sz w:val="17"/>
              </w:rPr>
              <w:t>Independent-translator agreement</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Spanish</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0.83</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0.92</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Chinese</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0.67</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0.53</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Hindi</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0.73</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0.76</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Arabic</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0.76</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0.77</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Urdu</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0.71</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0.76</w:t>
            </w:r>
          </w:p>
        </w:tc>
      </w:tr>
      <w:tr>
        <w:trPr/>
        <w:tc>
          <w:tcPr>
            <w:tcW w:type="dxa" w:w="4087"/>
            <w:vAlign w:val="center"/>
            <w:tcMar>
              <w:top w:w="80" w:type="dxa"/>
              <w:bottom w:w="80" w:type="dxa"/>
              <w:start w:w="120" w:type="dxa"/>
              <w:end w:w="120" w:type="dxa"/>
            </w:tcMar>
          </w:tcPr>
          <w:p>
            <w:pPr>
              <w:spacing w:after="0" w:line="240" w:lineRule="auto"/>
              <w:jc w:val="left"/>
            </w:pPr>
            <w:r/>
            <w:r>
              <w:rPr>
                <w:rFonts w:ascii="Old Standard TT" w:hAnsi="Old Standard TT"/>
                <w:b w:val="0"/>
                <w:sz w:val="17"/>
              </w:rPr>
              <w:t>Swahili</w:t>
            </w:r>
          </w:p>
        </w:tc>
        <w:tc>
          <w:tcPr>
            <w:tcW w:type="dxa" w:w="2637"/>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0.74</w:t>
            </w:r>
          </w:p>
        </w:tc>
        <w:tc>
          <w:tcPr>
            <w:tcW w:type="dxa" w:w="2636"/>
            <w:vAlign w:val="center"/>
            <w:tcMar>
              <w:top w:w="80" w:type="dxa"/>
              <w:bottom w:w="80" w:type="dxa"/>
              <w:start w:w="120" w:type="dxa"/>
              <w:end w:w="120" w:type="dxa"/>
            </w:tcMar>
          </w:tcPr>
          <w:p>
            <w:pPr>
              <w:spacing w:after="0" w:line="240" w:lineRule="auto"/>
              <w:jc w:val="center"/>
            </w:pPr>
            <w:r/>
            <w:r>
              <w:rPr>
                <w:rFonts w:ascii="Old Standard TT" w:hAnsi="Old Standard TT"/>
                <w:b w:val="0"/>
                <w:sz w:val="17"/>
              </w:rPr>
              <w:t>0.80</w:t>
            </w:r>
          </w:p>
        </w:tc>
      </w:tr>
    </w:tbl>
    <w:p>
      <w:pPr>
        <w:spacing w:after="40"/>
      </w:pPr>
    </w:p>
    <w:p>
      <w:pPr>
        <w:spacing w:after="100" w:line="252" w:lineRule="auto"/>
        <w:jc w:val="both"/>
      </w:pPr>
      <w:r>
        <w:rPr>
          <w:rFonts w:ascii="Old Standard TT" w:hAnsi="Old Standard TT"/>
          <w:sz w:val="20"/>
        </w:rPr>
        <w:t>Back-translation similarity uses word-level Dice between English source and English back-translation. Forward-translator agreement uses character-bigram overlap because a Latin-word tokenizer would falsely score non-Latin scripts near zero. These automatic metrics do not certify native fluency.</w:t>
      </w:r>
    </w:p>
    <w:p>
      <w:pPr>
        <w:pStyle w:val="Heading2"/>
      </w:pPr>
      <w:r>
        <w:t>Appendix F. LLM usage statement</w:t>
      </w:r>
    </w:p>
    <w:p>
      <w:pPr>
        <w:spacing w:after="100" w:line="252" w:lineRule="auto"/>
        <w:jc w:val="both"/>
      </w:pPr>
      <w:r>
        <w:rPr>
          <w:rFonts w:ascii="Old Standard TT" w:hAnsi="Old Standard TT"/>
          <w:sz w:val="20"/>
        </w:rPr>
        <w:t>Claude Code and Codex assisted with implementation, experiment orchestration, debugging, analysis, and drafting. The authors chose the question and methods, approved paid compute, reviewed interpretations, and checked the final claims. Every reported number was regenerated or checked against stored raw outputs and deterministic analysis artifacts. GPT-5, GPT-5-mini, and Gemini were used for translation generation or translation verification only; no LLM judge scored wellbeing, behavior, or competence.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2" w:lineRule="auto"/>
    </w:pPr>
    <w:rPr>
      <w:rFonts w:ascii="Old Standard TT" w:hAnsi="Old Standard TT"/>
      <w:sz w:val="20"/>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60" w:before="200" w:lineRule="auto"/>
    </w:pPr>
    <w:rPr>
      <w:rFonts w:ascii="Old Standard TT" w:hAnsi="Old Standard TT"/>
      <w:b/>
      <w:bCs w:val="0"/>
      <w:sz w:val="28"/>
      <w:szCs w:val="32"/>
    </w:rPr>
  </w:style>
  <w:style w:type="paragraph" w:styleId="Heading3">
    <w:name w:val="heading 3"/>
    <w:basedOn w:val="Normal"/>
    <w:next w:val="Normal"/>
    <w:pPr>
      <w:keepNext/>
      <w:keepLines w:val="1"/>
      <w:pageBreakBefore w:val="0"/>
      <w:spacing w:after="40" w:before="140" w:lineRule="auto"/>
    </w:pPr>
    <w:rPr>
      <w:rFonts w:ascii="Old Standard TT" w:hAnsi="Old Standard TT"/>
      <w:b/>
      <w:bCs w:val="0"/>
      <w:color w:val="434343"/>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customStyle="1" w:styleId="ListNumber">
    <w:name w:val="List Number"/>
    <w:pPr>
      <w:spacing w:after="60"/>
    </w:pPr>
    <w:rPr>
      <w:rFonts w:ascii="Old Standard TT" w:hAnsi="Old Standard TT"/>
      <w:sz w:val="20"/>
    </w:rPr>
  </w:style>
  <w:style w:type="paragraph" w:customStyle="1" w:styleId="ListBullet">
    <w:name w:val="List Bullet"/>
    <w:pPr>
      <w:spacing w:after="60"/>
    </w:pPr>
    <w:rPr>
      <w:rFonts w:ascii="Old Standard TT" w:hAnsi="Old Standard TT"/>
      <w:sz w:val="20"/>
    </w:rPr>
  </w:style>
  <w:style w:type="paragraph" w:customStyle="1" w:styleId="Caption">
    <w:name w:val="caption"/>
    <w:rPr>
      <w:rFonts w:ascii="Old Standard TT" w:hAnsi="Old Standard TT"/>
      <w:i/>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Ayesha-Imr/wellbeing-in-translation" TargetMode="External"/><Relationship Id="rId11" Type="http://schemas.openxmlformats.org/officeDocument/2006/relationships/hyperlink" Target="https://huggingface.co/datasets/ic-org/wellbeing-in-translation" TargetMode="External"/><Relationship Id="rId12" Type="http://schemas.openxmlformats.org/officeDocument/2006/relationships/hyperlink" Target="https://github.com/centerforaisafety/wellbeing" TargetMode="External"/><Relationship Id="rId13" Type="http://schemas.openxmlformats.org/officeDocument/2006/relationships/hyperlink" Target="https://arxiv.org/abs/2210.12265" TargetMode="External"/><Relationship Id="rId14" Type="http://schemas.openxmlformats.org/officeDocument/2006/relationships/hyperlink" Target="https://arxiv.org/abs/2410.13787" TargetMode="External"/><Relationship Id="rId15" Type="http://schemas.openxmlformats.org/officeDocument/2006/relationships/hyperlink" Target="https://arxiv.org/abs/2308.08708" TargetMode="External"/><Relationship Id="rId16" Type="http://schemas.openxmlformats.org/officeDocument/2006/relationships/hyperlink" Target="https://arxiv.org/abs/2607.02770" TargetMode="External"/><Relationship Id="rId17" Type="http://schemas.openxmlformats.org/officeDocument/2006/relationships/hyperlink" Target="https://arxiv.org/abs/2205.08533" TargetMode="External"/><Relationship Id="rId18" Type="http://schemas.openxmlformats.org/officeDocument/2006/relationships/hyperlink" Target="https://arxiv.org/abs/2604.14934" TargetMode="External"/><Relationship Id="rId19" Type="http://schemas.openxmlformats.org/officeDocument/2006/relationships/hyperlink" Target="https://www.ai-wellbeing.org/paper.pdf" TargetMode="External"/><Relationship Id="rId20" Type="http://schemas.openxmlformats.org/officeDocument/2006/relationships/hyperlink" Target="https://arxiv.org/abs/2503.07513" TargetMode="External"/><Relationship Id="rId21" Type="http://schemas.openxmlformats.org/officeDocument/2006/relationships/hyperlink" Target="https://arxiv.org/abs/2505.09388" TargetMode="External"/><Relationship Id="rId22" Type="http://schemas.openxmlformats.org/officeDocument/2006/relationships/hyperlink" Target="https://arxiv.org/abs/2309.16042" TargetMode="External"/><Relationship Id="rId23" Type="http://schemas.openxmlformats.org/officeDocument/2006/relationships/image" Target="media/image3.png"/><Relationship Id="rId24"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