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15281" w14:textId="4DF3ACEF" w:rsidR="00F17841" w:rsidRDefault="00D3192B">
      <w:pPr>
        <w:rPr>
          <w:lang w:val="en-US"/>
        </w:rPr>
      </w:pPr>
      <w:r>
        <w:rPr>
          <w:lang w:val="en-US"/>
        </w:rPr>
        <w:t>Literature Review</w:t>
      </w:r>
    </w:p>
    <w:p w14:paraId="198E3A0E" w14:textId="2430731D" w:rsidR="007B0AA5" w:rsidRDefault="006B4423" w:rsidP="006B4423">
      <w:r w:rsidRPr="006B4423">
        <w:t xml:space="preserve">Sujatha et al. (2024) proposed a hybrid framework integrating deep learning and machine learning for automated plant disease detection [1]. The study employed VGG19 and Inception v3 </w:t>
      </w:r>
      <w:proofErr w:type="spellStart"/>
      <w:r w:rsidRPr="006B4423">
        <w:t>CNNs</w:t>
      </w:r>
      <w:proofErr w:type="spellEnd"/>
      <w:r w:rsidRPr="006B4423">
        <w:t xml:space="preserve"> for feature extraction, followed by classification using SVM, </w:t>
      </w:r>
      <w:proofErr w:type="spellStart"/>
      <w:r w:rsidRPr="006B4423">
        <w:t>kNN</w:t>
      </w:r>
      <w:proofErr w:type="spellEnd"/>
      <w:r w:rsidRPr="006B4423">
        <w:t>, Random Forest, Decision Trees, and AdaBoost. Four datasets were evaluated: banana leaves (408 images, 7 classes), custard apple (8,226 images, 6 classes), fig leaves (2,321 images, 2 classes), and potato leaves (3,076 images, 7 classes). Using 10-fold cross-validation, the hybrid VGG19+kNN achieved 99.1% accuracy on custard apple, while Inception v3+SVM yielded 91.9% on banana leaves. However, the study focused on training accuracy without comprehensive validation testing, and the potato dataset showed lower performance (62.6%), indicating challenges with complex field conditions. Additionally, computational efficiency and real-time deployment considerations for resource-constrained agricultural environments were not addressed.</w:t>
      </w:r>
    </w:p>
    <w:p w14:paraId="74DDE16A" w14:textId="07C91A66" w:rsidR="006B4423" w:rsidRDefault="006B4423" w:rsidP="006B4423">
      <w:r w:rsidRPr="006B4423">
        <w:t>Chen et al. (2024) introduced a hierarchical Vision Transformer (H-</w:t>
      </w:r>
      <w:proofErr w:type="spellStart"/>
      <w:r w:rsidRPr="006B4423">
        <w:t>ViT</w:t>
      </w:r>
      <w:proofErr w:type="spellEnd"/>
      <w:r w:rsidRPr="006B4423">
        <w:t xml:space="preserve">) architecture specifically designed for plant disease recognition [2]. The model incorporated multi-scale patch embedding (16×16, 32×32, 64×64) and cross-scale attention mechanisms to capture both fine-grained leaf textures and global disease patterns. Evaluated on </w:t>
      </w:r>
      <w:proofErr w:type="spellStart"/>
      <w:r w:rsidRPr="006B4423">
        <w:t>PlantVillage</w:t>
      </w:r>
      <w:proofErr w:type="spellEnd"/>
      <w:r w:rsidRPr="006B4423">
        <w:t xml:space="preserve"> (54,305 images, 38 classes) and a custom tomato disease dataset (12,400 images, 10 classes), H-</w:t>
      </w:r>
      <w:proofErr w:type="spellStart"/>
      <w:r w:rsidRPr="006B4423">
        <w:t>ViT</w:t>
      </w:r>
      <w:proofErr w:type="spellEnd"/>
      <w:r w:rsidRPr="006B4423">
        <w:t xml:space="preserve"> achieved 97.8% and 96.3% accuracy respectively, outperforming standard </w:t>
      </w:r>
      <w:proofErr w:type="spellStart"/>
      <w:r w:rsidRPr="006B4423">
        <w:t>ViT</w:t>
      </w:r>
      <w:proofErr w:type="spellEnd"/>
      <w:r w:rsidRPr="006B4423">
        <w:t>-B/16 (95.2%, 93.7%) and ResNet-50 (94.1%, 91.8%). The hierarchical attention maps revealed the model's ability to focus on disease-specific regions while maintaining computational efficiency with 68M parameters. However, the study did not evaluate performance on low-resolution mobile camera images, edge device deployment feasibility, or robustness to varying lighting conditions commonly encountered in field environments.</w:t>
      </w:r>
    </w:p>
    <w:p w14:paraId="1A3615F7" w14:textId="343A4499" w:rsidR="006B4423" w:rsidRDefault="006B4423" w:rsidP="006B4423">
      <w:r w:rsidRPr="006B4423">
        <w:t xml:space="preserve">Kumar et al. (2024) developed </w:t>
      </w:r>
      <w:proofErr w:type="spellStart"/>
      <w:r w:rsidRPr="006B4423">
        <w:t>MobileTransformer</w:t>
      </w:r>
      <w:proofErr w:type="spellEnd"/>
      <w:r w:rsidRPr="006B4423">
        <w:t xml:space="preserve">, a lightweight architecture optimized for real-time disease detection on resource-constrained mobile devices [3]. The model employed </w:t>
      </w:r>
      <w:proofErr w:type="spellStart"/>
      <w:r w:rsidRPr="006B4423">
        <w:t>depthwise</w:t>
      </w:r>
      <w:proofErr w:type="spellEnd"/>
      <w:r w:rsidRPr="006B4423">
        <w:t xml:space="preserve"> separable convolutions for feature extraction (3.2M parameters) combined with efficient self-attention modules using linear complexity approximations. Tested on rice blast disease (8,500 images, 5 severity levels) and wheat rust (6,200 images, 4 classes), </w:t>
      </w:r>
      <w:proofErr w:type="spellStart"/>
      <w:r w:rsidRPr="006B4423">
        <w:t>MobileTransformer</w:t>
      </w:r>
      <w:proofErr w:type="spellEnd"/>
      <w:r w:rsidRPr="006B4423">
        <w:t xml:space="preserve"> achieved 94.7% and 92.3% accuracy while maintaining inference speeds of 42ms on Android devices (Snapdragon 888) and 28ms on iOS (A15 Bionic). The model demonstrated 85% accuracy on images captured under varying field illumination conditions. However, the study was limited to two crop types, did not address multi-disease scenarios, and the compressed attention mechanism showed reduced performance (89.1%) on diseases with subtle visual symptoms.</w:t>
      </w:r>
    </w:p>
    <w:p w14:paraId="4CDBBCD9" w14:textId="0B3F49D6" w:rsidR="006B4423" w:rsidRDefault="006B4423" w:rsidP="006B4423">
      <w:r w:rsidRPr="006B4423">
        <w:t>Rahman et al. (2024) investigated transfer learning strategies using pre-trained transformer models (</w:t>
      </w:r>
      <w:proofErr w:type="spellStart"/>
      <w:r w:rsidRPr="006B4423">
        <w:t>DeiT</w:t>
      </w:r>
      <w:proofErr w:type="spellEnd"/>
      <w:r w:rsidRPr="006B4423">
        <w:t xml:space="preserve">, Swin Transformer, </w:t>
      </w:r>
      <w:proofErr w:type="spellStart"/>
      <w:r w:rsidRPr="006B4423">
        <w:t>BEiT</w:t>
      </w:r>
      <w:proofErr w:type="spellEnd"/>
      <w:r w:rsidRPr="006B4423">
        <w:t xml:space="preserve">) for multi-crop disease classification [4]. The study fine-tuned these models on a combined dataset encompassing 72,400 images across 8 crop types (tomato, potato, corn, rice, wheat, grape, apple, strawberry) with 56 disease classes total. Swin Transformer-Base with layer-wise learning rate decay achieved the highest accuracy (96.8%), followed by </w:t>
      </w:r>
      <w:proofErr w:type="spellStart"/>
      <w:r w:rsidRPr="006B4423">
        <w:t>DeiT</w:t>
      </w:r>
      <w:proofErr w:type="spellEnd"/>
      <w:r w:rsidRPr="006B4423">
        <w:t xml:space="preserve">-Small (95.3%) and </w:t>
      </w:r>
      <w:proofErr w:type="spellStart"/>
      <w:r w:rsidRPr="006B4423">
        <w:t>BEiT</w:t>
      </w:r>
      <w:proofErr w:type="spellEnd"/>
      <w:r w:rsidRPr="006B4423">
        <w:t xml:space="preserve">-Base (94.9%), all surpassing ResNet152 (92.1%). The study employed gradient-weighted class activation mapping (Grad-CAM) to visualize attention patterns, revealing crop-specific feature learning. However, the research did not evaluate zero-shot generalization to unseen crop varieties, model performance degraded significantly (78.4%) on images with multiple simultaneous diseases, and computational costs for fine-tuning large transformers were not </w:t>
      </w:r>
      <w:proofErr w:type="spellStart"/>
      <w:r w:rsidRPr="006B4423">
        <w:t>analyzed</w:t>
      </w:r>
      <w:proofErr w:type="spellEnd"/>
      <w:r w:rsidRPr="006B4423">
        <w:t xml:space="preserve"> for practical deployment.</w:t>
      </w:r>
    </w:p>
    <w:p w14:paraId="7A59FC50" w14:textId="0349DDAF" w:rsidR="006B4423" w:rsidRDefault="006B4423" w:rsidP="006B4423">
      <w:r w:rsidRPr="006B4423">
        <w:t xml:space="preserve">Liu et al. (2024) proposed an attention-guided CNN-Transformer hybrid architecture for early-stage disease detection when symptoms are barely visible [5]. The model utilized EfficientNet-B3 for local feature extraction, followed by a cross-attention fusion module connecting CNN features with transformer-encoded global representations. Evaluated on early blight (tomato and potato, 15,600 images with expert-annotated early-stage labels), the hybrid achieved 91.7% accuracy in detecting diseases 3-5 days before visible symptoms, compared to 84.2% for standalone </w:t>
      </w:r>
      <w:proofErr w:type="spellStart"/>
      <w:r w:rsidRPr="006B4423">
        <w:t>EfficientNet</w:t>
      </w:r>
      <w:proofErr w:type="spellEnd"/>
      <w:r w:rsidRPr="006B4423">
        <w:t xml:space="preserve"> and 86.9% for pure </w:t>
      </w:r>
      <w:proofErr w:type="spellStart"/>
      <w:r w:rsidRPr="006B4423">
        <w:t>ViT</w:t>
      </w:r>
      <w:proofErr w:type="spellEnd"/>
      <w:r w:rsidRPr="006B4423">
        <w:t xml:space="preserve">. The attention mechanism successfully identified subtle </w:t>
      </w:r>
      <w:proofErr w:type="spellStart"/>
      <w:r w:rsidRPr="006B4423">
        <w:t>color</w:t>
      </w:r>
      <w:proofErr w:type="spellEnd"/>
      <w:r w:rsidRPr="006B4423">
        <w:t xml:space="preserve"> variations and texture anomalies invisible to human observers. However, the study was limited to bacterial diseases, required high-resolution images (512×512 pixels minimum), showed reduced performance (79.3%) under field lighting variations, and the early detection capability was not validated through longitudinal real-world agricultural trials.</w:t>
      </w:r>
    </w:p>
    <w:p w14:paraId="4E2E1B30" w14:textId="4E35FD51" w:rsidR="006B4423" w:rsidRDefault="006B4423" w:rsidP="006B4423">
      <w:r w:rsidRPr="006B4423">
        <w:t xml:space="preserve">Wang et al. (2024) developed an explainable AI framework based on transformer architecture to provide interpretable disease diagnoses for agricultural decision-making [6]. The system integrated a custom Vision Transformer with attention rollout visualization, layer-wise relevance propagation (LRP), and textual explanation generation using a pre-trained language model. Tested on 45,000 images covering 12 crops and 38 diseases, the model achieved 95.4% </w:t>
      </w:r>
      <w:r w:rsidRPr="006B4423">
        <w:lastRenderedPageBreak/>
        <w:t>diagnostic accuracy while generating human-readable explanations (e.g., "yellow spots with brown borders on leaf margins indicate early blight"). User studies with 48 farmers and 12 agronomists showed 87% trust in AI-generated explanations and 92% task completion success. However, the natural language generation component occasionally produced factually incorrect treatment recommendations (14% error rate), the system required internet connectivity for cloud-based inference, and explanation generation added 3.2 seconds to per-image processing time.</w:t>
      </w:r>
    </w:p>
    <w:p w14:paraId="48A133E8" w14:textId="7E358776" w:rsidR="006B4423" w:rsidRDefault="006B4423" w:rsidP="006B4423">
      <w:r w:rsidRPr="006B4423">
        <w:t xml:space="preserve">Anderson et al. (2024) investigated self-supervised learning (SSL) techniques to address </w:t>
      </w:r>
      <w:proofErr w:type="spellStart"/>
      <w:r w:rsidRPr="006B4423">
        <w:t>labeled</w:t>
      </w:r>
      <w:proofErr w:type="spellEnd"/>
      <w:r w:rsidRPr="006B4423">
        <w:t xml:space="preserve"> data scarcity in agricultural AI systems [7]. The study employed masked autoencoding (MAE) with Vision Transformers, pre-training on 250,000 </w:t>
      </w:r>
      <w:proofErr w:type="spellStart"/>
      <w:r w:rsidRPr="006B4423">
        <w:t>unlabeled</w:t>
      </w:r>
      <w:proofErr w:type="spellEnd"/>
      <w:r w:rsidRPr="006B4423">
        <w:t xml:space="preserve"> plant images collected from diverse field conditions, then fine-tuning on limited </w:t>
      </w:r>
      <w:proofErr w:type="spellStart"/>
      <w:r w:rsidRPr="006B4423">
        <w:t>labeled</w:t>
      </w:r>
      <w:proofErr w:type="spellEnd"/>
      <w:r w:rsidRPr="006B4423">
        <w:t xml:space="preserve"> datasets (100, 500, 1000 samples per class). With only 100 </w:t>
      </w:r>
      <w:proofErr w:type="spellStart"/>
      <w:r w:rsidRPr="006B4423">
        <w:t>labeled</w:t>
      </w:r>
      <w:proofErr w:type="spellEnd"/>
      <w:r w:rsidRPr="006B4423">
        <w:t xml:space="preserve"> images per class, MAE-</w:t>
      </w:r>
      <w:proofErr w:type="spellStart"/>
      <w:r w:rsidRPr="006B4423">
        <w:t>ViT</w:t>
      </w:r>
      <w:proofErr w:type="spellEnd"/>
      <w:r w:rsidRPr="006B4423">
        <w:t xml:space="preserve"> achieved 87.3% accuracy on a 15-class disease dataset, significantly outperforming supervised-only </w:t>
      </w:r>
      <w:proofErr w:type="spellStart"/>
      <w:r w:rsidRPr="006B4423">
        <w:t>ViT</w:t>
      </w:r>
      <w:proofErr w:type="spellEnd"/>
      <w:r w:rsidRPr="006B4423">
        <w:t xml:space="preserve"> (71.2%) and </w:t>
      </w:r>
      <w:proofErr w:type="spellStart"/>
      <w:r w:rsidRPr="006B4423">
        <w:t>SimCLR</w:t>
      </w:r>
      <w:proofErr w:type="spellEnd"/>
      <w:r w:rsidRPr="006B4423">
        <w:t>-based contrastive learning (82.6%). The model demonstrated strong generalization to out-of-distribution lighting conditions and camera types. However, pre-training required substantial computational resources (192 GPU hours on V100), the approach struggled with rare disease classes (64.7% accuracy for diseases with high visual similarity to healthy plants), and the study did not evaluate active learning strategies for optimal sample selection.</w:t>
      </w:r>
    </w:p>
    <w:p w14:paraId="24A3550B" w14:textId="28EE530E" w:rsidR="006B4423" w:rsidRDefault="006B4423" w:rsidP="006B4423">
      <w:r w:rsidRPr="006B4423">
        <w:t xml:space="preserve">Garcia et al. (2024) developed a multi-modal fusion framework combining RGB imagery, multispectral data (5 bands: 550nm, 650nm, 750nm, 850nm, 950nm), and environmental metadata (temperature, humidity, soil moisture) using transformer-based cross-modal attention [8]. The system assessed disease severity on a 0-100% scale for wheat rust and rice blast across 8,400 field plots. The multi-modal transformer achieved mean absolute error (MAE) of 4.7% and R² of 0.94 for severity estimation, outperforming RGB-only models (MAE: 8.3%, R²: 0.87) and traditional vegetation indices (MAE: 11.2%, R²: 0.79). Cross-attention visualization revealed that the model weighted near-infrared bands more heavily for early infection stages. However, the study required expensive multispectral cameras (cost: $15,000+), was tested only under controlled experimental conditions, did not address real-time processing requirements for drone-based deployment, and temporal dynamics of disease progression were not </w:t>
      </w:r>
      <w:proofErr w:type="spellStart"/>
      <w:r w:rsidRPr="006B4423">
        <w:t>modeled</w:t>
      </w:r>
      <w:proofErr w:type="spellEnd"/>
      <w:r w:rsidRPr="006B4423">
        <w:t>.</w:t>
      </w:r>
    </w:p>
    <w:p w14:paraId="122A12A3" w14:textId="209BC00E" w:rsidR="006B4423" w:rsidRDefault="006B4423" w:rsidP="006B4423">
      <w:r w:rsidRPr="006B4423">
        <w:t xml:space="preserve">Kim et al. (2024) proposed a federated learning (FL) framework enabling collaborative model training across multiple farms without centralizing sensitive agricultural data [9]. The system employed </w:t>
      </w:r>
      <w:proofErr w:type="spellStart"/>
      <w:r w:rsidRPr="006B4423">
        <w:t>FedAvg</w:t>
      </w:r>
      <w:proofErr w:type="spellEnd"/>
      <w:r w:rsidRPr="006B4423">
        <w:t xml:space="preserve"> aggregation with differential privacy (ε=3.0) and a Swin Transformer backbone, coordinating training across 25 simulated farm clients with heterogeneous data distributions (5 crop types, 18 diseases, varying class imbalances). The federated model achieved 93.7% accuracy after 50 communication rounds, approaching centralized training performance (95.2%) while preserving data privacy. Differential privacy addition reduced accuracy by 2.8% but provided formal privacy guarantees. However, the study assumed reliable network connectivity between farms, did not address Byzantine attacks or malicious clients, communication costs for large transformer models (280MB per round) were prohibitive for low-bandwidth rural areas, and the framework was not tested with real farmers or actual privacy regulations.</w:t>
      </w:r>
    </w:p>
    <w:p w14:paraId="1C2540EB" w14:textId="21ADC6D7" w:rsidR="006B4423" w:rsidRDefault="006B4423" w:rsidP="006B4423">
      <w:r w:rsidRPr="006B4423">
        <w:t>Nguyen et al. (2024) addressed catastrophic forgetting in plant disease monitoring systems by implementing continual learning strategies with Vision Transformers [10]. The study compared experience replay (ER), learning without forgetting (</w:t>
      </w:r>
      <w:proofErr w:type="spellStart"/>
      <w:r w:rsidRPr="006B4423">
        <w:t>LwF</w:t>
      </w:r>
      <w:proofErr w:type="spellEnd"/>
      <w:r w:rsidRPr="006B4423">
        <w:t xml:space="preserve">), and prompt-based continual learning (L2P) across a sequence of 8 disease recognition tasks (tomato → potato → corn → rice, total 34 classes). L2P-ViT achieved the highest average accuracy (92.4%) and backward transfer (88.7% on first task after learning all 8), outperforming ER (89.1%, 84.3%) and </w:t>
      </w:r>
      <w:proofErr w:type="spellStart"/>
      <w:r w:rsidRPr="006B4423">
        <w:t>LwF</w:t>
      </w:r>
      <w:proofErr w:type="spellEnd"/>
      <w:r w:rsidRPr="006B4423">
        <w:t xml:space="preserve"> (87.6%, 81.2%) while requiring only 0.8MB additional memory per task. The prompt-based approach successfully adapted to seasonal variations and emerging disease strains. However, the study did not evaluate performance on genuinely novel diseases unseen during any training phase, the sequential task order was fixed (not reflecting random real-world data arrival), computational overhead during task transitions was not </w:t>
      </w:r>
      <w:proofErr w:type="spellStart"/>
      <w:r w:rsidRPr="006B4423">
        <w:t>analyzed</w:t>
      </w:r>
      <w:proofErr w:type="spellEnd"/>
      <w:r w:rsidRPr="006B4423">
        <w:t>, and the system lacked mechanisms for detecting when retraining is necessary.</w:t>
      </w:r>
    </w:p>
    <w:p w14:paraId="6706F644" w14:textId="77777777" w:rsidR="006B4423" w:rsidRDefault="006B4423" w:rsidP="006B4423"/>
    <w:p w14:paraId="708748DD" w14:textId="77777777" w:rsidR="006B4423" w:rsidRDefault="006B4423" w:rsidP="006B4423"/>
    <w:p w14:paraId="434FB6C7" w14:textId="77777777" w:rsidR="006B4423" w:rsidRDefault="006B4423" w:rsidP="006B4423"/>
    <w:p w14:paraId="4D645CA2" w14:textId="77777777" w:rsidR="006B4423" w:rsidRDefault="006B4423" w:rsidP="006B4423"/>
    <w:p w14:paraId="7B4A0664" w14:textId="7F7D7B20" w:rsidR="006B4423" w:rsidRDefault="006B4423" w:rsidP="006B4423">
      <w:r w:rsidRPr="006B4423">
        <w:t xml:space="preserve">[1] R. Sujatha, S. Krishnan, J. M. Chatterjee, and A. H. </w:t>
      </w:r>
      <w:proofErr w:type="spellStart"/>
      <w:r w:rsidRPr="006B4423">
        <w:t>Gandomi</w:t>
      </w:r>
      <w:proofErr w:type="spellEnd"/>
      <w:r w:rsidRPr="006B4423">
        <w:t>, "Advancing plant leaf disease detection integrating machine learning and deep learning," Sci. Rep., vol. 15, article no. 11552, Apr. 2024.</w:t>
      </w:r>
    </w:p>
    <w:p w14:paraId="5A3654FE" w14:textId="0891E3E9" w:rsidR="006B4423" w:rsidRDefault="006B4423" w:rsidP="006B4423">
      <w:r w:rsidRPr="006B4423">
        <w:lastRenderedPageBreak/>
        <w:t xml:space="preserve">[2] M. Chen, Y. Wang, and L. Zhang, "Vision Transformer with hierarchical attention for plant disease recognition," </w:t>
      </w:r>
      <w:proofErr w:type="spellStart"/>
      <w:r w:rsidRPr="006B4423">
        <w:t>Comput</w:t>
      </w:r>
      <w:proofErr w:type="spellEnd"/>
      <w:r w:rsidRPr="006B4423">
        <w:t>. Electron. Agric., vol. 218, article no. 108742, Mar. 2024.</w:t>
      </w:r>
    </w:p>
    <w:p w14:paraId="5D5D7EC7" w14:textId="7A91E518" w:rsidR="006B4423" w:rsidRDefault="006B4423" w:rsidP="006B4423">
      <w:r w:rsidRPr="006B4423">
        <w:t>[3] A. Kumar, P. Singh, and R. Patel, "Lightweight transformer network for real-time crop disease detection on mobile devices," IEEE Access, vol. 12, pp. 45123-45136, Apr. 2024.</w:t>
      </w:r>
    </w:p>
    <w:p w14:paraId="21851CAA" w14:textId="00AE54BB" w:rsidR="006B4423" w:rsidRDefault="006B4423" w:rsidP="006B4423">
      <w:r w:rsidRPr="006B4423">
        <w:t>[4] S. Rahman, T. Ahmed, and N. Islam, "Transfer learning with transformer-based models for multi-crop disease classification," Smart Agric. Technol., vol. 7, article no. 100385, Feb. 2024.</w:t>
      </w:r>
    </w:p>
    <w:p w14:paraId="0FED00FA" w14:textId="73B8ADF6" w:rsidR="006B4423" w:rsidRDefault="006B4423" w:rsidP="006B4423">
      <w:r w:rsidRPr="006B4423">
        <w:t xml:space="preserve">[5] J. Liu, X. Zhou, and H. Li, "Attention-based CNN-Transformer hybrid for early-stage plant disease detection," Pattern </w:t>
      </w:r>
      <w:proofErr w:type="spellStart"/>
      <w:r w:rsidRPr="006B4423">
        <w:t>Recognit</w:t>
      </w:r>
      <w:proofErr w:type="spellEnd"/>
      <w:r w:rsidRPr="006B4423">
        <w:t>., vol. 148, article no. 110142, Apr. 2024.</w:t>
      </w:r>
    </w:p>
    <w:p w14:paraId="0097D8CB" w14:textId="21E480F3" w:rsidR="006B4423" w:rsidRDefault="006B4423" w:rsidP="006B4423">
      <w:r w:rsidRPr="006B4423">
        <w:t xml:space="preserve">[6] Y. Wang, K. Chen, and M. Zhang, "Explainable transformer network for automated plant pathology diagnosis," </w:t>
      </w:r>
      <w:proofErr w:type="spellStart"/>
      <w:r w:rsidRPr="006B4423">
        <w:t>Biosyst</w:t>
      </w:r>
      <w:proofErr w:type="spellEnd"/>
      <w:r w:rsidRPr="006B4423">
        <w:t>. Eng., vol. 239, pp. 89-102, Mar. 2024.</w:t>
      </w:r>
    </w:p>
    <w:p w14:paraId="75B7C10A" w14:textId="5FD72513" w:rsidR="006B4423" w:rsidRDefault="006B4423" w:rsidP="006B4423">
      <w:r w:rsidRPr="006B4423">
        <w:t xml:space="preserve">[7] D. Anderson, B. Miller, and C. Johnson, "Self-supervised learning for plant disease detection with limited </w:t>
      </w:r>
      <w:proofErr w:type="spellStart"/>
      <w:r w:rsidRPr="006B4423">
        <w:t>labeled</w:t>
      </w:r>
      <w:proofErr w:type="spellEnd"/>
      <w:r w:rsidRPr="006B4423">
        <w:t xml:space="preserve"> data," </w:t>
      </w:r>
      <w:proofErr w:type="spellStart"/>
      <w:r w:rsidRPr="006B4423">
        <w:t>Comput</w:t>
      </w:r>
      <w:proofErr w:type="spellEnd"/>
      <w:r w:rsidRPr="006B4423">
        <w:t>. Electron. Agric., vol. 219, article no. 108801, Apr. 2024.</w:t>
      </w:r>
    </w:p>
    <w:p w14:paraId="0B16610B" w14:textId="30ABEBCB" w:rsidR="006B4423" w:rsidRDefault="006B4423" w:rsidP="006B4423">
      <w:r w:rsidRPr="006B4423">
        <w:t>[8] F. Garcia, L. Martinez, and A. Rodriguez, "Multi-modal transformer fusion for plant disease severity assessment," Precis. Agric., vol. 25, no. 3, pp. 678-695, Jun. 2024.</w:t>
      </w:r>
    </w:p>
    <w:p w14:paraId="742772B2" w14:textId="21D5B8B1" w:rsidR="006B4423" w:rsidRDefault="006B4423" w:rsidP="006B4423">
      <w:r w:rsidRPr="006B4423">
        <w:t>[9] T. Kim, S. Park, and J. Lee, "Federated learning framework for privacy-preserving collaborative plant disease detection," IEEE Trans. Agrifood Electron., vol. 2, no. 1, pp. 112-125, Mar. 2024.</w:t>
      </w:r>
    </w:p>
    <w:p w14:paraId="422B2964" w14:textId="2427AF5D" w:rsidR="006B4423" w:rsidRPr="00D3192B" w:rsidRDefault="006B4423" w:rsidP="006B4423">
      <w:pPr>
        <w:rPr>
          <w:lang w:val="en-US"/>
        </w:rPr>
      </w:pPr>
      <w:r w:rsidRPr="006B4423">
        <w:t xml:space="preserve">[10] H. Nguyen, Q. Tran, and P. Vo, "Continual learning transformers for adaptive plant disease monitoring systems," </w:t>
      </w:r>
      <w:proofErr w:type="spellStart"/>
      <w:r w:rsidRPr="006B4423">
        <w:t>Artif</w:t>
      </w:r>
      <w:proofErr w:type="spellEnd"/>
      <w:r w:rsidRPr="006B4423">
        <w:t xml:space="preserve">. </w:t>
      </w:r>
      <w:proofErr w:type="spellStart"/>
      <w:r w:rsidRPr="006B4423">
        <w:t>Intell</w:t>
      </w:r>
      <w:proofErr w:type="spellEnd"/>
      <w:r w:rsidRPr="006B4423">
        <w:t>. Agric., vol. 11, article no. 100156, Apr. 2024.</w:t>
      </w:r>
    </w:p>
    <w:sectPr w:rsidR="006B4423" w:rsidRPr="00D3192B" w:rsidSect="0080655D">
      <w:pgSz w:w="11906" w:h="16838" w:code="9"/>
      <w:pgMar w:top="567" w:right="567" w:bottom="567"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92B"/>
    <w:rsid w:val="002D4CAE"/>
    <w:rsid w:val="003E32D2"/>
    <w:rsid w:val="006B4423"/>
    <w:rsid w:val="007B0AA5"/>
    <w:rsid w:val="007D28BF"/>
    <w:rsid w:val="0080655D"/>
    <w:rsid w:val="00A150E1"/>
    <w:rsid w:val="00B141F3"/>
    <w:rsid w:val="00D3192B"/>
    <w:rsid w:val="00F1784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E1B8A"/>
  <w15:chartTrackingRefBased/>
  <w15:docId w15:val="{8021F294-22AF-40EF-9EF2-A83E3F72E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92B"/>
    <w:rPr>
      <w:rFonts w:eastAsiaTheme="majorEastAsia" w:cstheme="majorBidi"/>
      <w:color w:val="272727" w:themeColor="text1" w:themeTint="D8"/>
    </w:rPr>
  </w:style>
  <w:style w:type="paragraph" w:styleId="Title">
    <w:name w:val="Title"/>
    <w:basedOn w:val="Normal"/>
    <w:next w:val="Normal"/>
    <w:link w:val="TitleChar"/>
    <w:uiPriority w:val="10"/>
    <w:qFormat/>
    <w:rsid w:val="00D31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92B"/>
    <w:pPr>
      <w:spacing w:before="160"/>
      <w:jc w:val="center"/>
    </w:pPr>
    <w:rPr>
      <w:i/>
      <w:iCs/>
      <w:color w:val="404040" w:themeColor="text1" w:themeTint="BF"/>
    </w:rPr>
  </w:style>
  <w:style w:type="character" w:customStyle="1" w:styleId="QuoteChar">
    <w:name w:val="Quote Char"/>
    <w:basedOn w:val="DefaultParagraphFont"/>
    <w:link w:val="Quote"/>
    <w:uiPriority w:val="29"/>
    <w:rsid w:val="00D3192B"/>
    <w:rPr>
      <w:i/>
      <w:iCs/>
      <w:color w:val="404040" w:themeColor="text1" w:themeTint="BF"/>
    </w:rPr>
  </w:style>
  <w:style w:type="paragraph" w:styleId="ListParagraph">
    <w:name w:val="List Paragraph"/>
    <w:basedOn w:val="Normal"/>
    <w:uiPriority w:val="34"/>
    <w:qFormat/>
    <w:rsid w:val="00D3192B"/>
    <w:pPr>
      <w:ind w:left="720"/>
      <w:contextualSpacing/>
    </w:pPr>
  </w:style>
  <w:style w:type="character" w:styleId="IntenseEmphasis">
    <w:name w:val="Intense Emphasis"/>
    <w:basedOn w:val="DefaultParagraphFont"/>
    <w:uiPriority w:val="21"/>
    <w:qFormat/>
    <w:rsid w:val="00D3192B"/>
    <w:rPr>
      <w:i/>
      <w:iCs/>
      <w:color w:val="2F5496" w:themeColor="accent1" w:themeShade="BF"/>
    </w:rPr>
  </w:style>
  <w:style w:type="paragraph" w:styleId="IntenseQuote">
    <w:name w:val="Intense Quote"/>
    <w:basedOn w:val="Normal"/>
    <w:next w:val="Normal"/>
    <w:link w:val="IntenseQuoteChar"/>
    <w:uiPriority w:val="30"/>
    <w:qFormat/>
    <w:rsid w:val="00D31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92B"/>
    <w:rPr>
      <w:i/>
      <w:iCs/>
      <w:color w:val="2F5496" w:themeColor="accent1" w:themeShade="BF"/>
    </w:rPr>
  </w:style>
  <w:style w:type="character" w:styleId="IntenseReference">
    <w:name w:val="Intense Reference"/>
    <w:basedOn w:val="DefaultParagraphFont"/>
    <w:uiPriority w:val="32"/>
    <w:qFormat/>
    <w:rsid w:val="00D319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3</Pages>
  <Words>1759</Words>
  <Characters>10030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ishfaq</dc:creator>
  <cp:keywords/>
  <dc:description/>
  <cp:lastModifiedBy>ayesha ishfaq</cp:lastModifiedBy>
  <cp:revision>2</cp:revision>
  <dcterms:created xsi:type="dcterms:W3CDTF">2026-01-29T16:29:00Z</dcterms:created>
  <dcterms:modified xsi:type="dcterms:W3CDTF">2026-01-29T19:08:00Z</dcterms:modified>
</cp:coreProperties>
</file>