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aicertify.in Enterprise Agent Deployment Guide</w:t>
      </w:r>
    </w:p>
    <w:p>
      <w:pPr>
        <w:pStyle w:val="Heading1"/>
      </w:pPr>
      <w:r>
        <w:t>1. High-Availability System Architecture</w:t>
      </w:r>
    </w:p>
    <w:p>
      <w:r>
        <w:t>Deploying the aicertify-agent platform within enterprise clusters requires strict isolation patterns to ensure that analytical computing overhead does not degrade core application latency profiles. The runtime is distributed as a highly optimized container package engineered to interface natively with modern runtime hooks.</w:t>
      </w:r>
    </w:p>
    <w:p>
      <w:pPr>
        <w:pStyle w:val="Heading1"/>
      </w:pPr>
      <w:r>
        <w:t>2. Core Infrastructure Pre-requisites</w:t>
      </w:r>
    </w:p>
    <w:p>
      <w:r>
        <w:t>Every host node selected to run evaluation workloads must match specific hardware configurations. A minimum of 4 dedicated vCPU resources and 16GB of unthrottled ECC RAM are required to handle structural payload tokenization loops. Swap memory spaces must be disabled entirely across the host infrastructure to protect the deterministic execution boundaries of our scanning engines.</w:t>
      </w:r>
    </w:p>
    <w:p>
      <w:pPr>
        <w:pStyle w:val="Heading2"/>
      </w:pPr>
      <w:r>
        <w:t>2.1 Local Runtime Ingestion Configuration</w:t>
      </w:r>
    </w:p>
    <w:p>
      <w:r>
        <w:t>To establish secure ingestion vectors, administrators must apply specialized kernel network instructions. Ensure that local bridge configurations route traffic seamlessly through iptables mechanisms by verifying that net.bridge.bridge-nf-call-iptables parameters are hardcoded to 1. This guarantees our inspection agents can intercept inbound model inference strings without dropping connection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