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i w:val="0"/>
          <w:color w:val="0047AB"/>
          <w:sz w:val="56"/>
        </w:rPr>
        <w:t>DMM7 Storage</w:t>
      </w:r>
    </w:p>
    <w:p>
      <w:pPr>
        <w:jc w:val="center"/>
      </w:pPr>
      <w:r>
        <w:rPr>
          <w:rFonts w:ascii="Arial" w:hAnsi="Arial"/>
          <w:b w:val="0"/>
          <w:i w:val="0"/>
          <w:sz w:val="32"/>
        </w:rPr>
        <w:t>High Level Design &amp; Low Level Design</w:t>
      </w:r>
    </w:p>
    <w:p/>
    <w:p>
      <w:pPr>
        <w:jc w:val="center"/>
      </w:pPr>
      <w:r>
        <w:rPr>
          <w:rFonts w:ascii="Arial" w:hAnsi="Arial"/>
          <w:b/>
          <w:i w:val="0"/>
          <w:sz w:val="26"/>
        </w:rPr>
        <w:t>Prepared by: BOMATIC</w:t>
      </w:r>
    </w:p>
    <w:p>
      <w:pPr>
        <w:jc w:val="center"/>
      </w:pPr>
      <w:r>
        <w:rPr>
          <w:rFonts w:ascii="Arial" w:hAnsi="Arial"/>
          <w:b w:val="0"/>
          <w:i w:val="0"/>
          <w:sz w:val="22"/>
        </w:rPr>
        <w:t>May 18,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0047AB"/>
          <w:sz w:val="30"/>
        </w:rPr>
        <w:t>Table of Contents</w:t>
      </w:r>
    </w:p>
    <w:p>
      <w:r>
        <w:rPr>
          <w:rFonts w:ascii="Arial" w:hAnsi="Arial"/>
          <w:b/>
          <w:i w:val="0"/>
          <w:color w:val="0047AB"/>
          <w:sz w:val="22"/>
        </w:rPr>
        <w:t>HLD</w:t>
      </w:r>
    </w:p>
    <w:p>
      <w:pPr>
        <w:ind w:left="400"/>
      </w:pPr>
      <w:r>
        <w:rPr>
          <w:rFonts w:ascii="Arial" w:hAnsi="Arial"/>
          <w:b w:val="0"/>
          <w:i w:val="0"/>
          <w:sz w:val="22"/>
        </w:rPr>
        <w:t>1.  Executive Overview</w:t>
      </w:r>
    </w:p>
    <w:p>
      <w:pPr>
        <w:ind w:left="400"/>
      </w:pPr>
      <w:r>
        <w:rPr>
          <w:rFonts w:ascii="Arial" w:hAnsi="Arial"/>
          <w:b w:val="0"/>
          <w:i w:val="0"/>
          <w:sz w:val="22"/>
        </w:rPr>
        <w:t>2.  Architecture Principles</w:t>
      </w:r>
    </w:p>
    <w:p>
      <w:pPr>
        <w:ind w:left="400"/>
      </w:pPr>
      <w:r>
        <w:rPr>
          <w:rFonts w:ascii="Arial" w:hAnsi="Arial"/>
          <w:b w:val="0"/>
          <w:i w:val="0"/>
          <w:sz w:val="22"/>
        </w:rPr>
        <w:t>3.  High Level Topology</w:t>
      </w:r>
    </w:p>
    <w:p>
      <w:pPr>
        <w:ind w:left="400"/>
      </w:pPr>
      <w:r>
        <w:rPr>
          <w:rFonts w:ascii="Arial" w:hAnsi="Arial"/>
          <w:b w:val="0"/>
          <w:i w:val="0"/>
          <w:sz w:val="22"/>
        </w:rPr>
        <w:t>4.  Technology Stack</w:t>
      </w:r>
    </w:p>
    <w:p>
      <w:pPr>
        <w:ind w:left="400"/>
      </w:pPr>
      <w:r>
        <w:rPr>
          <w:rFonts w:ascii="Arial" w:hAnsi="Arial"/>
          <w:b w:val="0"/>
          <w:i w:val="0"/>
          <w:sz w:val="22"/>
        </w:rPr>
        <w:t>5.  Security Architecture</w:t>
      </w:r>
    </w:p>
    <w:p>
      <w:pPr>
        <w:ind w:left="400"/>
      </w:pPr>
      <w:r>
        <w:rPr>
          <w:rFonts w:ascii="Arial" w:hAnsi="Arial"/>
          <w:b w:val="0"/>
          <w:i w:val="0"/>
          <w:sz w:val="22"/>
        </w:rPr>
        <w:t>6.  Resilience &amp; Availability</w:t>
      </w:r>
    </w:p>
    <w:p/>
    <w:p>
      <w:r>
        <w:rPr>
          <w:rFonts w:ascii="Arial" w:hAnsi="Arial"/>
          <w:b/>
          <w:i w:val="0"/>
          <w:color w:val="008280"/>
          <w:sz w:val="22"/>
        </w:rPr>
        <w:t>LLD</w:t>
      </w:r>
    </w:p>
    <w:p>
      <w:pPr>
        <w:ind w:left="400"/>
      </w:pPr>
      <w:r>
        <w:rPr>
          <w:rFonts w:ascii="Arial" w:hAnsi="Arial"/>
          <w:b w:val="0"/>
          <w:i w:val="0"/>
          <w:sz w:val="22"/>
        </w:rPr>
        <w:t>1.  IP Address Scheme</w:t>
      </w:r>
    </w:p>
    <w:p>
      <w:pPr>
        <w:ind w:left="400"/>
      </w:pPr>
      <w:r>
        <w:rPr>
          <w:rFonts w:ascii="Arial" w:hAnsi="Arial"/>
          <w:b w:val="0"/>
          <w:i w:val="0"/>
          <w:sz w:val="22"/>
        </w:rPr>
        <w:t>2.  Device Roles &amp; Hostnames</w:t>
      </w:r>
    </w:p>
    <w:p>
      <w:pPr>
        <w:ind w:left="400"/>
      </w:pPr>
      <w:r>
        <w:rPr>
          <w:rFonts w:ascii="Arial" w:hAnsi="Arial"/>
          <w:b w:val="0"/>
          <w:i w:val="0"/>
          <w:sz w:val="22"/>
        </w:rPr>
        <w:t>3.  Routing &amp; Switching Design</w:t>
      </w:r>
    </w:p>
    <w:p>
      <w:pPr>
        <w:ind w:left="400"/>
      </w:pPr>
      <w:r>
        <w:rPr>
          <w:rFonts w:ascii="Arial" w:hAnsi="Arial"/>
          <w:b w:val="0"/>
          <w:i w:val="0"/>
          <w:sz w:val="22"/>
        </w:rPr>
        <w:t>4.  Security Policy Detail</w:t>
      </w:r>
    </w:p>
    <w:p>
      <w:pPr>
        <w:ind w:left="400"/>
      </w:pPr>
      <w:r>
        <w:rPr>
          <w:rFonts w:ascii="Arial" w:hAnsi="Arial"/>
          <w:b w:val="0"/>
          <w:i w:val="0"/>
          <w:sz w:val="22"/>
        </w:rPr>
        <w:t>5.  Network Management</w:t>
      </w:r>
    </w:p>
    <w:p>
      <w:pPr>
        <w:ind w:left="400"/>
      </w:pPr>
      <w:r>
        <w:rPr>
          <w:rFonts w:ascii="Arial" w:hAnsi="Arial"/>
          <w:b w:val="0"/>
          <w:i w:val="0"/>
          <w:sz w:val="22"/>
        </w:rPr>
        <w:t>6.  Implementation Sequence</w:t>
      </w:r>
    </w:p>
    <w:p>
      <w:r>
        <w:br w:type="page"/>
      </w:r>
    </w:p>
    <w:p/>
    <w:p>
      <w:pPr>
        <w:jc w:val="center"/>
      </w:pPr>
      <w:r>
        <w:rPr>
          <w:rFonts w:ascii="Arial" w:hAnsi="Arial"/>
          <w:b/>
          <w:i w:val="0"/>
          <w:color w:val="0047AB"/>
          <w:sz w:val="36"/>
        </w:rPr>
        <w:t>PART 1 — HIGH LEVEL DESIGN</w:t>
      </w:r>
    </w:p>
    <w:p/>
    <w:p>
      <w:pPr>
        <w:pStyle w:val="Heading1"/>
      </w:pPr>
      <w:r>
        <w:rPr>
          <w:rFonts w:ascii="Arial" w:hAnsi="Arial"/>
          <w:b/>
          <w:i w:val="0"/>
          <w:color w:val="0047AB"/>
          <w:sz w:val="30"/>
        </w:rPr>
        <w:t>Executive Overview</w:t>
      </w:r>
    </w:p>
    <w:p>
      <w:r>
        <w:rPr>
          <w:rFonts w:ascii="Arial" w:hAnsi="Arial"/>
          <w:b w:val="0"/>
          <w:i w:val="0"/>
          <w:sz w:val="22"/>
        </w:rPr>
        <w:t>This document provides the High Level Design for the proposed solution. Detailed content will be populated based on RFP analysis.</w:t>
      </w:r>
    </w:p>
    <w:p>
      <w:pPr>
        <w:pStyle w:val="Heading1"/>
      </w:pPr>
      <w:r>
        <w:rPr>
          <w:rFonts w:ascii="Arial" w:hAnsi="Arial"/>
          <w:b/>
          <w:i w:val="0"/>
          <w:color w:val="0047AB"/>
          <w:sz w:val="30"/>
        </w:rPr>
        <w:t>Architecture Principles</w:t>
      </w:r>
    </w:p>
    <w:p>
      <w:r>
        <w:rPr>
          <w:rFonts w:ascii="Arial" w:hAnsi="Arial"/>
          <w:b w:val="0"/>
          <w:i w:val="0"/>
          <w:sz w:val="22"/>
        </w:rPr>
        <w:t>The solution follows industry-standard design principles including modularity, scalability, security-by-design, and vendor best practices.</w:t>
      </w:r>
    </w:p>
    <w:p>
      <w:pPr>
        <w:pStyle w:val="Heading1"/>
      </w:pPr>
      <w:r>
        <w:rPr>
          <w:rFonts w:ascii="Arial" w:hAnsi="Arial"/>
          <w:b/>
          <w:i w:val="0"/>
          <w:color w:val="0047AB"/>
          <w:sz w:val="30"/>
        </w:rPr>
        <w:t>High Level Topology</w:t>
      </w:r>
    </w:p>
    <w:p>
      <w:r>
        <w:rPr>
          <w:rFonts w:ascii="Arial" w:hAnsi="Arial"/>
          <w:b w:val="0"/>
          <w:i w:val="0"/>
          <w:sz w:val="22"/>
        </w:rPr>
        <w:t>The logical topology comprises core, distribution, and access layers with segmented zones for users, servers, and management traffic.</w:t>
      </w:r>
    </w:p>
    <w:p>
      <w:pPr>
        <w:pStyle w:val="Heading1"/>
      </w:pPr>
      <w:r>
        <w:rPr>
          <w:rFonts w:ascii="Arial" w:hAnsi="Arial"/>
          <w:b/>
          <w:i w:val="0"/>
          <w:color w:val="0047AB"/>
          <w:sz w:val="30"/>
        </w:rPr>
        <w:t>Technology Stack</w:t>
      </w:r>
    </w:p>
    <w:p>
      <w:r>
        <w:rPr>
          <w:rFonts w:ascii="Arial" w:hAnsi="Arial"/>
          <w:b w:val="0"/>
          <w:i w:val="0"/>
          <w:sz w:val="22"/>
        </w:rPr>
        <w:t>The selected technology stack aligns with the specified requirements. Vendor and platform selection will be detailed upon RFP confirmation.</w:t>
      </w:r>
    </w:p>
    <w:p>
      <w:pPr>
        <w:pStyle w:val="Heading1"/>
      </w:pPr>
      <w:r>
        <w:rPr>
          <w:rFonts w:ascii="Arial" w:hAnsi="Arial"/>
          <w:b/>
          <w:i w:val="0"/>
          <w:color w:val="0047AB"/>
          <w:sz w:val="30"/>
        </w:rPr>
        <w:t>Security Architecture</w:t>
      </w:r>
    </w:p>
    <w:p>
      <w:r>
        <w:rPr>
          <w:rFonts w:ascii="Arial" w:hAnsi="Arial"/>
          <w:b w:val="0"/>
          <w:i w:val="0"/>
          <w:sz w:val="22"/>
        </w:rPr>
        <w:t>Security zones are defined with perimeter, DMZ, internal, and management segments. Controls include firewall policies, IPS, and access control lists.</w:t>
      </w:r>
    </w:p>
    <w:p>
      <w:pPr>
        <w:pStyle w:val="Heading1"/>
      </w:pPr>
      <w:r>
        <w:rPr>
          <w:rFonts w:ascii="Arial" w:hAnsi="Arial"/>
          <w:b/>
          <w:i w:val="0"/>
          <w:color w:val="0047AB"/>
          <w:sz w:val="30"/>
        </w:rPr>
        <w:t>Resilience &amp; Availability</w:t>
      </w:r>
    </w:p>
    <w:p>
      <w:r>
        <w:rPr>
          <w:rFonts w:ascii="Arial" w:hAnsi="Arial"/>
          <w:b w:val="0"/>
          <w:i w:val="0"/>
          <w:sz w:val="22"/>
        </w:rPr>
        <w:t>High availability is achieved through redundant links, dual hardware, and automatic failover mechanisms to meet the required uptime SLA.</w:t>
      </w:r>
    </w:p>
    <w:p>
      <w:r>
        <w:br w:type="page"/>
      </w:r>
    </w:p>
    <w:p/>
    <w:p>
      <w:pPr>
        <w:jc w:val="center"/>
      </w:pPr>
      <w:r>
        <w:rPr>
          <w:rFonts w:ascii="Arial" w:hAnsi="Arial"/>
          <w:b/>
          <w:i w:val="0"/>
          <w:color w:val="008280"/>
          <w:sz w:val="36"/>
        </w:rPr>
        <w:t>PART 2 — LOW LEVEL DESIGN</w:t>
      </w:r>
    </w:p>
    <w:p/>
    <w:p>
      <w:pPr>
        <w:pStyle w:val="Heading1"/>
      </w:pPr>
      <w:r>
        <w:rPr>
          <w:rFonts w:ascii="Arial" w:hAnsi="Arial"/>
          <w:b/>
          <w:i w:val="0"/>
          <w:color w:val="008280"/>
          <w:sz w:val="30"/>
        </w:rPr>
        <w:t>IP Address Scheme</w:t>
      </w:r>
    </w:p>
    <w:p>
      <w:r>
        <w:rPr>
          <w:rFonts w:ascii="Arial" w:hAnsi="Arial"/>
          <w:b w:val="0"/>
          <w:i w:val="0"/>
          <w:sz w:val="22"/>
        </w:rPr>
        <w:t>Subnets and VLANs will be allocated per zone. A /24 management subnet, /22 user subnet, and /25 server subnet are recommended as baseline.</w:t>
      </w:r>
    </w:p>
    <w:p>
      <w:pPr>
        <w:pStyle w:val="Heading1"/>
      </w:pPr>
      <w:r>
        <w:rPr>
          <w:rFonts w:ascii="Arial" w:hAnsi="Arial"/>
          <w:b/>
          <w:i w:val="0"/>
          <w:color w:val="008280"/>
          <w:sz w:val="30"/>
        </w:rPr>
        <w:t>Device Roles &amp; Hostnames</w:t>
      </w:r>
    </w:p>
    <w:p>
      <w:r>
        <w:rPr>
          <w:rFonts w:ascii="Arial" w:hAnsi="Arial"/>
          <w:b w:val="0"/>
          <w:i w:val="0"/>
          <w:sz w:val="22"/>
        </w:rPr>
        <w:t>Naming convention: &lt;SITE&gt;-&lt;ROLE&gt;-&lt;INDEX&gt; (e.g. RUH-FW-01, RUH-SW-CORE-01). Roles include firewall, core switch, distribution switch, access switch, and router.</w:t>
      </w:r>
    </w:p>
    <w:p>
      <w:pPr>
        <w:pStyle w:val="Heading1"/>
      </w:pPr>
      <w:r>
        <w:rPr>
          <w:rFonts w:ascii="Arial" w:hAnsi="Arial"/>
          <w:b/>
          <w:i w:val="0"/>
          <w:color w:val="008280"/>
          <w:sz w:val="30"/>
        </w:rPr>
        <w:t>Routing &amp; Switching Design</w:t>
      </w:r>
    </w:p>
    <w:p>
      <w:r>
        <w:rPr>
          <w:rFonts w:ascii="Arial" w:hAnsi="Arial"/>
          <w:b w:val="0"/>
          <w:i w:val="0"/>
          <w:sz w:val="22"/>
        </w:rPr>
        <w:t>OSPF for dynamic routing between core devices. VLANs trunked between distribution and core. Spanning Tree RSTP with root bridge on core.</w:t>
      </w:r>
    </w:p>
    <w:p>
      <w:pPr>
        <w:pStyle w:val="Heading1"/>
      </w:pPr>
      <w:r>
        <w:rPr>
          <w:rFonts w:ascii="Arial" w:hAnsi="Arial"/>
          <w:b/>
          <w:i w:val="0"/>
          <w:color w:val="008280"/>
          <w:sz w:val="30"/>
        </w:rPr>
        <w:t>Security Policy Detail</w:t>
      </w:r>
    </w:p>
    <w:p>
      <w:r>
        <w:rPr>
          <w:rFonts w:ascii="Arial" w:hAnsi="Arial"/>
          <w:b w:val="0"/>
          <w:i w:val="0"/>
          <w:sz w:val="22"/>
        </w:rPr>
        <w:t>Firewall zones: OUTSIDE, DMZ, INSIDE, MGMT. Default deny-all with explicit permit rules. NAT applied at perimeter for internet-bound traffic.</w:t>
      </w:r>
    </w:p>
    <w:p>
      <w:pPr>
        <w:pStyle w:val="Heading1"/>
      </w:pPr>
      <w:r>
        <w:rPr>
          <w:rFonts w:ascii="Arial" w:hAnsi="Arial"/>
          <w:b/>
          <w:i w:val="0"/>
          <w:color w:val="008280"/>
          <w:sz w:val="30"/>
        </w:rPr>
        <w:t>Network Management</w:t>
      </w:r>
    </w:p>
    <w:p>
      <w:r>
        <w:rPr>
          <w:rFonts w:ascii="Arial" w:hAnsi="Arial"/>
          <w:b w:val="0"/>
          <w:i w:val="0"/>
          <w:sz w:val="22"/>
        </w:rPr>
        <w:t>SNMP v3 for device monitoring. Centralised syslog server. NTP hierarchy with primary and secondary servers. DHCP pools defined per VLAN.</w:t>
      </w:r>
    </w:p>
    <w:p>
      <w:pPr>
        <w:pStyle w:val="Heading1"/>
      </w:pPr>
      <w:r>
        <w:rPr>
          <w:rFonts w:ascii="Arial" w:hAnsi="Arial"/>
          <w:b/>
          <w:i w:val="0"/>
          <w:color w:val="008280"/>
          <w:sz w:val="30"/>
        </w:rPr>
        <w:t>Implementation Sequence</w:t>
      </w:r>
    </w:p>
    <w:p>
      <w:r>
        <w:rPr>
          <w:rFonts w:ascii="Arial" w:hAnsi="Arial"/>
          <w:b w:val="0"/>
          <w:i w:val="0"/>
          <w:sz w:val="22"/>
        </w:rPr>
        <w:t>Phase 1: Core infrastructure and out-of-band management. Phase 2: Security perimeter and DMZ. Phase 3: User access layer and wireless. Phase 4: Handover and acceptance testing.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