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Heading1"/>
      </w:pPr>
      <w:r>
        <w:rPr>
          <w:sz w:val="48"/>
          <w:b w:val="1"/>
        </w:rPr>
        <w:t xml:space="preserve">2.0 Open Platform - Integration Guide</w:t>
      </w:r>
    </w:p>
    <w:p>
      <w:pPr/>
      <w:r>
        <w:rPr>
          <w:color w:val="000000"/>
        </w:rPr>
      </w:r>
    </w:p>
    <w:p>
      <w:bookmarkStart w:id="mkf87v5eoglscc006z" w:name="mkf87v5eoglscc006z"/>
      <w:pPr>
        <w:pStyle w:val="Heading2"/>
        <w:ind/>
        <w:spacing/>
      </w:pPr>
      <w:r>
        <w:rPr>
          <w:color w:val="000000"/>
        </w:rPr>
        <w:t xml:space="preserve">1. Overview</w:t>
      </w:r>
      <w:bookmarkEnd w:id="mkf87v5eoglscc006z"/>
    </w:p>
    <w:p>
      <w:pPr>
        <w:ind/>
        <w:spacing/>
      </w:pPr>
      <w:r/>
    </w:p>
    <w:p>
      <w:bookmarkStart w:id="mkf87v5gte66q03c3vc" w:name="mkf87v5gte66q03c3vc"/>
      <w:pPr>
        <w:pStyle w:val="Heading3"/>
        <w:ind/>
        <w:spacing/>
      </w:pPr>
      <w:r>
        <w:rPr>
          <w:color w:val="000000"/>
        </w:rPr>
        <w:t xml:space="preserve">Background</w:t>
      </w:r>
      <w:bookmarkEnd w:id="mkf87v5gte66q03c3vc"/>
    </w:p>
    <w:p>
      <w:pPr>
        <w:ind/>
        <w:spacing/>
      </w:pPr>
      <w:r/>
    </w:p>
    <w:p>
      <w:pPr>
        <w:ind/>
        <w:spacing/>
      </w:pPr>
      <w:r>
        <w:rPr>
          <w:sz w:val="24"/>
          <w:color w:val="000000"/>
        </w:rPr>
        <w:t xml:space="preserve">To address the actual needs of 2.0 platform users for device function expansion and cross-system integration, and to resolve pain points such as closed traditional device interfaces and difficulties in third-party service docking, the 2.0 Open Platform is specially built.</w:t>
      </w:r>
    </w:p>
    <w:p>
      <w:pPr>
        <w:ind/>
        <w:spacing/>
      </w:pPr>
      <w:r/>
    </w:p>
    <w:p>
      <w:bookmarkStart w:id="mkf87v5imhk5rcyuvy" w:name="mkf87v5imhk5rcyuvy"/>
      <w:pPr>
        <w:pStyle w:val="Heading3"/>
        <w:ind/>
        <w:spacing/>
      </w:pPr>
      <w:r>
        <w:rPr>
          <w:color w:val="000000"/>
        </w:rPr>
        <w:t xml:space="preserve">Core Positioning</w:t>
      </w:r>
      <w:bookmarkEnd w:id="mkf87v5imhk5rcyuvy"/>
    </w:p>
    <w:p>
      <w:pPr>
        <w:ind/>
        <w:spacing/>
      </w:pPr>
      <w:r/>
    </w:p>
    <w:p>
      <w:pPr>
        <w:ind/>
        <w:spacing/>
      </w:pPr>
      <w:r>
        <w:rPr>
          <w:sz w:val="24"/>
          <w:color w:val="000000"/>
        </w:rPr>
        <w:t xml:space="preserve">Open standardized API interfaces to allow third-party services (including operation and maintenance tools, management systems, customized applications, etc.) to obtain 2.0 device data, perform remote operations, and other core functions through compliant calls. This reduces the integration threshold between third-party services and 2.0, and improves the flexibility and scenario adaptability of device usage.</w:t>
      </w:r>
    </w:p>
    <w:p>
      <w:pPr>
        <w:ind/>
        <w:spacing/>
      </w:pPr>
      <w:r/>
    </w:p>
    <w:p>
      <w:bookmarkStart w:id="mkf87v5kxlhxw2z6mc" w:name="mkf87v5kxlhxw2z6mc"/>
      <w:pPr>
        <w:pStyle w:val="Heading2"/>
        <w:ind/>
        <w:spacing/>
      </w:pPr>
      <w:r>
        <w:rPr>
          <w:color w:val="000000"/>
        </w:rPr>
        <w:t xml:space="preserve">2. Application Registration</w:t>
      </w:r>
      <w:bookmarkEnd w:id="mkf87v5kxlhxw2z6mc"/>
    </w:p>
    <w:p>
      <w:pPr>
        <w:ind/>
        <w:spacing/>
      </w:pPr>
      <w:r/>
    </w:p>
    <w:p>
      <w:pPr>
        <w:ind/>
        <w:spacing/>
      </w:pPr>
      <w:r>
        <w:rPr>
          <w:sz w:val="24"/>
          <w:color w:val="000000"/>
        </w:rPr>
        <w:t xml:space="preserve">If you intend to integrate with this open platform, you must first contact customer service and submit an application. After customer service reviews and processes the application, they will feedback key information corresponding to your application, including but not limited to AppId, AppKey, etc.</w:t>
      </w:r>
    </w:p>
    <w:p>
      <w:pPr>
        <w:ind/>
        <w:spacing/>
      </w:pPr>
      <w:r/>
    </w:p>
    <w:p>
      <w:bookmarkStart w:id="mkf87v5mr0ls5prrh8" w:name="mkf87v5mr0ls5prrh8"/>
      <w:pPr>
        <w:pStyle w:val="Heading2"/>
        <w:ind/>
        <w:spacing/>
      </w:pPr>
      <w:r>
        <w:rPr>
          <w:color w:val="000000"/>
        </w:rPr>
        <w:t xml:space="preserve">3. API Call Details</w:t>
      </w:r>
      <w:bookmarkEnd w:id="mkf87v5mr0ls5prrh8"/>
    </w:p>
    <w:p>
      <w:pPr>
        <w:ind/>
        <w:spacing/>
      </w:pPr>
      <w:r/>
    </w:p>
    <w:p>
      <w:pPr>
        <w:ind/>
        <w:spacing/>
      </w:pPr>
      <w:r>
        <w:rPr>
          <w:sz w:val="24"/>
          <w:color w:val="000000"/>
        </w:rPr>
        <w:t xml:space="preserve">API calls of the Open Platform (TOP) are implemented based on the HTTP protocol. Third-party developers (ISVs) have two calling methods:</w:t>
      </w:r>
    </w:p>
    <w:p>
      <w:pPr>
        <w:ind/>
        <w:spacing/>
      </w:pPr>
      <w:r/>
    </w:p>
    <w:p>
      <w:pPr>
        <w:numPr>
          <w:ilvl w:val="0"/>
          <w:numId w:val="1"/>
        </w:numPr>
      </w:pPr>
      <w:r>
        <w:rPr>
          <w:sz w:val="24"/>
          <w:color w:val="000000"/>
        </w:rPr>
        <w:t xml:space="preserve">Directly use the official SDK provided by TOP. Currently, the SDK only supports .NET (including .NET Framework and .NET Core), with functions such as request encapsulation, signature encryption, response parsing, and performance optimization.</w:t>
      </w:r>
    </w:p>
    <w:p>
      <w:pPr>
        <w:numPr>
          <w:ilvl w:val="0"/>
          <w:numId w:val="1"/>
        </w:numPr>
      </w:pPr>
      <w:r>
        <w:rPr>
          <w:sz w:val="24"/>
          <w:color w:val="000000"/>
        </w:rPr>
        <w:t xml:space="preserve">Developers can encapsulate HTTP requests independently according to the protocols formulated by TOP to complete calls.</w:t>
      </w:r>
    </w:p>
    <w:p>
      <w:pPr>
        <w:ind/>
        <w:spacing/>
      </w:pPr>
      <w:r/>
    </w:p>
    <w:p>
      <w:bookmarkStart w:id="mkf87v5r5y0mqvff6jn" w:name="mkf87v5r5y0mqvff6jn"/>
      <w:pPr>
        <w:pStyle w:val="Heading3"/>
        <w:ind/>
        <w:spacing/>
      </w:pPr>
      <w:r>
        <w:rPr>
          <w:color w:val="000000"/>
        </w:rPr>
        <w:t xml:space="preserve">3.1 Call Endpoints</w:t>
      </w:r>
      <w:bookmarkEnd w:id="mkf87v5r5y0mqvff6jn"/>
    </w:p>
    <w:p>
      <w:pPr>
        <w:ind/>
        <w:spacing/>
      </w:pPr>
      <w:r/>
    </w:p>
    <w:p>
      <w:pPr>
        <w:ind/>
        <w:spacing/>
      </w:pPr>
      <w:r>
        <w:rPr>
          <w:sz w:val="24"/>
          <w:color w:val="000000"/>
        </w:rPr>
        <w:t xml:space="preserve">The Open Platform provides 2 environments for ISVs to use: test environment and production environment.</w:t>
      </w:r>
    </w:p>
    <w:p>
      <w:pPr>
        <w:ind/>
        <w:spacing/>
      </w:pPr>
      <w:r/>
    </w:p>
    <w:tbl>
      <w:tblPr>
        <w:tblStyle w:val="TableGrid"/>
        <w:tblW w:w="0" w:type="auto"/>
      </w:tblPr>
      <w:tblGrid>
        <w:gridCol w:w="4875"/>
        <w:gridCol w:w="4875"/>
      </w:tblGrid>
      <w:tr>
        <w:trPr>
          <w:trHeight w:val="0"/>
        </w:trPr>
        <w:tc>
          <w:tcPr>
            <w:tcW w:w="4875" w:type="dxa"/>
            <w:vAlign w:val="center"/>
          </w:tcPr>
          <w:p>
            <w:pPr>
              <w:jc w:val="left"/>
            </w:pPr>
            <w:r>
              <w:rPr>
                <w:sz w:val="24"/>
                <w:color w:val="000000"/>
                <w:b w:val="1"/>
              </w:rPr>
              <w:t xml:space="preserve">Calling Environment</w:t>
            </w:r>
          </w:p>
        </w:tc>
        <w:tc>
          <w:tcPr>
            <w:tcW w:w="4875" w:type="dxa"/>
            <w:vAlign w:val="center"/>
          </w:tcPr>
          <w:p>
            <w:pPr>
              <w:jc w:val="left"/>
            </w:pPr>
            <w:r>
              <w:rPr>
                <w:sz w:val="24"/>
                <w:color w:val="000000"/>
                <w:b w:val="1"/>
              </w:rPr>
              <w:t xml:space="preserve">Service Address</w:t>
            </w:r>
          </w:p>
        </w:tc>
      </w:tr>
      <w:tr>
        <w:trPr>
          <w:trHeight w:val="0"/>
        </w:trPr>
        <w:tc>
          <w:tcPr>
            <w:tcW w:w="4875" w:type="dxa"/>
            <w:vAlign w:val="center"/>
          </w:tcPr>
          <w:p>
            <w:pPr>
              <w:jc w:val="left"/>
            </w:pPr>
            <w:r>
              <w:rPr>
                <w:sz w:val="24"/>
                <w:color w:val="000000"/>
              </w:rPr>
              <w:t xml:space="preserve">Test Environment</w:t>
            </w:r>
          </w:p>
        </w:tc>
        <w:tc>
          <w:tcPr>
            <w:tcW w:w="4875" w:type="dxa"/>
            <w:vAlign w:val="center"/>
          </w:tcPr>
          <w:p>
            <w:pPr>
              <w:jc w:val="left"/>
            </w:pPr>
            <w:r/>
            <w:hyperlink r:id="rId4">
              <w:r>
                <w:rPr>
                  <w:rStyle w:val="hyperlink"/>
                </w:rPr>
                <w:t xml:space="preserve">https://test-openv2.ourvend.com</w:t>
              </w:r>
            </w:hyperlink>
            <w:r/>
          </w:p>
        </w:tc>
      </w:tr>
      <w:tr>
        <w:trPr>
          <w:trHeight w:val="0"/>
        </w:trPr>
        <w:tc>
          <w:tcPr>
            <w:tcW w:w="4875" w:type="dxa"/>
            <w:vAlign w:val="center"/>
          </w:tcPr>
          <w:p>
            <w:pPr>
              <w:jc w:val="left"/>
            </w:pPr>
            <w:r>
              <w:rPr>
                <w:sz w:val="24"/>
                <w:color w:val="000000"/>
              </w:rPr>
              <w:t xml:space="preserve">Production Environment</w:t>
            </w:r>
          </w:p>
        </w:tc>
        <w:tc>
          <w:tcPr>
            <w:tcW w:w="4875" w:type="dxa"/>
            <w:vAlign w:val="center"/>
          </w:tcPr>
          <w:p>
            <w:pPr>
              <w:jc w:val="left"/>
            </w:pPr>
            <w:r/>
            <w:hyperlink r:id="rId5">
              <w:r>
                <w:rPr>
                  <w:rStyle w:val="hyperlink"/>
                </w:rPr>
                <w:t xml:space="preserve">https://openv2.ourvend.com</w:t>
              </w:r>
            </w:hyperlink>
            <w:r/>
          </w:p>
        </w:tc>
      </w:tr>
    </w:tbl>
    <w:p>
      <w:pPr>
        <w:ind/>
        <w:spacing/>
      </w:pPr>
      <w:r/>
    </w:p>
    <w:p>
      <w:bookmarkStart w:id="mkf87v5vtoc719deqea" w:name="mkf87v5vtoc719deqea"/>
      <w:pPr>
        <w:pStyle w:val="Heading3"/>
        <w:ind/>
        <w:spacing/>
      </w:pPr>
      <w:r>
        <w:rPr>
          <w:color w:val="000000"/>
        </w:rPr>
        <w:t xml:space="preserve">3.2 Public Request Parameters</w:t>
      </w:r>
      <w:bookmarkEnd w:id="mkf87v5vtoc719deqea"/>
    </w:p>
    <w:p>
      <w:pPr>
        <w:ind/>
        <w:spacing/>
      </w:pPr>
      <w:r/>
    </w:p>
    <w:p>
      <w:pPr>
        <w:ind/>
        <w:spacing/>
      </w:pPr>
      <w:r>
        <w:rPr>
          <w:sz w:val="24"/>
          <w:color w:val="000000"/>
        </w:rPr>
        <w:t xml:space="preserve">When calling any API of the Open Platform, a set of mandatory parameters (referred to as public parameters) must be passed. The specific details are as follows:</w:t>
      </w:r>
    </w:p>
    <w:p>
      <w:pPr>
        <w:ind/>
        <w:spacing/>
      </w:pPr>
      <w:r/>
    </w:p>
    <w:tbl>
      <w:tblPr>
        <w:tblStyle w:val="TableGrid"/>
        <w:tblW w:w="0" w:type="auto"/>
      </w:tblPr>
      <w:tblGrid>
        <w:gridCol w:w="1560"/>
        <w:gridCol w:w="1605"/>
        <w:gridCol w:w="1620"/>
        <w:gridCol w:w="5250"/>
      </w:tblGrid>
      <w:tr>
        <w:trPr>
          <w:trHeight w:val="0"/>
        </w:trPr>
        <w:tc>
          <w:tcPr>
            <w:tcW w:w="1560" w:type="dxa"/>
            <w:vAlign w:val="center"/>
          </w:tcPr>
          <w:p>
            <w:pPr>
              <w:jc w:val="left"/>
            </w:pPr>
            <w:r>
              <w:rPr>
                <w:sz w:val="24"/>
                <w:color w:val="000000"/>
                <w:b w:val="1"/>
              </w:rPr>
              <w:t xml:space="preserve">Parameter Name</w:t>
            </w:r>
          </w:p>
        </w:tc>
        <w:tc>
          <w:tcPr>
            <w:tcW w:w="1605" w:type="dxa"/>
            <w:vAlign w:val="center"/>
          </w:tcPr>
          <w:p>
            <w:pPr>
              <w:jc w:val="left"/>
            </w:pPr>
            <w:r>
              <w:rPr>
                <w:sz w:val="24"/>
                <w:color w:val="000000"/>
                <w:b w:val="1"/>
              </w:rPr>
              <w:t xml:space="preserve">Parameter Type</w:t>
            </w:r>
          </w:p>
        </w:tc>
        <w:tc>
          <w:tcPr>
            <w:tcW w:w="1620" w:type="dxa"/>
            <w:vAlign w:val="center"/>
          </w:tcPr>
          <w:p>
            <w:pPr>
              <w:jc w:val="left"/>
            </w:pPr>
            <w:r>
              <w:rPr>
                <w:sz w:val="24"/>
                <w:color w:val="000000"/>
                <w:b w:val="1"/>
              </w:rPr>
              <w:t xml:space="preserve">Mandatory</w:t>
            </w:r>
          </w:p>
        </w:tc>
        <w:tc>
          <w:tcPr>
            <w:tcW w:w="5250" w:type="dxa"/>
            <w:vAlign w:val="center"/>
          </w:tcPr>
          <w:p>
            <w:pPr>
              <w:jc w:val="left"/>
            </w:pPr>
            <w:r>
              <w:rPr>
                <w:sz w:val="24"/>
                <w:color w:val="000000"/>
                <w:b w:val="1"/>
              </w:rPr>
              <w:t xml:space="preserve">Parameter Description</w:t>
            </w:r>
          </w:p>
        </w:tc>
      </w:tr>
      <w:tr>
        <w:trPr>
          <w:trHeight w:val="0"/>
        </w:trPr>
        <w:tc>
          <w:tcPr>
            <w:tcW w:w="1560" w:type="dxa"/>
            <w:vAlign w:val="center"/>
          </w:tcPr>
          <w:p>
            <w:pPr>
              <w:jc w:val="left"/>
            </w:pPr>
            <w:r>
              <w:rPr>
                <w:sz w:val="24"/>
                <w:color w:val="000000"/>
              </w:rPr>
              <w:t xml:space="preserve">method</w:t>
            </w:r>
          </w:p>
        </w:tc>
        <w:tc>
          <w:tcPr>
            <w:tcW w:w="1605" w:type="dxa"/>
            <w:vAlign w:val="center"/>
          </w:tcPr>
          <w:p>
            <w:pPr>
              <w:jc w:val="left"/>
            </w:pPr>
            <w:r>
              <w:rPr>
                <w:sz w:val="24"/>
                <w:color w:val="000000"/>
              </w:rPr>
              <w:t xml:space="preserve">String</w:t>
            </w:r>
          </w:p>
        </w:tc>
        <w:tc>
          <w:tcPr>
            <w:tcW w:w="1620" w:type="dxa"/>
            <w:vAlign w:val="center"/>
          </w:tcPr>
          <w:p>
            <w:pPr>
              <w:jc w:val="left"/>
            </w:pPr>
            <w:r>
              <w:rPr>
                <w:sz w:val="24"/>
                <w:color w:val="000000"/>
              </w:rPr>
              <w:t xml:space="preserve">Yes</w:t>
            </w:r>
          </w:p>
        </w:tc>
        <w:tc>
          <w:tcPr>
            <w:tcW w:w="5250" w:type="dxa"/>
            <w:vAlign w:val="center"/>
          </w:tcPr>
          <w:p>
            <w:pPr>
              <w:jc w:val="left"/>
            </w:pPr>
            <w:r>
              <w:rPr>
                <w:sz w:val="24"/>
                <w:color w:val="000000"/>
              </w:rPr>
              <w:t xml:space="preserve">Specific API interface name, e.g.: api.product.getProductPage</w:t>
            </w:r>
          </w:p>
        </w:tc>
      </w:tr>
      <w:tr>
        <w:trPr>
          <w:trHeight w:val="0"/>
        </w:trPr>
        <w:tc>
          <w:tcPr>
            <w:tcW w:w="1560" w:type="dxa"/>
            <w:vAlign w:val="center"/>
          </w:tcPr>
          <w:p>
            <w:pPr>
              <w:jc w:val="left"/>
            </w:pPr>
            <w:r>
              <w:rPr>
                <w:sz w:val="24"/>
                <w:color w:val="000000"/>
              </w:rPr>
              <w:t xml:space="preserve">app_id</w:t>
            </w:r>
          </w:p>
        </w:tc>
        <w:tc>
          <w:tcPr>
            <w:tcW w:w="1605" w:type="dxa"/>
            <w:vAlign w:val="center"/>
          </w:tcPr>
          <w:p>
            <w:pPr>
              <w:jc w:val="left"/>
            </w:pPr>
            <w:r>
              <w:rPr>
                <w:sz w:val="24"/>
                <w:color w:val="000000"/>
              </w:rPr>
              <w:t xml:space="preserve">long</w:t>
            </w:r>
          </w:p>
        </w:tc>
        <w:tc>
          <w:tcPr>
            <w:tcW w:w="1620" w:type="dxa"/>
            <w:vAlign w:val="center"/>
          </w:tcPr>
          <w:p>
            <w:pPr>
              <w:jc w:val="left"/>
            </w:pPr>
            <w:r>
              <w:rPr>
                <w:sz w:val="24"/>
                <w:color w:val="000000"/>
              </w:rPr>
              <w:t xml:space="preserve">Yes</w:t>
            </w:r>
          </w:p>
        </w:tc>
        <w:tc>
          <w:tcPr>
            <w:tcW w:w="5250" w:type="dxa"/>
            <w:vAlign w:val="center"/>
          </w:tcPr>
          <w:p>
            <w:pPr>
              <w:jc w:val="left"/>
            </w:pPr>
            <w:r>
              <w:rPr>
                <w:sz w:val="24"/>
                <w:color w:val="000000"/>
              </w:rPr>
              <w:t xml:space="preserve">AppId assigned to the application by TOP, e.g.: 12345678</w:t>
            </w:r>
          </w:p>
        </w:tc>
      </w:tr>
      <w:tr>
        <w:trPr>
          <w:trHeight w:val="0"/>
        </w:trPr>
        <w:tc>
          <w:tcPr>
            <w:tcW w:w="1560" w:type="dxa"/>
            <w:vAlign w:val="center"/>
          </w:tcPr>
          <w:p>
            <w:pPr>
              <w:jc w:val="left"/>
            </w:pPr>
            <w:r>
              <w:rPr>
                <w:sz w:val="24"/>
                <w:color w:val="000000"/>
              </w:rPr>
              <w:t xml:space="preserve">timestamp</w:t>
            </w:r>
          </w:p>
        </w:tc>
        <w:tc>
          <w:tcPr>
            <w:tcW w:w="1605" w:type="dxa"/>
            <w:vAlign w:val="center"/>
          </w:tcPr>
          <w:p>
            <w:pPr>
              <w:jc w:val="left"/>
            </w:pPr>
            <w:r>
              <w:rPr>
                <w:sz w:val="24"/>
                <w:color w:val="000000"/>
              </w:rPr>
              <w:t xml:space="preserve">long</w:t>
            </w:r>
          </w:p>
        </w:tc>
        <w:tc>
          <w:tcPr>
            <w:tcW w:w="1620" w:type="dxa"/>
            <w:vAlign w:val="center"/>
          </w:tcPr>
          <w:p>
            <w:pPr>
              <w:jc w:val="left"/>
            </w:pPr>
            <w:r>
              <w:rPr>
                <w:sz w:val="24"/>
                <w:color w:val="000000"/>
              </w:rPr>
              <w:t xml:space="preserve">Yes</w:t>
            </w:r>
          </w:p>
        </w:tc>
        <w:tc>
          <w:tcPr>
            <w:tcW w:w="5250" w:type="dxa"/>
            <w:vAlign w:val="center"/>
          </w:tcPr>
          <w:p>
            <w:pPr>
              <w:jc w:val="left"/>
            </w:pPr>
            <w:r>
              <w:rPr>
                <w:sz w:val="24"/>
                <w:color w:val="000000"/>
              </w:rPr>
              <w:t xml:space="preserve">Timestamp in 10-digit number format, using UTC time zone. The maximum allowable time deviation for client requests by the Yunsu Payment Platform API server is 5 minutes.</w:t>
            </w:r>
          </w:p>
        </w:tc>
      </w:tr>
      <w:tr>
        <w:trPr>
          <w:trHeight w:val="0"/>
        </w:trPr>
        <w:tc>
          <w:tcPr>
            <w:tcW w:w="1560" w:type="dxa"/>
            <w:vAlign w:val="center"/>
          </w:tcPr>
          <w:p>
            <w:pPr>
              <w:jc w:val="left"/>
            </w:pPr>
            <w:r>
              <w:rPr>
                <w:sz w:val="24"/>
                <w:color w:val="000000"/>
              </w:rPr>
              <w:t xml:space="preserve">sign_method</w:t>
            </w:r>
          </w:p>
        </w:tc>
        <w:tc>
          <w:tcPr>
            <w:tcW w:w="1605" w:type="dxa"/>
            <w:vAlign w:val="center"/>
          </w:tcPr>
          <w:p>
            <w:pPr>
              <w:jc w:val="left"/>
            </w:pPr>
            <w:r>
              <w:rPr>
                <w:sz w:val="24"/>
                <w:color w:val="000000"/>
              </w:rPr>
              <w:t xml:space="preserve">String</w:t>
            </w:r>
          </w:p>
        </w:tc>
        <w:tc>
          <w:tcPr>
            <w:tcW w:w="1620" w:type="dxa"/>
            <w:vAlign w:val="center"/>
          </w:tcPr>
          <w:p>
            <w:pPr>
              <w:jc w:val="left"/>
            </w:pPr>
            <w:r>
              <w:rPr>
                <w:sz w:val="24"/>
                <w:color w:val="000000"/>
              </w:rPr>
              <w:t xml:space="preserve">Yes</w:t>
            </w:r>
          </w:p>
        </w:tc>
        <w:tc>
          <w:tcPr>
            <w:tcW w:w="5250" w:type="dxa"/>
            <w:vAlign w:val="center"/>
          </w:tcPr>
          <w:p>
            <w:pPr>
              <w:jc w:val="left"/>
            </w:pPr>
            <w:r>
              <w:rPr>
                <w:sz w:val="24"/>
                <w:color w:val="000000"/>
              </w:rPr>
              <w:t xml:space="preserve">Signature algorithm, optional values: md5, hmac-sha256</w:t>
            </w:r>
          </w:p>
        </w:tc>
      </w:tr>
      <w:tr>
        <w:trPr>
          <w:trHeight w:val="0"/>
        </w:trPr>
        <w:tc>
          <w:tcPr>
            <w:tcW w:w="1560" w:type="dxa"/>
            <w:vAlign w:val="center"/>
          </w:tcPr>
          <w:p>
            <w:pPr>
              <w:jc w:val="left"/>
            </w:pPr>
            <w:r>
              <w:rPr>
                <w:sz w:val="24"/>
                <w:color w:val="000000"/>
              </w:rPr>
              <w:t xml:space="preserve">sign</w:t>
            </w:r>
          </w:p>
        </w:tc>
        <w:tc>
          <w:tcPr>
            <w:tcW w:w="1605" w:type="dxa"/>
            <w:vAlign w:val="center"/>
          </w:tcPr>
          <w:p>
            <w:pPr>
              <w:jc w:val="left"/>
            </w:pPr>
            <w:r>
              <w:rPr>
                <w:sz w:val="24"/>
                <w:color w:val="000000"/>
              </w:rPr>
              <w:t xml:space="preserve">String</w:t>
            </w:r>
          </w:p>
        </w:tc>
        <w:tc>
          <w:tcPr>
            <w:tcW w:w="1620" w:type="dxa"/>
            <w:vAlign w:val="center"/>
          </w:tcPr>
          <w:p>
            <w:pPr>
              <w:jc w:val="left"/>
            </w:pPr>
            <w:r>
              <w:rPr>
                <w:sz w:val="24"/>
                <w:color w:val="000000"/>
              </w:rPr>
              <w:t xml:space="preserve">Yes</w:t>
            </w:r>
          </w:p>
        </w:tc>
        <w:tc>
          <w:tcPr>
            <w:tcW w:w="5250" w:type="dxa"/>
            <w:vAlign w:val="center"/>
          </w:tcPr>
          <w:p>
            <w:pPr>
              <w:jc w:val="left"/>
            </w:pPr>
            <w:r>
              <w:rPr>
                <w:sz w:val="24"/>
                <w:color w:val="000000"/>
              </w:rPr>
              <w:t xml:space="preserve">Signature result of API input parameters. Refer to the following introduction for the signature algorithm.</w:t>
            </w:r>
          </w:p>
        </w:tc>
      </w:tr>
    </w:tbl>
    <w:p>
      <w:pPr>
        <w:ind/>
        <w:spacing/>
      </w:pPr>
      <w:r/>
    </w:p>
    <w:p>
      <w:bookmarkStart w:id="mkf87v614ehg1iq438z" w:name="mkf87v614ehg1iq438z"/>
      <w:pPr>
        <w:pStyle w:val="Heading3"/>
        <w:ind/>
        <w:spacing/>
      </w:pPr>
      <w:r>
        <w:rPr>
          <w:color w:val="000000"/>
        </w:rPr>
        <w:t xml:space="preserve">3.3 Public Response Parameters</w:t>
      </w:r>
      <w:bookmarkEnd w:id="mkf87v614ehg1iq438z"/>
    </w:p>
    <w:p>
      <w:pPr>
        <w:ind/>
        <w:spacing/>
      </w:pPr>
      <w:r/>
    </w:p>
    <w:p>
      <w:pPr>
        <w:ind/>
        <w:spacing/>
      </w:pPr>
      <w:r>
        <w:rPr>
          <w:sz w:val="24"/>
          <w:color w:val="000000"/>
        </w:rPr>
        <w:t xml:space="preserve">All API calls will return the following public response parameters:</w:t>
      </w:r>
    </w:p>
    <w:p>
      <w:pPr>
        <w:ind/>
        <w:spacing/>
      </w:pPr>
      <w:r/>
    </w:p>
    <w:tbl>
      <w:tblPr>
        <w:tblStyle w:val="TableGrid"/>
        <w:tblW w:w="0" w:type="auto"/>
      </w:tblPr>
      <w:tblGrid>
        <w:gridCol w:w="2025"/>
        <w:gridCol w:w="1950"/>
        <w:gridCol w:w="1965"/>
        <w:gridCol w:w="2430"/>
      </w:tblGrid>
      <w:tr>
        <w:trPr>
          <w:trHeight w:val="0"/>
        </w:trPr>
        <w:tc>
          <w:tcPr>
            <w:tcW w:w="2025" w:type="dxa"/>
            <w:vAlign w:val="center"/>
          </w:tcPr>
          <w:p>
            <w:pPr>
              <w:jc w:val="left"/>
            </w:pPr>
            <w:r>
              <w:rPr>
                <w:sz w:val="24"/>
                <w:color w:val="000000"/>
                <w:b w:val="1"/>
              </w:rPr>
              <w:t xml:space="preserve">Parameter Name</w:t>
            </w:r>
          </w:p>
        </w:tc>
        <w:tc>
          <w:tcPr>
            <w:tcW w:w="1950" w:type="dxa"/>
            <w:vAlign w:val="center"/>
          </w:tcPr>
          <w:p>
            <w:pPr>
              <w:jc w:val="left"/>
            </w:pPr>
            <w:r>
              <w:rPr>
                <w:sz w:val="24"/>
                <w:color w:val="000000"/>
                <w:b w:val="1"/>
              </w:rPr>
              <w:t xml:space="preserve">Parameter Type</w:t>
            </w:r>
          </w:p>
        </w:tc>
        <w:tc>
          <w:tcPr>
            <w:tcW w:w="1965" w:type="dxa"/>
            <w:vAlign w:val="center"/>
          </w:tcPr>
          <w:p>
            <w:pPr>
              <w:jc w:val="left"/>
            </w:pPr>
            <w:r>
              <w:rPr>
                <w:sz w:val="24"/>
                <w:color w:val="000000"/>
                <w:b w:val="1"/>
              </w:rPr>
              <w:t xml:space="preserve">Mandatory</w:t>
            </w:r>
          </w:p>
        </w:tc>
        <w:tc>
          <w:tcPr>
            <w:tcW w:w="2430" w:type="dxa"/>
            <w:vAlign w:val="center"/>
          </w:tcPr>
          <w:p>
            <w:pPr>
              <w:jc w:val="left"/>
            </w:pPr>
            <w:r>
              <w:rPr>
                <w:sz w:val="24"/>
                <w:color w:val="000000"/>
                <w:b w:val="1"/>
              </w:rPr>
              <w:t xml:space="preserve">Parameter Description</w:t>
            </w:r>
          </w:p>
        </w:tc>
      </w:tr>
      <w:tr>
        <w:trPr>
          <w:trHeight w:val="0"/>
        </w:trPr>
        <w:tc>
          <w:tcPr>
            <w:tcW w:w="2025" w:type="dxa"/>
            <w:vAlign w:val="center"/>
          </w:tcPr>
          <w:p>
            <w:pPr>
              <w:jc w:val="left"/>
            </w:pPr>
            <w:r>
              <w:rPr>
                <w:sz w:val="24"/>
                <w:color w:val="000000"/>
              </w:rPr>
              <w:t xml:space="preserve">ErrCode</w:t>
            </w:r>
          </w:p>
        </w:tc>
        <w:tc>
          <w:tcPr>
            <w:tcW w:w="1950" w:type="dxa"/>
            <w:vAlign w:val="center"/>
          </w:tcPr>
          <w:p>
            <w:pPr>
              <w:jc w:val="left"/>
            </w:pPr>
            <w:r>
              <w:rPr>
                <w:sz w:val="24"/>
                <w:color w:val="000000"/>
              </w:rPr>
              <w:t xml:space="preserve">String</w:t>
            </w:r>
          </w:p>
        </w:tc>
        <w:tc>
          <w:tcPr>
            <w:tcW w:w="1965" w:type="dxa"/>
            <w:vAlign w:val="center"/>
          </w:tcPr>
          <w:p>
            <w:pPr>
              <w:jc w:val="left"/>
            </w:pPr>
            <w:r>
              <w:rPr>
                <w:sz w:val="24"/>
                <w:color w:val="000000"/>
              </w:rPr>
              <w:t xml:space="preserve">Yes</w:t>
            </w:r>
          </w:p>
        </w:tc>
        <w:tc>
          <w:tcPr>
            <w:tcW w:w="2430" w:type="dxa"/>
            <w:vAlign w:val="center"/>
          </w:tcPr>
          <w:p>
            <w:pPr>
              <w:jc w:val="left"/>
            </w:pPr>
            <w:r>
              <w:rPr>
                <w:sz w:val="24"/>
                <w:color w:val="000000"/>
              </w:rPr>
              <w:t xml:space="preserve">Error code</w:t>
            </w:r>
          </w:p>
        </w:tc>
      </w:tr>
      <w:tr>
        <w:trPr>
          <w:trHeight w:val="0"/>
        </w:trPr>
        <w:tc>
          <w:tcPr>
            <w:tcW w:w="2025" w:type="dxa"/>
            <w:vAlign w:val="center"/>
          </w:tcPr>
          <w:p>
            <w:pPr>
              <w:jc w:val="left"/>
            </w:pPr>
            <w:r>
              <w:rPr>
                <w:sz w:val="24"/>
                <w:color w:val="000000"/>
              </w:rPr>
              <w:t xml:space="preserve">ErrMsg</w:t>
            </w:r>
          </w:p>
        </w:tc>
        <w:tc>
          <w:tcPr>
            <w:tcW w:w="1950" w:type="dxa"/>
            <w:vAlign w:val="center"/>
          </w:tcPr>
          <w:p>
            <w:pPr>
              <w:jc w:val="left"/>
            </w:pPr>
            <w:r>
              <w:rPr>
                <w:sz w:val="24"/>
                <w:color w:val="000000"/>
              </w:rPr>
              <w:t xml:space="preserve">String</w:t>
            </w:r>
          </w:p>
        </w:tc>
        <w:tc>
          <w:tcPr>
            <w:tcW w:w="1965" w:type="dxa"/>
            <w:vAlign w:val="center"/>
          </w:tcPr>
          <w:p>
            <w:pPr>
              <w:jc w:val="left"/>
            </w:pPr>
            <w:r>
              <w:rPr>
                <w:sz w:val="24"/>
                <w:color w:val="000000"/>
              </w:rPr>
              <w:t xml:space="preserve">Yes</w:t>
            </w:r>
          </w:p>
        </w:tc>
        <w:tc>
          <w:tcPr>
            <w:tcW w:w="2430" w:type="dxa"/>
            <w:vAlign w:val="center"/>
          </w:tcPr>
          <w:p>
            <w:pPr>
              <w:jc w:val="left"/>
            </w:pPr>
            <w:r>
              <w:rPr>
                <w:sz w:val="24"/>
                <w:color w:val="000000"/>
              </w:rPr>
              <w:t xml:space="preserve">Error message</w:t>
            </w:r>
          </w:p>
        </w:tc>
      </w:tr>
      <w:tr>
        <w:trPr>
          <w:trHeight w:val="0"/>
        </w:trPr>
        <w:tc>
          <w:tcPr>
            <w:tcW w:w="2025" w:type="dxa"/>
            <w:vAlign w:val="center"/>
          </w:tcPr>
          <w:p>
            <w:pPr>
              <w:jc w:val="left"/>
            </w:pPr>
            <w:r>
              <w:rPr>
                <w:sz w:val="24"/>
                <w:color w:val="000000"/>
              </w:rPr>
              <w:t xml:space="preserve">IsError</w:t>
            </w:r>
          </w:p>
        </w:tc>
        <w:tc>
          <w:tcPr>
            <w:tcW w:w="1950" w:type="dxa"/>
            <w:vAlign w:val="center"/>
          </w:tcPr>
          <w:p>
            <w:pPr>
              <w:jc w:val="left"/>
            </w:pPr>
            <w:r>
              <w:rPr>
                <w:sz w:val="24"/>
                <w:color w:val="000000"/>
              </w:rPr>
              <w:t xml:space="preserve">bool</w:t>
            </w:r>
          </w:p>
        </w:tc>
        <w:tc>
          <w:tcPr>
            <w:tcW w:w="1965" w:type="dxa"/>
            <w:vAlign w:val="center"/>
          </w:tcPr>
          <w:p>
            <w:pPr>
              <w:jc w:val="left"/>
            </w:pPr>
            <w:r>
              <w:rPr>
                <w:sz w:val="24"/>
                <w:color w:val="000000"/>
              </w:rPr>
              <w:t xml:space="preserve">Yes</w:t>
            </w:r>
          </w:p>
        </w:tc>
        <w:tc>
          <w:tcPr>
            <w:tcW w:w="2430" w:type="dxa"/>
            <w:vAlign w:val="center"/>
          </w:tcPr>
          <w:p>
            <w:pPr>
              <w:jc w:val="left"/>
            </w:pPr>
            <w:r>
              <w:rPr>
                <w:sz w:val="24"/>
                <w:color w:val="000000"/>
              </w:rPr>
              <w:t xml:space="preserve">Whether the response result is an error (true: response error)</w:t>
            </w:r>
          </w:p>
        </w:tc>
      </w:tr>
    </w:tbl>
    <w:p>
      <w:pPr>
        <w:ind/>
        <w:spacing/>
      </w:pPr>
      <w:r/>
    </w:p>
    <w:p>
      <w:bookmarkStart w:id="mkf87v65ivexv6t81p" w:name="mkf87v65ivexv6t81p"/>
      <w:pPr>
        <w:pStyle w:val="Heading3"/>
        <w:ind/>
        <w:spacing/>
      </w:pPr>
      <w:r>
        <w:rPr>
          <w:color w:val="000000"/>
        </w:rPr>
        <w:t xml:space="preserve">3.4 Signature Algorithm</w:t>
      </w:r>
      <w:bookmarkEnd w:id="mkf87v65ivexv6t81p"/>
    </w:p>
    <w:p>
      <w:pPr>
        <w:ind/>
        <w:spacing/>
      </w:pPr>
      <w:r/>
    </w:p>
    <w:p>
      <w:pPr>
        <w:ind/>
        <w:spacing/>
      </w:pPr>
      <w:r>
        <w:rPr>
          <w:sz w:val="24"/>
          <w:color w:val="000000"/>
        </w:rPr>
        <w:t xml:space="preserve">To ensure data security during API calls and prevent malicious tampering of requests by hackers, a signature must be carried when calling any API of TOP. The TOP server will strictly verify the signature based on the request parameters. If the signature is invalid, the relevant request will be directly rejected. Currently, TOP supports two signature algorithms: MD5 (corresponding to sign_method=md5) and HMAC_SHA256 (corresponding to sign_method=hmac-sha256). The general signature process is as follows:</w:t>
      </w:r>
    </w:p>
    <w:p>
      <w:pPr>
        <w:ind/>
        <w:spacing/>
      </w:pPr>
      <w:r/>
    </w:p>
    <w:p>
      <w:bookmarkStart w:id="mkf87v69u0szitupia" w:name="mkf87v69u0szitupia"/>
      <w:pPr>
        <w:pStyle w:val="Heading4"/>
        <w:ind/>
        <w:spacing/>
      </w:pPr>
      <w:r>
        <w:rPr>
          <w:color w:val="000000"/>
        </w:rPr>
        <w:t xml:space="preserve">Parameter Sorting</w:t>
      </w:r>
      <w:bookmarkEnd w:id="mkf87v69u0szitupia"/>
    </w:p>
    <w:p>
      <w:pPr>
        <w:ind/>
        <w:spacing/>
      </w:pPr>
      <w:r/>
    </w:p>
    <w:p>
      <w:pPr>
        <w:ind/>
        <w:spacing/>
      </w:pPr>
      <w:r>
        <w:rPr>
          <w:sz w:val="24"/>
          <w:color w:val="000000"/>
        </w:rPr>
        <w:t xml:space="preserve">Collate all API request parameters (including public parameters and business parameters), excluding the sign  parameter and parameters of type byte[]. Then sort them according to the ASCII order of parameter names. For example, for parameters foo:1, bar:2, foo_bar:3, foobar:4, the sorted order is bar:2, foo:1, foo_bar:3, foobar:4. (If the parameter is of object or array type, convert it to a JSON string first before participating in signature sorting.)</w:t>
      </w:r>
    </w:p>
    <w:p>
      <w:pPr>
        <w:ind/>
        <w:spacing/>
      </w:pPr>
      <w:r/>
    </w:p>
    <w:p>
      <w:bookmarkStart w:id="mkf87v6gpjl9luuizw" w:name="mkf87v6gpjl9luuizw"/>
      <w:pPr>
        <w:pStyle w:val="Heading4"/>
        <w:ind/>
        <w:spacing/>
      </w:pPr>
      <w:r>
        <w:rPr>
          <w:color w:val="000000"/>
        </w:rPr>
        <w:t xml:space="preserve">Parameter Concatenation</w:t>
      </w:r>
      <w:bookmarkEnd w:id="mkf87v6gpjl9luuizw"/>
    </w:p>
    <w:p>
      <w:pPr>
        <w:ind/>
        <w:spacing/>
      </w:pPr>
      <w:r/>
    </w:p>
    <w:p>
      <w:pPr>
        <w:ind/>
        <w:spacing/>
      </w:pPr>
      <w:r>
        <w:rPr>
          <w:sz w:val="24"/>
          <w:color w:val="000000"/>
        </w:rPr>
        <w:t xml:space="preserve">Concatenate the sorted parameter names and values in sequence. Using the above example, the concatenated result is bar2foo1foo_bar3foobar4.</w:t>
      </w:r>
    </w:p>
    <w:p>
      <w:pPr>
        <w:ind/>
        <w:spacing/>
      </w:pPr>
      <w:r/>
    </w:p>
    <w:p>
      <w:bookmarkStart w:id="mkf87v6jn41041wf86" w:name="mkf87v6jn41041wf86"/>
      <w:pPr>
        <w:pStyle w:val="Heading4"/>
        <w:ind/>
        <w:spacing/>
      </w:pPr>
      <w:r>
        <w:rPr>
          <w:color w:val="000000"/>
        </w:rPr>
        <w:t xml:space="preserve">Digest Calculation</w:t>
      </w:r>
      <w:bookmarkEnd w:id="mkf87v6jn41041wf86"/>
    </w:p>
    <w:p>
      <w:pPr>
        <w:ind/>
        <w:spacing/>
      </w:pPr>
      <w:r/>
    </w:p>
    <w:p>
      <w:pPr>
        <w:ind/>
        <w:spacing/>
      </w:pPr>
      <w:r>
        <w:rPr>
          <w:sz w:val="24"/>
          <w:color w:val="000000"/>
        </w:rPr>
        <w:t xml:space="preserve">Encode the concatenated string in UTF-8, then use the selected signature algorithm to calculate the digest of the encoded byte stream. The specific rules are as follows:</w:t>
      </w:r>
    </w:p>
    <w:p>
      <w:pPr>
        <w:ind/>
        <w:spacing/>
      </w:pPr>
      <w:r/>
    </w:p>
    <w:p>
      <w:pPr>
        <w:numPr>
          <w:ilvl w:val="0"/>
          <w:numId w:val="2"/>
        </w:numPr>
      </w:pPr>
      <w:r>
        <w:rPr>
          <w:sz w:val="24"/>
          <w:color w:val="000000"/>
          <w:b w:val="1"/>
        </w:rPr>
        <w:t xml:space="preserve">MD5 Algorithm</w:t>
      </w:r>
      <w:r>
        <w:rPr>
          <w:sz w:val="24"/>
          <w:color w:val="000000"/>
        </w:rPr>
        <w:t xml:space="preserve">: Add the application's</w:t>
      </w:r>
      <w:r>
        <w:rPr>
          <w:sz w:val="24"/>
          <w:color w:val="000000"/>
          <w:b w:val="0"/>
        </w:rPr>
        <w:t xml:space="preserve"> secret</w:t>
      </w:r>
      <w:r>
        <w:rPr>
          <w:sz w:val="24"/>
          <w:color w:val="000000"/>
        </w:rPr>
        <w:t xml:space="preserve"> before and after the concatenated string, then calculate the digest. For example: md5(secret + bar2foo1foo_bar3foobar4 + secret).</w:t>
      </w:r>
    </w:p>
    <w:p>
      <w:pPr>
        <w:numPr>
          <w:ilvl w:val="0"/>
          <w:numId w:val="2"/>
        </w:numPr>
      </w:pPr>
      <w:r>
        <w:rPr>
          <w:sz w:val="24"/>
          <w:color w:val="000000"/>
          <w:b w:val="1"/>
        </w:rPr>
        <w:t xml:space="preserve">HMAC_MD5 Algorithm</w:t>
      </w:r>
      <w:r>
        <w:rPr>
          <w:sz w:val="24"/>
          <w:color w:val="000000"/>
        </w:rPr>
        <w:t xml:space="preserve">: Initialize the digest algorithm with the application's </w:t>
      </w:r>
      <w:r>
        <w:rPr>
          <w:sz w:val="24"/>
          <w:color w:val="000000"/>
          <w:b w:val="0"/>
        </w:rPr>
        <w:t xml:space="preserve">secret</w:t>
      </w:r>
      <w:r>
        <w:rPr>
          <w:sz w:val="24"/>
          <w:color w:val="000000"/>
        </w:rPr>
        <w:t xml:space="preserve">, then calculate the digest of the concatenated string. For example: hmac_md5(bar2foo1foo_bar3foobar4).</w:t>
      </w:r>
    </w:p>
    <w:p>
      <w:pPr>
        <w:ind/>
        <w:spacing/>
      </w:pPr>
      <w:r/>
    </w:p>
    <w:p>
      <w:bookmarkStart w:id="mkf87v6phwd9kbpxaf" w:name="mkf87v6phwd9kbpxaf"/>
      <w:pPr>
        <w:pStyle w:val="Heading4"/>
        <w:ind/>
        <w:spacing/>
      </w:pPr>
      <w:r>
        <w:rPr>
          <w:color w:val="000000"/>
        </w:rPr>
        <w:t xml:space="preserve">Result Representation</w:t>
      </w:r>
      <w:bookmarkEnd w:id="mkf87v6phwd9kbpxaf"/>
    </w:p>
    <w:p>
      <w:pPr>
        <w:ind/>
        <w:spacing/>
      </w:pPr>
      <w:r/>
    </w:p>
    <w:p>
      <w:pPr>
        <w:ind/>
        <w:spacing/>
      </w:pPr>
      <w:r>
        <w:rPr>
          <w:sz w:val="24"/>
          <w:color w:val="000000"/>
        </w:rPr>
        <w:t xml:space="preserve">Convert the byte stream result of the digest calculation into a hexadecimal format. For example, hex("helloworld".getBytes("utf-8")) results in "68656C6C6F776F726C64".</w:t>
      </w:r>
    </w:p>
    <w:p>
      <w:pPr>
        <w:ind/>
        <w:spacing/>
      </w:pPr>
      <w:r/>
    </w:p>
    <w:p>
      <w:pPr>
        <w:ind/>
        <w:spacing/>
      </w:pPr>
      <w:r>
        <w:rPr>
          <w:sz w:val="24"/>
          <w:color w:val="000000"/>
          <w:b w:val="1"/>
        </w:rPr>
        <w:t xml:space="preserve">Supplementary Note</w:t>
      </w:r>
      <w:r>
        <w:rPr>
          <w:sz w:val="24"/>
          <w:color w:val="000000"/>
        </w:rPr>
        <w:t xml:space="preserve">: Both MD5 and HMAC_MD5 are 128-bit digest algorithms. When represented in hexadecimal (each hexadecimal character represents 4 bits), the length of the signed string is fixed at 32 hexadecimal characters.</w:t>
      </w:r>
    </w:p>
    <w:p>
      <w:bookmarkStart w:id="mkf8cfyfjwpzzz7cy0i" w:name="mkf8cfyfjwpzzz7cy0i"/>
      <w:pPr>
        <w:pStyle w:val="Heading4"/>
        <w:ind/>
        <w:spacing/>
      </w:pPr>
      <w:r>
        <w:rPr>
          <w:color w:val="000000"/>
        </w:rPr>
        <w:t xml:space="preserve">C# Signature Sample Code</w:t>
      </w:r>
      <w:bookmarkEnd w:id="mkf8cfyfjwpzzz7cy0i"/>
    </w:p>
    <w:p>
      <w:pPr>
        <w:pStyle w:val="dingding_code"/>
        <w:shd w:val="clear" w:color="auto" w:fill="D0CECE"/>
      </w:pPr>
      <w:r>
        <w:t xml:space="preserve">/// &lt;summary&gt;</w:t>
        <w:br w:type="textWrapping"/>
        <w:t xml:space="preserve">/// Generate TOP API request signature</w:t>
        <w:br w:type="textWrapping"/>
        <w:t xml:space="preserve">/// &lt;/summary&gt;</w:t>
        <w:br w:type="textWrapping"/>
        <w:t xml:space="preserve">/// &lt;param name="parameters"&gt;Request parameter set (must include both common parameters and business parameters)&lt;/param&gt;</w:t>
        <w:br w:type="textWrapping"/>
        <w:t xml:space="preserve">/// &lt;param name="secret"&gt;Signing Key&lt;/param&gt;</w:t>
        <w:br w:type="textWrapping"/>
        <w:t xml:space="preserve">/// &lt;param name="signMethod"&gt;Signature Algorithm（support md5/hmac-sha256，Corresponding Constants definition）&lt;/param&gt;</w:t>
        <w:br w:type="textWrapping"/>
        <w:t xml:space="preserve">/// &lt;returns&gt;Signature result in uppercase hexadecimal format&lt;/returns&gt;</w:t>
        <w:br w:type="textWrapping"/>
        <w:t xml:space="preserve">public static string SignTopRequest(IDictionary&lt;string, string&gt; parameters, string secret, string signMethod)</w:t>
        <w:br w:type="textWrapping"/>
        <w:t xml:space="preserve">{</w:t>
        <w:br w:type="textWrapping"/>
        <w:t xml:space="preserve">    // Step 1: Sort by parameter name in ascending order of ASCII code</w:t>
        <w:br w:type="textWrapping"/>
        <w:t xml:space="preserve">    IDictionary&lt;string, string&gt; sortedParams = new SortedDictionary&lt;string, string&gt;(parameters, StringComparer.Ordinal);</w:t>
        <w:br w:type="textWrapping"/>
        <w:t xml:space="preserve">    IEnumerator&lt;KeyValuePair&lt;string, string&gt;&gt; paramEnumerator = sortedParams.GetEnumerator();</w:t>
        <w:br w:type="textWrapping"/>
        <w:t xml:space="preserve"/>
        <w:br w:type="textWrapping"/>
        <w:t xml:space="preserve">    // Step 2: Concatenate the key-value pairs of non-empty parameters (in sorted order)</w:t>
        <w:br w:type="textWrapping"/>
        <w:t xml:space="preserve">    StringBuilder queryBuilder = new StringBuilder();</w:t>
        <w:br w:type="textWrapping"/>
        <w:t xml:space="preserve">    if (Constants.SIGN_METHOD_MD5.Equals(signMethod))</w:t>
        <w:br w:type="textWrapping"/>
        <w:t xml:space="preserve">    {</w:t>
        <w:br w:type="textWrapping"/>
        <w:t xml:space="preserve">        // MD5 Algorithm: First, concatenate the key</w:t>
        <w:br w:type="textWrapping"/>
        <w:t xml:space="preserve">        queryBuilder.Append(secret);</w:t>
        <w:br w:type="textWrapping"/>
        <w:t xml:space="preserve">    }</w:t>
        <w:br w:type="textWrapping"/>
        <w:t xml:space="preserve"/>
        <w:br w:type="textWrapping"/>
        <w:t xml:space="preserve">    // Iterate over the sorted parameters and concatenate the non-empty key-value pairs</w:t>
        <w:br w:type="textWrapping"/>
        <w:t xml:space="preserve">    while (paramEnumerator.MoveNext())</w:t>
        <w:br w:type="textWrapping"/>
        <w:t xml:space="preserve">    {</w:t>
        <w:br w:type="textWrapping"/>
        <w:t xml:space="preserve">        string key = paramEnumerator.Current.Key;</w:t>
        <w:br w:type="textWrapping"/>
        <w:t xml:space="preserve">        string value = paramEnumerator.Current.Value;</w:t>
        <w:br w:type="textWrapping"/>
        <w:t xml:space="preserve">        </w:t>
        <w:br w:type="textWrapping"/>
        <w:t xml:space="preserve">        // Filter out parameters with empty keys or values</w:t>
        <w:br w:type="textWrapping"/>
        <w:t xml:space="preserve">        if (!string.IsNullOrEmpty(key) &amp;&amp; !string.IsNullOrEmpty(value))</w:t>
        <w:br w:type="textWrapping"/>
        <w:t xml:space="preserve">        {</w:t>
        <w:br w:type="textWrapping"/>
        <w:t xml:space="preserve">            queryBuilder.Append(key).Append(value);</w:t>
        <w:br w:type="textWrapping"/>
        <w:t xml:space="preserve">        }</w:t>
        <w:br w:type="textWrapping"/>
        <w:t xml:space="preserve">    }</w:t>
        <w:br w:type="textWrapping"/>
        <w:t xml:space="preserve"/>
        <w:br w:type="textWrapping"/>
        <w:t xml:space="preserve">    // Step 3: Encrypt according to the signature algorithm</w:t>
        <w:br w:type="textWrapping"/>
        <w:t xml:space="preserve">    byte[] hashBytes;</w:t>
        <w:br w:type="textWrapping"/>
        <w:t xml:space="preserve">    if (Constants.SIGN_METHOD_HMAC.Equals(signMethod))</w:t>
        <w:br w:type="textWrapping"/>
        <w:t xml:space="preserve">    {</w:t>
        <w:br w:type="textWrapping"/>
        <w:t xml:space="preserve">        // HMAC-SHA256 Algorithm: Initialize HMAC with a key and encrypt the concatenated string</w:t>
        <w:br w:type="textWrapping"/>
        <w:t xml:space="preserve">        using (HMACSHA256 hmac = new HMACSHA256(Encoding.UTF8.GetBytes(secret)))</w:t>
        <w:br w:type="textWrapping"/>
        <w:t xml:space="preserve">        {</w:t>
        <w:br w:type="textWrapping"/>
        <w:t xml:space="preserve">            hashBytes = hmac.ComputeHash(Encoding.UTF8.GetBytes(queryBuilder.ToString()));</w:t>
        <w:br w:type="textWrapping"/>
        <w:t xml:space="preserve">        }</w:t>
        <w:br w:type="textWrapping"/>
        <w:t xml:space="preserve">    }</w:t>
        <w:br w:type="textWrapping"/>
        <w:t xml:space="preserve">    else</w:t>
        <w:br w:type="textWrapping"/>
        <w:t xml:space="preserve">    {</w:t>
        <w:br w:type="textWrapping"/>
        <w:t xml:space="preserve">        // MD5 Algorithm: Append the key at the end, then perform MD5 encryption</w:t>
        <w:br w:type="textWrapping"/>
        <w:t xml:space="preserve">        queryBuilder.Append(secret);</w:t>
        <w:br w:type="textWrapping"/>
        <w:t xml:space="preserve">        using (MD5 md5 = MD5.Create())</w:t>
        <w:br w:type="textWrapping"/>
        <w:t xml:space="preserve">        {</w:t>
        <w:br w:type="textWrapping"/>
        <w:t xml:space="preserve">            hashBytes = md5.ComputeHash(Encoding.UTF8.GetBytes(queryBuilder.ToString()));</w:t>
        <w:br w:type="textWrapping"/>
        <w:t xml:space="preserve">        }</w:t>
        <w:br w:type="textWrapping"/>
        <w:t xml:space="preserve">    }</w:t>
        <w:br w:type="textWrapping"/>
        <w:t xml:space="preserve"/>
        <w:br w:type="textWrapping"/>
        <w:t xml:space="preserve">    // Step 4: Convert the encrypted binary data into an uppercase hexadecimal string</w:t>
        <w:br w:type="textWrapping"/>
        <w:t xml:space="preserve">    StringBuilder signResult = new StringBuilder();</w:t>
        <w:br w:type="textWrapping"/>
        <w:t xml:space="preserve">    foreach (byte b in hashBytes)</w:t>
        <w:br w:type="textWrapping"/>
        <w:t xml:space="preserve">    {</w:t>
        <w:br w:type="textWrapping"/>
        <w:t xml:space="preserve">        signResult.Append(b.ToString("X2"));</w:t>
        <w:br w:type="textWrapping"/>
        <w:t xml:space="preserve">    }</w:t>
        <w:br w:type="textWrapping"/>
        <w:t xml:space="preserve"/>
        <w:br w:type="textWrapping"/>
        <w:t xml:space="preserve">    return signResult.ToString();</w:t>
        <w:br w:type="textWrapping"/>
        <w:t xml:space="preserve">}</w:t>
      </w:r>
    </w:p>
    <w:p>
      <w:pPr>
        <w:ind/>
        <w:spacing/>
      </w:pPr>
      <w:r>
        <w:rPr>
          <w:color w:val="000000"/>
        </w:rPr>
      </w:r>
    </w:p>
    <w:p>
      <w:bookmarkStart w:id="mkf8cfz2imj6u90h02l" w:name="mkf8cfz2imj6u90h02l"/>
      <w:pPr>
        <w:pStyle w:val="Heading3"/>
        <w:ind/>
        <w:spacing/>
      </w:pPr>
      <w:r>
        <w:rPr>
          <w:color w:val="000000"/>
        </w:rPr>
        <w:t xml:space="preserve">3.5 Call Example</w:t>
      </w:r>
      <w:bookmarkEnd w:id="mkf8cfz2imj6u90h02l"/>
    </w:p>
    <w:p>
      <w:pPr>
        <w:ind/>
        <w:spacing/>
      </w:pPr>
      <w:r>
        <w:rPr>
          <w:color w:val="000000"/>
        </w:rPr>
      </w:r>
    </w:p>
    <w:p>
      <w:pPr>
        <w:ind/>
        <w:spacing/>
      </w:pPr>
      <w:r>
        <w:rPr>
          <w:sz w:val="24"/>
          <w:color w:val="000000"/>
        </w:rPr>
        <w:t xml:space="preserve">Taking the interface ：</w:t>
      </w:r>
      <w:r>
        <w:rPr>
          <w:sz w:val="24"/>
          <w:color w:val="000000"/>
          <w:b w:val="0"/>
        </w:rPr>
        <w:t xml:space="preserve">api/device/getDevicePage</w:t>
      </w:r>
      <w:r>
        <w:rPr>
          <w:sz w:val="24"/>
          <w:color w:val="000000"/>
        </w:rPr>
        <w:t xml:space="preserve"> as an example, the specific steps are as follows:</w:t>
      </w:r>
    </w:p>
    <w:p>
      <w:pPr>
        <w:ind/>
        <w:spacing/>
      </w:pPr>
      <w:r>
        <w:rPr>
          <w:color w:val="000000"/>
        </w:rPr>
      </w:r>
    </w:p>
    <w:p>
      <w:bookmarkStart w:id="mkf8cfz7b1tfi35iv09" w:name="mkf8cfz7b1tfi35iv09"/>
      <w:pPr>
        <w:pStyle w:val="Heading4"/>
        <w:ind/>
        <w:spacing/>
      </w:pPr>
      <w:r>
        <w:rPr>
          <w:color w:val="000000"/>
        </w:rPr>
        <w:t xml:space="preserve">1. Set Parameter Values</w:t>
      </w:r>
      <w:bookmarkEnd w:id="mkf8cfz7b1tfi35iv09"/>
    </w:p>
    <w:p>
      <w:pPr>
        <w:ind/>
        <w:spacing/>
      </w:pPr>
      <w:r>
        <w:rPr>
          <w:color w:val="000000"/>
        </w:rPr>
      </w:r>
    </w:p>
    <w:tbl>
      <w:tblPr>
        <w:tblStyle w:val="TableGrid"/>
        <w:tblW w:w="0" w:type="auto"/>
      </w:tblPr>
      <w:tblGrid>
        <w:gridCol w:w="4875"/>
        <w:gridCol w:w="4875"/>
      </w:tblGrid>
      <w:tr>
        <w:trPr>
          <w:trHeight w:val="0"/>
        </w:trPr>
        <w:tc>
          <w:tcPr>
            <w:tcW w:w="4875" w:type="dxa"/>
            <w:vAlign w:val="center"/>
          </w:tcPr>
          <w:p>
            <w:pPr>
              <w:jc w:val="left"/>
            </w:pPr>
            <w:r>
              <w:rPr>
                <w:sz w:val="24"/>
                <w:color w:val="000000"/>
                <w:b w:val="1"/>
              </w:rPr>
              <w:t xml:space="preserve">Parameter Type</w:t>
            </w:r>
          </w:p>
        </w:tc>
        <w:tc>
          <w:tcPr>
            <w:tcW w:w="4875" w:type="dxa"/>
            <w:vAlign w:val="center"/>
          </w:tcPr>
          <w:p>
            <w:pPr>
              <w:jc w:val="left"/>
            </w:pPr>
            <w:r>
              <w:rPr>
                <w:sz w:val="24"/>
                <w:color w:val="000000"/>
                <w:b w:val="1"/>
              </w:rPr>
              <w:t xml:space="preserve">Parameter Settings</w:t>
            </w:r>
          </w:p>
        </w:tc>
      </w:tr>
      <w:tr>
        <w:trPr>
          <w:trHeight w:val="0"/>
        </w:trPr>
        <w:tc>
          <w:tcPr>
            <w:tcW w:w="4875" w:type="dxa"/>
            <w:vAlign w:val="center"/>
          </w:tcPr>
          <w:p>
            <w:pPr>
              <w:jc w:val="left"/>
            </w:pPr>
            <w:r>
              <w:rPr>
                <w:sz w:val="24"/>
                <w:color w:val="000000"/>
              </w:rPr>
              <w:t xml:space="preserve">Public Request Parameters</w:t>
            </w:r>
          </w:p>
        </w:tc>
        <w:tc>
          <w:tcPr>
            <w:tcW w:w="4875" w:type="dxa"/>
            <w:vAlign w:val="center"/>
          </w:tcPr>
          <w:p>
            <w:pPr>
              <w:jc w:val="left"/>
            </w:pPr>
            <w:r>
              <w:rPr>
                <w:sz w:val="24"/>
                <w:color w:val="000000"/>
              </w:rPr>
              <w:t xml:space="preserve">method=api/device/getDevicePage</w:t>
            </w:r>
          </w:p>
          <w:p>
            <w:pPr>
              <w:ind/>
              <w:spacing/>
              <w:jc w:val="left"/>
            </w:pPr>
            <w:r>
              <w:rPr>
                <w:color w:val="000000"/>
              </w:rPr>
            </w:r>
          </w:p>
          <w:p>
            <w:pPr>
              <w:jc w:val="left"/>
            </w:pPr>
            <w:r>
              <w:rPr>
                <w:sz w:val="24"/>
                <w:color w:val="000000"/>
              </w:rPr>
              <w:t xml:space="preserve">app_id=749615027720261</w:t>
            </w:r>
          </w:p>
          <w:p>
            <w:pPr>
              <w:ind/>
              <w:spacing/>
              <w:jc w:val="left"/>
            </w:pPr>
            <w:r>
              <w:rPr>
                <w:color w:val="000000"/>
              </w:rPr>
            </w:r>
          </w:p>
          <w:p>
            <w:pPr>
              <w:jc w:val="left"/>
            </w:pPr>
            <w:r>
              <w:rPr>
                <w:sz w:val="24"/>
                <w:color w:val="000000"/>
              </w:rPr>
              <w:t xml:space="preserve">timestamp=1765239698</w:t>
            </w:r>
          </w:p>
          <w:p>
            <w:pPr>
              <w:ind/>
              <w:spacing/>
              <w:jc w:val="left"/>
            </w:pPr>
            <w:r>
              <w:rPr>
                <w:color w:val="000000"/>
              </w:rPr>
            </w:r>
          </w:p>
          <w:p>
            <w:pPr>
              <w:jc w:val="left"/>
            </w:pPr>
            <w:r>
              <w:rPr>
                <w:sz w:val="24"/>
                <w:color w:val="000000"/>
              </w:rPr>
              <w:t xml:space="preserve">sign_method=hmac-sha256</w:t>
            </w:r>
          </w:p>
        </w:tc>
      </w:tr>
      <w:tr>
        <w:trPr>
          <w:trHeight w:val="0"/>
        </w:trPr>
        <w:tc>
          <w:tcPr>
            <w:tcW w:w="4875" w:type="dxa"/>
            <w:vAlign w:val="center"/>
          </w:tcPr>
          <w:p>
            <w:pPr>
              <w:jc w:val="left"/>
            </w:pPr>
            <w:r>
              <w:rPr>
                <w:sz w:val="24"/>
                <w:color w:val="000000"/>
              </w:rPr>
              <w:t xml:space="preserve">Business Request Parameters</w:t>
            </w:r>
          </w:p>
        </w:tc>
        <w:tc>
          <w:tcPr>
            <w:tcW w:w="4875" w:type="dxa"/>
            <w:vAlign w:val="center"/>
          </w:tcPr>
          <w:p>
            <w:pPr>
              <w:jc w:val="left"/>
            </w:pPr>
            <w:r>
              <w:rPr>
                <w:sz w:val="24"/>
                <w:color w:val="000000"/>
              </w:rPr>
              <w:t xml:space="preserve">Page=1</w:t>
            </w:r>
          </w:p>
          <w:p>
            <w:pPr>
              <w:ind/>
              <w:spacing/>
              <w:jc w:val="left"/>
            </w:pPr>
            <w:r>
              <w:rPr>
                <w:color w:val="000000"/>
              </w:rPr>
            </w:r>
          </w:p>
          <w:p>
            <w:pPr>
              <w:jc w:val="left"/>
            </w:pPr>
            <w:r>
              <w:rPr>
                <w:sz w:val="24"/>
                <w:color w:val="000000"/>
              </w:rPr>
              <w:t xml:space="preserve">PageSize=10</w:t>
            </w:r>
          </w:p>
        </w:tc>
      </w:tr>
    </w:tbl>
    <w:p>
      <w:pPr>
        <w:ind/>
        <w:spacing/>
      </w:pPr>
      <w:r>
        <w:rPr>
          <w:color w:val="000000"/>
        </w:rPr>
      </w:r>
    </w:p>
    <w:p>
      <w:bookmarkStart w:id="mkf8cfzbf5wd3ug7alj" w:name="mkf8cfzbf5wd3ug7alj"/>
      <w:pPr>
        <w:pStyle w:val="Heading4"/>
        <w:ind/>
        <w:spacing/>
      </w:pPr>
      <w:r>
        <w:rPr>
          <w:color w:val="000000"/>
        </w:rPr>
        <w:t xml:space="preserve">2. Sort by ASCII Order (Remove Equals Signs)</w:t>
      </w:r>
      <w:bookmarkEnd w:id="mkf8cfzbf5wd3ug7alj"/>
    </w:p>
    <w:p>
      <w:pPr>
        <w:ind/>
        <w:spacing/>
      </w:pPr>
      <w:r>
        <w:rPr>
          <w:color w:val="000000"/>
        </w:rPr>
      </w:r>
    </w:p>
    <w:tbl>
      <w:tblPr>
        <w:tblStyle w:val="TableGrid"/>
        <w:tblBorders>
          <w:left w:val="single" w:sz="7" w:space="0" w:color="CCCCCC"/>
          <w:right w:val="single" w:sz="7" w:space="0" w:color="CCCCCC"/>
          <w:top w:val="single" w:sz="7" w:space="0" w:color="CCCCCC"/>
          <w:bottom w:val="single" w:sz="7" w:space="0" w:color="CCCCCC"/>
          <w:insideH w:val="none" w:sz="6" w:space="0" w:color="000000"/>
          <w:insideV w:val="none" w:sz="6" w:space="0" w:color="000000"/>
        </w:tblBorders>
        <w:tblW w:w="0" w:type="auto"/>
      </w:tblPr>
      <w:tblGrid>
        <w:gridCol w:w="13633"/>
      </w:tblGrid>
      <w:tr>
        <w:trPr>
          <w:trHeight w:val="495" w:hRule="atLeast"/>
        </w:trPr>
        <w:tc>
          <w:tcPr>
            <w:tcW w:w="13633" w:type="dxa"/>
            <w:vAlign w:val="center"/>
            <w:tcBorders>
              <w:bottom w:val="single" w:sz="7" w:space="0" w:color="EEEEEE"/>
              <w:top w:val="single" w:sz="7" w:space="0" w:color="EEEEEE"/>
              <w:right w:val="single" w:sz="7" w:space="0" w:color="EEEEEE"/>
              <w:left w:val="single" w:sz="7" w:space="0" w:color="EEEEEE"/>
            </w:tcBorders>
          </w:tcPr>
          <w:p>
            <w:pPr>
              <w:ind/>
              <w:spacing w:beforeLines="100" w:after="50" w:line="360" w:lineRule="auto"/>
              <w:jc w:val="left"/>
            </w:pPr>
            <w:r>
              <w:rPr>
                <w:sz w:val="21"/>
                <w:color w:val="262626"/>
                <w:b w:val="0"/>
              </w:rPr>
              <w:t xml:space="preserve">Page=1</w:t>
            </w:r>
          </w:p>
          <w:p>
            <w:pPr>
              <w:ind/>
              <w:spacing w:beforeLines="100" w:after="50" w:line="360" w:lineRule="auto"/>
              <w:jc w:val="left"/>
            </w:pPr>
            <w:r>
              <w:rPr>
                <w:sz w:val="21"/>
                <w:color w:val="262626"/>
                <w:b w:val="0"/>
              </w:rPr>
              <w:t xml:space="preserve">PageSize=10</w:t>
            </w:r>
          </w:p>
          <w:p>
            <w:pPr>
              <w:ind/>
              <w:spacing w:beforeLines="100" w:after="50" w:line="360" w:lineRule="auto"/>
              <w:jc w:val="left"/>
            </w:pPr>
            <w:r>
              <w:rPr>
                <w:sz w:val="21"/>
                <w:color w:val="262626"/>
                <w:b w:val="0"/>
              </w:rPr>
              <w:t xml:space="preserve">app_id=</w:t>
            </w:r>
            <w:r>
              <w:t xml:space="preserve">749615027720261</w:t>
            </w:r>
          </w:p>
          <w:p>
            <w:pPr>
              <w:ind/>
              <w:spacing w:beforeLines="100" w:after="50" w:line="360" w:lineRule="auto"/>
              <w:jc w:val="left"/>
            </w:pPr>
            <w:r>
              <w:rPr>
                <w:sz w:val="21"/>
                <w:color w:val="262626"/>
                <w:b w:val="0"/>
              </w:rPr>
              <w:t xml:space="preserve">method=</w:t>
            </w:r>
            <w:r>
              <w:t xml:space="preserve">api/device/getDevicePage</w:t>
            </w:r>
          </w:p>
          <w:p>
            <w:pPr>
              <w:ind/>
              <w:spacing w:beforeLines="100" w:after="50" w:line="360" w:lineRule="auto"/>
              <w:jc w:val="left"/>
            </w:pPr>
            <w:r>
              <w:rPr>
                <w:sz w:val="21"/>
                <w:color w:val="262626"/>
                <w:b w:val="0"/>
              </w:rPr>
              <w:t xml:space="preserve">sign_method=hmac-sha256</w:t>
            </w:r>
          </w:p>
          <w:p>
            <w:pPr>
              <w:ind/>
              <w:spacing w:beforeLines="100" w:after="50" w:line="360" w:lineRule="auto"/>
              <w:jc w:val="left"/>
            </w:pPr>
            <w:r>
              <w:rPr>
                <w:sz w:val="21"/>
                <w:color w:val="262626"/>
                <w:b w:val="0"/>
              </w:rPr>
              <w:t xml:space="preserve">timestamp=</w:t>
            </w:r>
            <w:r>
              <w:rPr>
                <w:sz w:val="21"/>
                <w:color w:val="262626"/>
              </w:rPr>
              <w:t xml:space="preserve">1765239698</w:t>
            </w:r>
          </w:p>
        </w:tc>
      </w:tr>
    </w:tbl>
    <w:p>
      <w:pPr>
        <w:ind/>
        <w:spacing/>
      </w:pPr>
      <w:r>
        <w:rPr>
          <w:color w:val="000000"/>
        </w:rPr>
      </w:r>
    </w:p>
    <w:p>
      <w:bookmarkStart w:id="mkf8cfzows7nxrclee8" w:name="mkf8cfzows7nxrclee8"/>
      <w:pPr>
        <w:pStyle w:val="Heading4"/>
        <w:ind/>
        <w:spacing/>
      </w:pPr>
      <w:r>
        <w:rPr>
          <w:color w:val="000000"/>
        </w:rPr>
        <w:t xml:space="preserve">3. Concatenate Parameter Names and Values</w:t>
      </w:r>
      <w:bookmarkEnd w:id="mkf8cfzows7nxrclee8"/>
    </w:p>
    <w:p>
      <w:pPr>
        <w:ind/>
        <w:spacing/>
      </w:pPr>
      <w:r>
        <w:rPr>
          <w:color w:val="000000"/>
        </w:rPr>
      </w:r>
    </w:p>
    <w:p>
      <w:pPr>
        <w:ind/>
        <w:spacing/>
      </w:pPr>
      <w:r>
        <w:rPr>
          <w:sz w:val="24"/>
          <w:color w:val="000000"/>
        </w:rPr>
        <w:t xml:space="preserve">Page1PageSize10app_id749615027720261methodapi/device/getDevicePagesign_methodhmac-sha256timestamp1765239698</w:t>
      </w:r>
    </w:p>
    <w:p>
      <w:pPr>
        <w:ind/>
        <w:spacing/>
      </w:pPr>
      <w:r>
        <w:rPr>
          <w:color w:val="000000"/>
        </w:rPr>
      </w:r>
    </w:p>
    <w:p>
      <w:bookmarkStart w:id="mkf8cfzsrtvao9hglfs" w:name="mkf8cfzsrtvao9hglfs"/>
      <w:pPr>
        <w:pStyle w:val="Heading4"/>
        <w:ind/>
        <w:spacing/>
      </w:pPr>
      <w:r>
        <w:rPr>
          <w:color w:val="000000"/>
        </w:rPr>
        <w:t xml:space="preserve">4. Generate Signature</w:t>
      </w:r>
      <w:bookmarkEnd w:id="mkf8cfzsrtvao9hglfs"/>
    </w:p>
    <w:p>
      <w:pPr>
        <w:ind/>
        <w:spacing/>
      </w:pPr>
      <w:r>
        <w:rPr>
          <w:color w:val="000000"/>
        </w:rPr>
      </w:r>
    </w:p>
    <w:p>
      <w:pPr>
        <w:ind/>
        <w:spacing/>
      </w:pPr>
      <w:r>
        <w:rPr>
          <w:sz w:val="24"/>
          <w:color w:val="000000"/>
        </w:rPr>
        <w:t xml:space="preserve">Assuming the AppKey corresponding to the AppId is 5ac9ade5771b46f89bb78f331f1c186e, the signature result is: hex(md5(5ac9ade5771b46f89bb78f331f1c186e + concatenated parameter names and values in order + 5ac9ade5771b46f89bb78f331f1c186e)) = "731EDC14555D3C9F4AC670CEBF502F28C9F1E862F8541DD59AFD0E6F5A51C0BE".</w:t>
      </w:r>
    </w:p>
    <w:p>
      <w:pPr>
        <w:ind/>
        <w:spacing/>
      </w:pPr>
      <w:r>
        <w:rPr>
          <w:color w:val="000000"/>
        </w:rPr>
      </w:r>
    </w:p>
    <w:p>
      <w:bookmarkStart w:id="mkf8cfzwi8mtdzsmbks" w:name="mkf8cfzwi8mtdzsmbks"/>
      <w:pPr>
        <w:pStyle w:val="Heading4"/>
        <w:ind/>
        <w:spacing/>
      </w:pPr>
      <w:r>
        <w:rPr>
          <w:color w:val="000000"/>
        </w:rPr>
        <w:t xml:space="preserve">5. Assemble HTTP Request</w:t>
      </w:r>
      <w:bookmarkEnd w:id="mkf8cfzwi8mtdzsmbks"/>
    </w:p>
    <w:p>
      <w:pPr>
        <w:ind/>
        <w:spacing/>
      </w:pPr>
      <w:r>
        <w:rPr>
          <w:color w:val="000000"/>
        </w:rPr>
      </w:r>
    </w:p>
    <w:p>
      <w:pPr>
        <w:ind/>
        <w:spacing/>
      </w:pPr>
      <w:r>
        <w:rPr>
          <w:sz w:val="24"/>
          <w:color w:val="000000"/>
        </w:rPr>
        <w:t xml:space="preserve">URL-encode all parameter names and values using UTF-8 (parameter order is arbitrary, but must include the signature parameter), then initiate the request via POST (for requests containing parameters of type byte[]). Example:</w:t>
      </w:r>
    </w:p>
    <w:p>
      <w:pPr>
        <w:ind/>
        <w:spacing/>
      </w:pPr>
      <w:r>
        <w:rPr>
          <w:color w:val="000000"/>
        </w:rPr>
      </w:r>
      <w:hyperlink r:id="rId6">
        <w:r>
          <w:rPr>
            <w:color w:val="000000"/>
            <w:rStyle w:val="hyperlink"/>
          </w:rPr>
          <w:t xml:space="preserve">https://test-openv2.ourvend.com/api/device/getDevicePage?app_id=749615027720261&amp;method=api/device/getDevicePage&amp;timestamp=1765239698&amp;sign=731EDC14555D3C9F4AC670CEBF502F28C9F1E862F8541DD59AFD0E6F5A51C0BE&amp;sign_method=hmac-sha256</w:t>
        </w:r>
      </w:hyperlink>
      <w:r>
        <w:rPr>
          <w:color w:val="000000"/>
        </w:rPr>
      </w:r>
    </w:p>
    <w:p>
      <w:pPr>
        <w:ind/>
        <w:spacing/>
      </w:pPr>
      <w:r>
        <w:rPr>
          <w:color w:val="000000"/>
        </w:rPr>
      </w:r>
    </w:p>
    <w:p>
      <w:bookmarkStart w:id="mkf8cg03g8ui8fjj1kn" w:name="mkf8cg03g8ui8fjj1kn"/>
      <w:pPr>
        <w:pStyle w:val="Heading3"/>
        <w:ind/>
        <w:spacing/>
      </w:pPr>
      <w:r>
        <w:rPr>
          <w:color w:val="000000"/>
        </w:rPr>
        <w:t xml:space="preserve">3.6 Notes</w:t>
      </w:r>
      <w:bookmarkEnd w:id="mkf8cg03g8ui8fjj1kn"/>
    </w:p>
    <w:p>
      <w:pPr>
        <w:ind/>
        <w:spacing/>
      </w:pPr>
      <w:r>
        <w:rPr>
          <w:color w:val="000000"/>
        </w:rPr>
      </w:r>
    </w:p>
    <w:p>
      <w:pPr>
        <w:numPr>
          <w:ilvl w:val="0"/>
          <w:numId w:val="3"/>
        </w:numPr>
      </w:pPr>
      <w:r>
        <w:rPr>
          <w:sz w:val="24"/>
          <w:color w:val="000000"/>
        </w:rPr>
        <w:t xml:space="preserve">All request and response data is encoded in UTF-8. Both parameter names and values contained in the URL must be URL-encoded.</w:t>
      </w:r>
    </w:p>
    <w:p>
      <w:pPr>
        <w:numPr>
          <w:ilvl w:val="0"/>
          <w:numId w:val="3"/>
        </w:numPr>
      </w:pPr>
      <w:r>
        <w:rPr>
          <w:sz w:val="24"/>
          <w:color w:val="000000"/>
        </w:rPr>
        <w:t xml:space="preserve">All API requests are initiated via the POST method. Public request parameters must be placed in the query string (i.e., the part after </w:t>
      </w:r>
      <w:r>
        <w:t xml:space="preserve">？</w:t>
      </w:r>
      <w:r>
        <w:rPr>
          <w:sz w:val="24"/>
          <w:color w:val="000000"/>
        </w:rPr>
        <w:t xml:space="preserve"> in the URL); business parameters are placed in the HTTP request body (body) and use the form key-value pair encoding format (application/x-www-form-urlencoded).</w:t>
      </w:r>
    </w:p>
    <w:p>
      <w:pPr>
        <w:numPr>
          <w:ilvl w:val="0"/>
          <w:numId w:val="3"/>
        </w:numPr>
      </w:pPr>
      <w:r>
        <w:rPr>
          <w:sz w:val="24"/>
          <w:color w:val="000000"/>
        </w:rPr>
        <w:t xml:space="preserve">The signature (sign) generation step only needs to be handled manually if the TOP official SDK is not used for API calls. If the TOP official SDK is used, the signature generation step will be completed automatically by the SDK.</w:t>
      </w:r>
    </w:p>
    <w:p>
      <w:pPr>
        <w:ind/>
        <w:spacing/>
      </w:pPr>
      <w:r>
        <w:rPr>
          <w:color w:val="000000"/>
        </w:rPr>
      </w:r>
    </w:p>
    <w:p>
      <w:bookmarkStart w:id="mkf8cg0a2ss6h977h3" w:name="mkf8cg0a2ss6h977h3"/>
      <w:pPr>
        <w:pStyle w:val="Heading3"/>
        <w:ind/>
        <w:spacing/>
      </w:pPr>
      <w:r>
        <w:rPr>
          <w:color w:val="000000"/>
        </w:rPr>
        <w:t xml:space="preserve">3.7 Common Platform-Level Error Codes</w:t>
      </w:r>
      <w:bookmarkEnd w:id="mkf8cg0a2ss6h977h3"/>
    </w:p>
    <w:p>
      <w:pPr>
        <w:ind/>
        <w:spacing/>
      </w:pPr>
      <w:r>
        <w:rPr>
          <w:color w:val="000000"/>
        </w:rPr>
      </w:r>
    </w:p>
    <w:tbl>
      <w:tblPr>
        <w:tblStyle w:val="TableGrid"/>
        <w:tblW w:w="0" w:type="auto"/>
      </w:tblPr>
      <w:tblGrid>
        <w:gridCol w:w="3240"/>
        <w:gridCol w:w="3240"/>
        <w:gridCol w:w="3240"/>
      </w:tblGrid>
      <w:tr>
        <w:trPr>
          <w:trHeight w:val="0"/>
        </w:trPr>
        <w:tc>
          <w:tcPr>
            <w:tcW w:w="3240" w:type="dxa"/>
          </w:tcPr>
          <w:p>
            <w:pPr>
              <w:jc w:val="center"/>
            </w:pPr>
            <w:r>
              <w:rPr>
                <w:sz w:val="24"/>
                <w:color w:val="000000"/>
                <w:b w:val="1"/>
              </w:rPr>
              <w:t xml:space="preserve">Error Code</w:t>
            </w:r>
          </w:p>
        </w:tc>
        <w:tc>
          <w:tcPr>
            <w:tcW w:w="3240" w:type="dxa"/>
          </w:tcPr>
          <w:p>
            <w:pPr>
              <w:jc w:val="center"/>
            </w:pPr>
            <w:r>
              <w:rPr>
                <w:sz w:val="24"/>
                <w:color w:val="000000"/>
                <w:b w:val="1"/>
              </w:rPr>
              <w:t xml:space="preserve">Error Message</w:t>
            </w:r>
          </w:p>
        </w:tc>
        <w:tc>
          <w:tcPr>
            <w:tcW w:w="3240" w:type="dxa"/>
          </w:tcPr>
          <w:p>
            <w:pPr>
              <w:jc w:val="center"/>
            </w:pPr>
            <w:r>
              <w:rPr>
                <w:sz w:val="24"/>
                <w:color w:val="000000"/>
                <w:b w:val="1"/>
              </w:rPr>
              <w:t xml:space="preserve">Error Cause</w:t>
            </w:r>
          </w:p>
        </w:tc>
      </w:tr>
      <w:tr>
        <w:trPr>
          <w:trHeight w:val="0"/>
        </w:trPr>
        <w:tc>
          <w:tcPr>
            <w:tcW w:w="3240" w:type="dxa"/>
          </w:tcPr>
          <w:p>
            <w:pPr/>
            <w:r>
              <w:rPr>
                <w:sz w:val="24"/>
                <w:color w:val="000000"/>
              </w:rPr>
              <w:t xml:space="preserve">S5001</w:t>
            </w:r>
          </w:p>
        </w:tc>
        <w:tc>
          <w:tcPr>
            <w:tcW w:w="3240" w:type="dxa"/>
          </w:tcPr>
          <w:p>
            <w:pPr/>
            <w:r>
              <w:rPr>
                <w:sz w:val="24"/>
                <w:color w:val="000000"/>
              </w:rPr>
              <w:t xml:space="preserve">The request is null</w:t>
            </w:r>
          </w:p>
        </w:tc>
        <w:tc>
          <w:tcPr>
            <w:tcW w:w="3240" w:type="dxa"/>
          </w:tcPr>
          <w:p>
            <w:pPr/>
            <w:r>
              <w:rPr>
                <w:sz w:val="24"/>
                <w:color w:val="000000"/>
              </w:rPr>
              <w:t xml:space="preserve">Null request exception</w:t>
            </w:r>
          </w:p>
        </w:tc>
      </w:tr>
      <w:tr>
        <w:trPr>
          <w:trHeight w:val="0"/>
        </w:trPr>
        <w:tc>
          <w:tcPr>
            <w:tcW w:w="3240" w:type="dxa"/>
          </w:tcPr>
          <w:p>
            <w:pPr/>
            <w:r>
              <w:rPr>
                <w:sz w:val="24"/>
                <w:color w:val="000000"/>
              </w:rPr>
              <w:t xml:space="preserve">S5002</w:t>
            </w:r>
          </w:p>
        </w:tc>
        <w:tc>
          <w:tcPr>
            <w:tcW w:w="3240" w:type="dxa"/>
          </w:tcPr>
          <w:p>
            <w:pPr/>
            <w:r>
              <w:rPr>
                <w:sz w:val="24"/>
                <w:color w:val="000000"/>
              </w:rPr>
              <w:t xml:space="preserve">The request failed due to an underlying issue such as network connectivity, DNS failure, server certificate validation or timeout</w:t>
            </w:r>
          </w:p>
        </w:tc>
        <w:tc>
          <w:tcPr>
            <w:tcW w:w="3240" w:type="dxa"/>
          </w:tcPr>
          <w:p>
            <w:pPr/>
            <w:r>
              <w:rPr>
                <w:sz w:val="24"/>
                <w:color w:val="000000"/>
              </w:rPr>
              <w:t xml:space="preserve">Request failed due to underlying issues such as network connectivity, DNS failure, server certificate validation, or timeout</w:t>
            </w:r>
          </w:p>
        </w:tc>
      </w:tr>
      <w:tr>
        <w:trPr>
          <w:trHeight w:val="0"/>
        </w:trPr>
        <w:tc>
          <w:tcPr>
            <w:tcW w:w="3240" w:type="dxa"/>
          </w:tcPr>
          <w:p>
            <w:pPr/>
            <w:r>
              <w:rPr>
                <w:sz w:val="24"/>
                <w:color w:val="000000"/>
              </w:rPr>
              <w:t xml:space="preserve">S5003</w:t>
            </w:r>
          </w:p>
        </w:tc>
        <w:tc>
          <w:tcPr>
            <w:tcW w:w="3240" w:type="dxa"/>
          </w:tcPr>
          <w:p>
            <w:pPr/>
            <w:r>
              <w:rPr>
                <w:sz w:val="24"/>
                <w:color w:val="000000"/>
              </w:rPr>
              <w:t xml:space="preserve">The request failed due to timeout</w:t>
            </w:r>
          </w:p>
        </w:tc>
        <w:tc>
          <w:tcPr>
            <w:tcW w:w="3240" w:type="dxa"/>
          </w:tcPr>
          <w:p>
            <w:pPr/>
            <w:r>
              <w:rPr>
                <w:sz w:val="24"/>
                <w:color w:val="000000"/>
              </w:rPr>
              <w:t xml:space="preserve">HTTP request timeout</w:t>
            </w:r>
          </w:p>
        </w:tc>
      </w:tr>
      <w:tr>
        <w:trPr>
          <w:trHeight w:val="0"/>
        </w:trPr>
        <w:tc>
          <w:tcPr>
            <w:tcW w:w="3240" w:type="dxa"/>
          </w:tcPr>
          <w:p>
            <w:pPr/>
            <w:r>
              <w:rPr>
                <w:sz w:val="24"/>
                <w:color w:val="000000"/>
              </w:rPr>
              <w:t xml:space="preserve">S5004</w:t>
            </w:r>
          </w:p>
        </w:tc>
        <w:tc>
          <w:tcPr>
            <w:tcW w:w="3240" w:type="dxa"/>
          </w:tcPr>
          <w:p>
            <w:pPr/>
            <w:r>
              <w:rPr>
                <w:sz w:val="24"/>
                <w:color w:val="000000"/>
              </w:rPr>
              <w:t xml:space="preserve">Unexpected error</w:t>
            </w:r>
          </w:p>
        </w:tc>
        <w:tc>
          <w:tcPr>
            <w:tcW w:w="3240" w:type="dxa"/>
          </w:tcPr>
          <w:p>
            <w:pPr/>
            <w:r>
              <w:rPr>
                <w:sz w:val="24"/>
                <w:color w:val="000000"/>
              </w:rPr>
              <w:t xml:space="preserve">Unexpected error</w:t>
            </w:r>
          </w:p>
        </w:tc>
      </w:tr>
      <w:tr>
        <w:trPr>
          <w:trHeight w:val="0"/>
        </w:trPr>
        <w:tc>
          <w:tcPr>
            <w:tcW w:w="3240" w:type="dxa"/>
          </w:tcPr>
          <w:p>
            <w:pPr/>
            <w:r>
              <w:rPr>
                <w:sz w:val="24"/>
                <w:color w:val="000000"/>
              </w:rPr>
              <w:t xml:space="preserve">S5005</w:t>
            </w:r>
          </w:p>
        </w:tc>
        <w:tc>
          <w:tcPr>
            <w:tcW w:w="3240" w:type="dxa"/>
          </w:tcPr>
          <w:p>
            <w:pPr/>
            <w:r>
              <w:rPr>
                <w:sz w:val="24"/>
                <w:color w:val="000000"/>
              </w:rPr>
              <w:t xml:space="preserve">The maximum time error for client requests cannot exceed 3 minutes</w:t>
            </w:r>
          </w:p>
        </w:tc>
        <w:tc>
          <w:tcPr>
            <w:tcW w:w="3240" w:type="dxa"/>
          </w:tcPr>
          <w:p>
            <w:pPr/>
            <w:r>
              <w:rPr>
                <w:sz w:val="24"/>
                <w:color w:val="000000"/>
              </w:rPr>
              <w:t xml:space="preserve">The maximum allowable time deviation for client requests cannot exceed 3 minutes</w:t>
            </w:r>
          </w:p>
        </w:tc>
      </w:tr>
      <w:tr>
        <w:trPr>
          <w:trHeight w:val="0"/>
        </w:trPr>
        <w:tc>
          <w:tcPr>
            <w:tcW w:w="3240" w:type="dxa"/>
          </w:tcPr>
          <w:p>
            <w:pPr/>
            <w:r>
              <w:rPr>
                <w:sz w:val="24"/>
                <w:color w:val="000000"/>
              </w:rPr>
              <w:t xml:space="preserve">S5006</w:t>
            </w:r>
          </w:p>
        </w:tc>
        <w:tc>
          <w:tcPr>
            <w:tcW w:w="3240" w:type="dxa"/>
          </w:tcPr>
          <w:p>
            <w:pPr/>
            <w:r>
              <w:rPr>
                <w:sz w:val="24"/>
                <w:color w:val="000000"/>
              </w:rPr>
              <w:t xml:space="preserve">Illegal signature</w:t>
            </w:r>
          </w:p>
        </w:tc>
        <w:tc>
          <w:tcPr>
            <w:tcW w:w="3240" w:type="dxa"/>
          </w:tcPr>
          <w:p>
            <w:pPr/>
            <w:r>
              <w:rPr>
                <w:sz w:val="24"/>
                <w:color w:val="000000"/>
              </w:rPr>
              <w:t xml:space="preserve">Invalid signature</w:t>
            </w:r>
          </w:p>
        </w:tc>
      </w:tr>
      <w:tr>
        <w:trPr>
          <w:trHeight w:val="0"/>
        </w:trPr>
        <w:tc>
          <w:tcPr>
            <w:tcW w:w="3240" w:type="dxa"/>
          </w:tcPr>
          <w:p>
            <w:pPr/>
            <w:r>
              <w:rPr>
                <w:sz w:val="24"/>
                <w:color w:val="000000"/>
              </w:rPr>
              <w:t xml:space="preserve">A1001</w:t>
            </w:r>
          </w:p>
        </w:tc>
        <w:tc>
          <w:tcPr>
            <w:tcW w:w="3240" w:type="dxa"/>
          </w:tcPr>
          <w:p>
            <w:pPr/>
            <w:r>
              <w:rPr>
                <w:sz w:val="24"/>
                <w:color w:val="000000"/>
              </w:rPr>
              <w:t xml:space="preserve">Application does not exist</w:t>
            </w:r>
          </w:p>
        </w:tc>
        <w:tc>
          <w:tcPr>
            <w:tcW w:w="3240" w:type="dxa"/>
          </w:tcPr>
          <w:p>
            <w:pPr/>
            <w:r>
              <w:rPr>
                <w:sz w:val="24"/>
                <w:color w:val="000000"/>
              </w:rPr>
              <w:t xml:space="preserve">Application does not exist</w:t>
            </w:r>
          </w:p>
        </w:tc>
      </w:tr>
      <w:tr>
        <w:trPr>
          <w:trHeight w:val="0"/>
        </w:trPr>
        <w:tc>
          <w:tcPr>
            <w:tcW w:w="3240" w:type="dxa"/>
          </w:tcPr>
          <w:p>
            <w:pPr/>
            <w:r>
              <w:rPr>
                <w:sz w:val="24"/>
                <w:color w:val="000000"/>
              </w:rPr>
              <w:t xml:space="preserve">A1002</w:t>
            </w:r>
          </w:p>
        </w:tc>
        <w:tc>
          <w:tcPr>
            <w:tcW w:w="3240" w:type="dxa"/>
          </w:tcPr>
          <w:p>
            <w:pPr/>
            <w:r>
              <w:rPr>
                <w:sz w:val="24"/>
                <w:color w:val="000000"/>
              </w:rPr>
              <w:t xml:space="preserve">The application has expired</w:t>
            </w:r>
          </w:p>
        </w:tc>
        <w:tc>
          <w:tcPr>
            <w:tcW w:w="3240" w:type="dxa"/>
          </w:tcPr>
          <w:p>
            <w:pPr/>
            <w:r>
              <w:rPr>
                <w:sz w:val="24"/>
                <w:color w:val="000000"/>
              </w:rPr>
              <w:t xml:space="preserve">Application has expired</w:t>
            </w:r>
          </w:p>
        </w:tc>
      </w:tr>
      <w:tr>
        <w:trPr>
          <w:trHeight w:val="0"/>
        </w:trPr>
        <w:tc>
          <w:tcPr>
            <w:tcW w:w="3240" w:type="dxa"/>
          </w:tcPr>
          <w:p>
            <w:pPr/>
            <w:r>
              <w:rPr>
                <w:sz w:val="24"/>
                <w:color w:val="000000"/>
              </w:rPr>
              <w:t xml:space="preserve">A1003</w:t>
            </w:r>
          </w:p>
        </w:tc>
        <w:tc>
          <w:tcPr>
            <w:tcW w:w="3240" w:type="dxa"/>
          </w:tcPr>
          <w:p>
            <w:pPr/>
            <w:r>
              <w:rPr>
                <w:sz w:val="24"/>
                <w:color w:val="000000"/>
              </w:rPr>
              <w:t xml:space="preserve">The daily limit for API usage has been reached</w:t>
            </w:r>
          </w:p>
        </w:tc>
        <w:tc>
          <w:tcPr>
            <w:tcW w:w="3240" w:type="dxa"/>
          </w:tcPr>
          <w:p>
            <w:pPr/>
            <w:r>
              <w:rPr>
                <w:sz w:val="24"/>
                <w:color w:val="000000"/>
              </w:rPr>
              <w:t xml:space="preserve">Daily API call limit exceeded</w:t>
            </w:r>
          </w:p>
        </w:tc>
      </w:tr>
      <w:tr>
        <w:trPr>
          <w:trHeight w:val="0"/>
        </w:trPr>
        <w:tc>
          <w:tcPr>
            <w:tcW w:w="3240" w:type="dxa"/>
          </w:tcPr>
          <w:p>
            <w:pPr/>
            <w:r>
              <w:rPr>
                <w:sz w:val="24"/>
                <w:color w:val="000000"/>
              </w:rPr>
              <w:t xml:space="preserve">A1004</w:t>
            </w:r>
          </w:p>
        </w:tc>
        <w:tc>
          <w:tcPr>
            <w:tcW w:w="3240" w:type="dxa"/>
          </w:tcPr>
          <w:p>
            <w:pPr/>
            <w:r>
              <w:rPr>
                <w:sz w:val="24"/>
                <w:color w:val="000000"/>
              </w:rPr>
              <w:t xml:space="preserve">The total limit of API usage has reached its maximum limit</w:t>
            </w:r>
          </w:p>
        </w:tc>
        <w:tc>
          <w:tcPr>
            <w:tcW w:w="3240" w:type="dxa"/>
          </w:tcPr>
          <w:p>
            <w:pPr/>
            <w:r>
              <w:rPr>
                <w:sz w:val="24"/>
                <w:color w:val="000000"/>
              </w:rPr>
              <w:t xml:space="preserve">Total API call limit exceeded</w:t>
            </w:r>
          </w:p>
        </w:tc>
      </w:tr>
      <w:tr>
        <w:trPr>
          <w:trHeight w:val="0"/>
        </w:trPr>
        <w:tc>
          <w:tcPr>
            <w:tcW w:w="3240" w:type="dxa"/>
          </w:tcPr>
          <w:p>
            <w:pPr/>
            <w:r>
              <w:rPr>
                <w:sz w:val="24"/>
                <w:color w:val="000000"/>
              </w:rPr>
              <w:t xml:space="preserve">A1005</w:t>
            </w:r>
          </w:p>
        </w:tc>
        <w:tc>
          <w:tcPr>
            <w:tcW w:w="3240" w:type="dxa"/>
          </w:tcPr>
          <w:p>
            <w:pPr/>
            <w:r>
              <w:rPr>
                <w:sz w:val="24"/>
                <w:color w:val="000000"/>
              </w:rPr>
              <w:t xml:space="preserve">The current IP address is not on the IP whitelist</w:t>
            </w:r>
          </w:p>
        </w:tc>
        <w:tc>
          <w:tcPr>
            <w:tcW w:w="3240" w:type="dxa"/>
          </w:tcPr>
          <w:p>
            <w:pPr/>
            <w:r>
              <w:rPr>
                <w:sz w:val="24"/>
                <w:color w:val="000000"/>
              </w:rPr>
              <w:t xml:space="preserve">Current IP address is not in the IP whitelist</w:t>
            </w:r>
          </w:p>
        </w:tc>
      </w:tr>
      <w:tr>
        <w:trPr>
          <w:trHeight w:val="0"/>
        </w:trPr>
        <w:tc>
          <w:tcPr>
            <w:tcW w:w="3240" w:type="dxa"/>
          </w:tcPr>
          <w:p>
            <w:pPr/>
            <w:r>
              <w:rPr>
                <w:sz w:val="24"/>
                <w:color w:val="000000"/>
              </w:rPr>
              <w:t xml:space="preserve">A1005</w:t>
            </w:r>
          </w:p>
        </w:tc>
        <w:tc>
          <w:tcPr>
            <w:tcW w:w="3240" w:type="dxa"/>
          </w:tcPr>
          <w:p>
            <w:pPr/>
            <w:r>
              <w:rPr>
                <w:sz w:val="24"/>
                <w:color w:val="000000"/>
              </w:rPr>
              <w:t xml:space="preserve">The application does not have permission for the current API</w:t>
            </w:r>
          </w:p>
        </w:tc>
        <w:tc>
          <w:tcPr>
            <w:tcW w:w="3240" w:type="dxa"/>
          </w:tcPr>
          <w:p>
            <w:pPr/>
            <w:r>
              <w:rPr>
                <w:sz w:val="24"/>
                <w:color w:val="000000"/>
              </w:rPr>
              <w:t xml:space="preserve">Application does not have permission to call the current API</w:t>
            </w:r>
          </w:p>
        </w:tc>
      </w:tr>
      <w:tr>
        <w:trPr>
          <w:trHeight w:val="0"/>
        </w:trPr>
        <w:tc>
          <w:tcPr>
            <w:tcW w:w="3240" w:type="dxa"/>
          </w:tcPr>
          <w:p>
            <w:pPr/>
            <w:r>
              <w:rPr>
                <w:sz w:val="24"/>
                <w:color w:val="000000"/>
              </w:rPr>
              <w:t xml:space="preserve">A1007</w:t>
            </w:r>
          </w:p>
        </w:tc>
        <w:tc>
          <w:tcPr>
            <w:tcW w:w="3240" w:type="dxa"/>
          </w:tcPr>
          <w:p>
            <w:pPr/>
            <w:r>
              <w:rPr>
                <w:sz w:val="24"/>
                <w:color w:val="000000"/>
              </w:rPr>
              <w:t xml:space="preserve">Application disabled</w:t>
            </w:r>
          </w:p>
        </w:tc>
        <w:tc>
          <w:tcPr>
            <w:tcW w:w="3240" w:type="dxa"/>
          </w:tcPr>
          <w:p>
            <w:pPr/>
            <w:r>
              <w:rPr>
                <w:sz w:val="24"/>
                <w:color w:val="000000"/>
              </w:rPr>
              <w:t xml:space="preserve">Application has been disabled</w:t>
            </w:r>
          </w:p>
        </w:tc>
      </w:tr>
      <w:tr>
        <w:trPr>
          <w:trHeight w:val="0"/>
        </w:trPr>
        <w:tc>
          <w:tcPr>
            <w:tcW w:w="3240" w:type="dxa"/>
          </w:tcPr>
          <w:p>
            <w:pPr/>
            <w:r>
              <w:rPr>
                <w:sz w:val="24"/>
                <w:color w:val="000000"/>
              </w:rPr>
              <w:t xml:space="preserve">A1008</w:t>
            </w:r>
          </w:p>
        </w:tc>
        <w:tc>
          <w:tcPr>
            <w:tcW w:w="3240" w:type="dxa"/>
          </w:tcPr>
          <w:p>
            <w:pPr/>
            <w:r>
              <w:rPr>
                <w:sz w:val="24"/>
                <w:color w:val="000000"/>
              </w:rPr>
              <w:t xml:space="preserve">The application does not have institutional permissions</w:t>
            </w:r>
          </w:p>
        </w:tc>
        <w:tc>
          <w:tcPr>
            <w:tcW w:w="3240" w:type="dxa"/>
          </w:tcPr>
          <w:p>
            <w:pPr/>
            <w:r>
              <w:rPr>
                <w:sz w:val="24"/>
                <w:color w:val="000000"/>
              </w:rPr>
              <w:t xml:space="preserve">Application does not have organizational permissions</w:t>
            </w:r>
          </w:p>
        </w:tc>
      </w:tr>
    </w:tbl>
    <w:p>
      <w:pPr>
        <w:ind/>
        <w:spacing/>
      </w:pPr>
      <w:r>
        <w:rPr>
          <w:color w:val="000000"/>
        </w:rPr>
      </w:r>
    </w:p>
    <w:p>
      <w:bookmarkStart w:id="mkf8cg0j5o8a624mh03" w:name="mkf8cg0j5o8a624mh03"/>
      <w:pPr>
        <w:pStyle w:val="Heading2"/>
        <w:ind/>
        <w:spacing/>
      </w:pPr>
      <w:r>
        <w:rPr>
          <w:color w:val="000000"/>
        </w:rPr>
        <w:t xml:space="preserve">4. Open Functions</w:t>
      </w:r>
      <w:bookmarkEnd w:id="mkf8cg0j5o8a624mh03"/>
    </w:p>
    <w:p>
      <w:pPr>
        <w:ind/>
        <w:spacing/>
      </w:pPr>
      <w:r>
        <w:rPr>
          <w:color w:val="000000"/>
        </w:rPr>
      </w:r>
    </w:p>
    <w:p>
      <w:pPr>
        <w:ind/>
        <w:spacing/>
      </w:pPr>
      <w:r>
        <w:rPr>
          <w:sz w:val="24"/>
          <w:color w:val="000000"/>
        </w:rPr>
        <w:t xml:space="preserve">The Open Platform currently provides third parties with APIs for the following modules to facilitate third-party developers' calls and meet various business and development needs:</w:t>
      </w:r>
    </w:p>
    <w:p>
      <w:pPr>
        <w:ind/>
        <w:spacing/>
      </w:pPr>
      <w:r>
        <w:rPr>
          <w:color w:val="000000"/>
        </w:rPr>
      </w:r>
    </w:p>
    <w:tbl>
      <w:tblPr>
        <w:tblStyle w:val="TableGrid"/>
        <w:tblW w:w="0" w:type="auto"/>
      </w:tblPr>
      <w:tblGrid>
        <w:gridCol w:w="3240"/>
        <w:gridCol w:w="3240"/>
        <w:gridCol w:w="3240"/>
      </w:tblGrid>
      <w:tr>
        <w:trPr>
          <w:trHeight w:val="0"/>
        </w:trPr>
        <w:tc>
          <w:tcPr>
            <w:tcW w:w="3240" w:type="dxa"/>
            <w:vAlign w:val="center"/>
          </w:tcPr>
          <w:p>
            <w:pPr>
              <w:jc w:val="left"/>
            </w:pPr>
            <w:r>
              <w:rPr>
                <w:sz w:val="24"/>
                <w:color w:val="000000"/>
                <w:b w:val="1"/>
              </w:rPr>
              <w:t xml:space="preserve">Function Module</w:t>
            </w:r>
          </w:p>
        </w:tc>
        <w:tc>
          <w:tcPr>
            <w:tcW w:w="3240" w:type="dxa"/>
            <w:vAlign w:val="center"/>
          </w:tcPr>
          <w:p>
            <w:pPr>
              <w:jc w:val="left"/>
            </w:pPr>
            <w:r>
              <w:rPr>
                <w:sz w:val="24"/>
                <w:color w:val="000000"/>
                <w:b w:val="1"/>
              </w:rPr>
              <w:t xml:space="preserve">Description</w:t>
            </w:r>
          </w:p>
        </w:tc>
        <w:tc>
          <w:tcPr>
            <w:tcW w:w="3240" w:type="dxa"/>
            <w:vAlign w:val="center"/>
          </w:tcPr>
          <w:p>
            <w:pPr>
              <w:jc w:val="left"/>
            </w:pPr>
            <w:r>
              <w:rPr>
                <w:sz w:val="24"/>
                <w:color w:val="000000"/>
                <w:b w:val="1"/>
              </w:rPr>
              <w:t xml:space="preserve">Document Address</w:t>
            </w:r>
          </w:p>
        </w:tc>
      </w:tr>
      <w:tr>
        <w:trPr>
          <w:trHeight w:val="0"/>
        </w:trPr>
        <w:tc>
          <w:tcPr>
            <w:tcW w:w="3240" w:type="dxa"/>
            <w:vAlign w:val="center"/>
          </w:tcPr>
          <w:p>
            <w:pPr>
              <w:jc w:val="left"/>
            </w:pPr>
            <w:r>
              <w:rPr>
                <w:sz w:val="24"/>
                <w:color w:val="000000"/>
              </w:rPr>
              <w:t xml:space="preserve">Device</w:t>
            </w:r>
          </w:p>
        </w:tc>
        <w:tc>
          <w:tcPr>
            <w:tcW w:w="3240" w:type="dxa"/>
            <w:vAlign w:val="center"/>
          </w:tcPr>
          <w:p>
            <w:pPr>
              <w:jc w:val="left"/>
            </w:pPr>
            <w:r>
              <w:rPr>
                <w:sz w:val="24"/>
                <w:color w:val="000000"/>
              </w:rPr>
              <w:t xml:space="preserve">Provide detailed docking guidelines for third-party applications to integrate the device module, including core functions such as obtaining device information</w:t>
            </w:r>
          </w:p>
        </w:tc>
        <w:tc>
          <w:tcPr>
            <w:tcW w:w="3240" w:type="dxa"/>
            <w:vAlign w:val="center"/>
          </w:tcPr>
          <w:p>
            <w:pPr/>
            <w:r>
              <w:rPr>
                <w:sz w:val="24"/>
                <w:color w:val="0D0D0D"/>
              </w:rPr>
            </w:r>
            <w:hyperlink r:id="rId7">
              <w:r>
                <w:rPr>
                  <w:rStyle w:val="hyperlink"/>
                </w:rPr>
                <w:t xml:space="preserve">请至钉钉文档查看附件《Device Module.md》。</w:t>
              </w:r>
            </w:hyperlink>
            <w:r>
              <w:rPr>
                <w:sz w:val="24"/>
                <w:color w:val="0D0D0D"/>
              </w:rPr>
            </w:r>
          </w:p>
        </w:tc>
      </w:tr>
      <w:tr>
        <w:trPr>
          <w:trHeight w:val="0"/>
        </w:trPr>
        <w:tc>
          <w:tcPr>
            <w:tcW w:w="3240" w:type="dxa"/>
            <w:vAlign w:val="center"/>
          </w:tcPr>
          <w:p>
            <w:pPr>
              <w:jc w:val="left"/>
            </w:pPr>
            <w:r>
              <w:rPr>
                <w:sz w:val="24"/>
                <w:color w:val="000000"/>
              </w:rPr>
              <w:t xml:space="preserve">Commodity</w:t>
            </w:r>
          </w:p>
        </w:tc>
        <w:tc>
          <w:tcPr>
            <w:tcW w:w="3240" w:type="dxa"/>
            <w:vAlign w:val="center"/>
          </w:tcPr>
          <w:p>
            <w:pPr>
              <w:jc w:val="left"/>
            </w:pPr>
            <w:r>
              <w:rPr>
                <w:sz w:val="24"/>
                <w:color w:val="000000"/>
              </w:rPr>
              <w:t xml:space="preserve">Obtain paged list of commodity information</w:t>
            </w:r>
          </w:p>
        </w:tc>
        <w:tc>
          <w:tcPr>
            <w:tcW w:w="3240" w:type="dxa"/>
            <w:vAlign w:val="center"/>
          </w:tcPr>
          <w:p>
            <w:pPr/>
            <w:r/>
            <w:hyperlink r:id="rId8">
              <w:r>
                <w:rPr>
                  <w:rStyle w:val="hyperlink"/>
                </w:rPr>
                <w:t xml:space="preserve">请至钉钉文档查看附件《Product module.md》。</w:t>
              </w:r>
            </w:hyperlink>
            <w:r/>
          </w:p>
        </w:tc>
      </w:tr>
      <w:tr>
        <w:trPr>
          <w:trHeight w:val="0"/>
        </w:trPr>
        <w:tc>
          <w:tcPr>
            <w:tcW w:w="3240" w:type="dxa"/>
            <w:vAlign w:val="center"/>
          </w:tcPr>
          <w:p>
            <w:pPr>
              <w:jc w:val="left"/>
            </w:pPr>
            <w:r>
              <w:rPr>
                <w:sz w:val="24"/>
                <w:color w:val="000000"/>
              </w:rPr>
              <w:t xml:space="preserve">Shipment Record</w:t>
            </w:r>
          </w:p>
        </w:tc>
        <w:tc>
          <w:tcPr>
            <w:tcW w:w="3240" w:type="dxa"/>
            <w:vAlign w:val="center"/>
          </w:tcPr>
          <w:p>
            <w:pPr>
              <w:jc w:val="left"/>
            </w:pPr>
            <w:r>
              <w:rPr>
                <w:sz w:val="24"/>
                <w:color w:val="000000"/>
              </w:rPr>
              <w:t xml:space="preserve">Obtain paged list of shipment records</w:t>
            </w:r>
          </w:p>
        </w:tc>
        <w:tc>
          <w:tcPr>
            <w:tcW w:w="3240" w:type="dxa"/>
            <w:vAlign w:val="center"/>
          </w:tcPr>
          <w:p>
            <w:pPr/>
            <w:r/>
            <w:hyperlink r:id="rId9">
              <w:r>
                <w:rPr>
                  <w:rStyle w:val="hyperlink"/>
                </w:rPr>
                <w:t xml:space="preserve">请至钉钉文档查看附件《Delivery Record Module.md》。</w:t>
              </w:r>
            </w:hyperlink>
            <w:r/>
          </w:p>
        </w:tc>
      </w:tr>
      <w:tr>
        <w:trPr>
          <w:trHeight w:val="0"/>
        </w:trPr>
        <w:tc>
          <w:tcPr>
            <w:tcW w:w="3240" w:type="dxa"/>
            <w:vAlign w:val="center"/>
          </w:tcPr>
          <w:p>
            <w:pPr>
              <w:jc w:val="left"/>
            </w:pPr>
            <w:r>
              <w:rPr>
                <w:sz w:val="24"/>
                <w:color w:val="000000"/>
              </w:rPr>
              <w:t xml:space="preserve">Non-Cash Transaction Flow</w:t>
            </w:r>
          </w:p>
        </w:tc>
        <w:tc>
          <w:tcPr>
            <w:tcW w:w="3240" w:type="dxa"/>
            <w:vAlign w:val="center"/>
          </w:tcPr>
          <w:p>
            <w:pPr>
              <w:jc w:val="left"/>
            </w:pPr>
            <w:r>
              <w:rPr>
                <w:sz w:val="24"/>
                <w:color w:val="000000"/>
              </w:rPr>
              <w:t xml:space="preserve">Obtain paged list of non-cash transaction flow records</w:t>
            </w:r>
          </w:p>
        </w:tc>
        <w:tc>
          <w:tcPr>
            <w:tcW w:w="3240" w:type="dxa"/>
            <w:vAlign w:val="center"/>
          </w:tcPr>
          <w:p>
            <w:pPr/>
            <w:r/>
            <w:hyperlink r:id="rId10">
              <w:r>
                <w:rPr>
                  <w:rStyle w:val="hyperlink"/>
                </w:rPr>
                <w:t xml:space="preserve">请至钉钉文档查看附件《Non-cash flow module.md》。</w:t>
              </w:r>
            </w:hyperlink>
            <w:r/>
          </w:p>
        </w:tc>
      </w:tr>
    </w:tbl>
    <w:p>
      <w:pPr>
        <w:ind/>
        <w:spacing/>
      </w:pPr>
      <w:r>
        <w:rPr>
          <w:sz w:val="24"/>
          <w:color w:val="000000"/>
        </w:rPr>
      </w:r>
    </w:p>
    <w:sectPr>
      <w:pgSz w:w="16905" w:h="23820"/>
      <w:pgMar w:top="1440" w:right="1440" w:bottom="1440" w:left="1440" w:header="638.25" w:footer="691.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lvl w:ilvl="0">
      <w:start w:val="1"/>
      <w:numFmt w:val="decimal"/>
      <w:lvlText w:val="%1."/>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1" w15:restartNumberingAfterBreak="0">
    <w:lvl w:ilvl="0">
      <w:start w:val="1"/>
      <w:numFmt w:val="bullet"/>
      <w:lvlText w:val="●"/>
      <w:lvlJc w:val="left"/>
      <w:pPr>
        <w:ind w:left="420" w:hanging="420"/>
      </w:pPr>
      <w:rPr/>
    </w:lvl>
  </w:abstractNum>
  <w:num w:numId="2">
    <w:abstractNumId w:val="1"/>
  </w:num>
  <w:num w:numId="3">
    <w:abstractNumId w:val="2"/>
  </w: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paragraph" w:default="0" w:styleId="Caption">
    <w:name w:val="caption"/>
    <w:basedOn w:val="Normal"/>
    <w:tcPr/>
    <w:pPr>
      <w:spacing w:line="240" w:lineRule="auto"/>
    </w:pPr>
    <w:rPr>
      <w:sz w:val="18"/>
      <w:color w:val="4F81BD"/>
      <w:b w:val="1"/>
    </w:rPr>
  </w:style>
  <w:style w:type="character" w:default="1" w:styleId="DefaultParagraphFont">
    <w:name w:val="Default Paragraph Font"/>
    <w:tcPr/>
  </w:style>
  <w:style w:type="character" w:default="0" w:styleId="Emphasis">
    <w:name w:val="Emphasis"/>
    <w:basedOn w:val="DefaultParagraphFont"/>
    <w:tcPr/>
    <w:rPr>
      <w:i w:val="1"/>
    </w:rPr>
  </w:style>
  <w:style w:type="paragraph" w:default="0" w:styleId="Header">
    <w:name w:val="header"/>
    <w:basedOn w:val="Normal"/>
    <w:tcPr/>
    <w:pPr/>
  </w:style>
  <w:style w:type="character" w:default="0" w:styleId="HeaderChar">
    <w:name w:val="Header Char"/>
    <w:basedOn w:val="DefaultParagraphFont"/>
    <w:tcPr/>
  </w:style>
  <w:style w:type="paragraph" w:default="0" w:styleId="Heading1">
    <w:name w:val="heading 1"/>
    <w:basedOn w:val="Normal"/>
    <w:tcPr/>
    <w:pPr>
      <w:keepLines w:val="1"/>
      <w:keepNext w:val="1"/>
      <w:spacing w:before="480"/>
    </w:pPr>
    <w:rPr>
      <w:sz w:val="42"/>
      <w:rFonts w:ascii="宋体" w:eastAsia="宋体"/>
      <w:color w:val="000000"/>
      <w:b w:val="1"/>
    </w:rPr>
  </w:style>
  <w:style w:type="character" w:default="0" w:styleId="Heading1Char">
    <w:name w:val="Heading 1 Char"/>
    <w:basedOn w:val="DefaultParagraphFont"/>
    <w:tcPr/>
    <w:rPr>
      <w:sz w:val="28"/>
      <w:rFonts w:asciiTheme="majorHAnsi" w:hAnsiTheme="majorHAnsi" w:cstheme="majorBidi" w:eastAsiaTheme="majorEastAsia"/>
      <w:color w:val="365F91"/>
      <w:b w:val="1"/>
    </w:rPr>
  </w:style>
  <w:style w:type="paragraph" w:default="0" w:styleId="Heading2">
    <w:name w:val="heading 2"/>
    <w:basedOn w:val="Normal"/>
    <w:tcPr/>
    <w:pPr>
      <w:keepLines w:val="1"/>
      <w:keepNext w:val="1"/>
      <w:spacing w:before="200"/>
    </w:pPr>
    <w:rPr>
      <w:sz w:val="38"/>
      <w:rFonts w:ascii="宋体" w:eastAsia="宋体"/>
      <w:color w:val="000000"/>
      <w:b w:val="1"/>
    </w:rPr>
  </w:style>
  <w:style w:type="character" w:default="0" w:styleId="Heading2Char">
    <w:name w:val="Heading 2 Char"/>
    <w:basedOn w:val="DefaultParagraphFont"/>
    <w:tcPr/>
    <w:rPr>
      <w:sz w:val="26"/>
      <w:rFonts w:asciiTheme="majorHAnsi" w:hAnsiTheme="majorHAnsi" w:cstheme="majorBidi" w:eastAsiaTheme="majorEastAsia"/>
      <w:color w:val="4F81BD"/>
      <w:b w:val="1"/>
    </w:rPr>
  </w:style>
  <w:style w:type="paragraph" w:default="0" w:styleId="Heading3">
    <w:name w:val="heading 3"/>
    <w:basedOn w:val="Normal"/>
    <w:tcPr/>
    <w:pPr>
      <w:keepLines w:val="1"/>
      <w:keepNext w:val="1"/>
      <w:spacing w:before="200"/>
    </w:pPr>
    <w:rPr>
      <w:sz w:val="34"/>
      <w:rFonts w:ascii="宋体" w:eastAsia="宋体"/>
      <w:color w:val="000000"/>
      <w:b w:val="1"/>
    </w:rPr>
  </w:style>
  <w:style w:type="character" w:default="0" w:styleId="Heading3Char">
    <w:name w:val="Heading 3 Char"/>
    <w:basedOn w:val="DefaultParagraphFont"/>
    <w:tcPr/>
    <w:rPr>
      <w:rFonts w:asciiTheme="majorHAnsi" w:hAnsiTheme="majorHAnsi" w:cstheme="majorBidi" w:eastAsiaTheme="majorEastAsia"/>
      <w:color w:val="4F81BD"/>
      <w:b w:val="1"/>
    </w:rPr>
  </w:style>
  <w:style w:type="paragraph" w:default="0" w:styleId="Heading4">
    <w:name w:val="heading 4"/>
    <w:basedOn w:val="Normal"/>
    <w:tcPr/>
    <w:pPr>
      <w:keepLines w:val="1"/>
      <w:keepNext w:val="1"/>
      <w:spacing w:before="200"/>
    </w:pPr>
    <w:rPr>
      <w:sz w:val="30"/>
      <w:rFonts w:ascii="宋体" w:eastAsia="宋体"/>
      <w:color w:val="000000"/>
      <w:b w:val="1"/>
    </w:rPr>
  </w:style>
  <w:style w:type="character" w:default="0" w:styleId="Heading4Char">
    <w:name w:val="Heading 4 Char"/>
    <w:basedOn w:val="DefaultParagraphFont"/>
    <w:tcPr/>
    <w:rPr>
      <w:rFonts w:asciiTheme="majorHAnsi" w:hAnsiTheme="majorHAnsi" w:cstheme="majorBidi" w:eastAsiaTheme="majorEastAsia"/>
      <w:color w:val="4F81BD"/>
      <w:b w:val="1"/>
      <w:i w:val="1"/>
    </w:rPr>
  </w:style>
  <w:style w:type="paragraph" w:default="0" w:styleId="Heading5">
    <w:name w:val="heading 5"/>
    <w:basedOn w:val="Normal"/>
    <w:tcPr/>
    <w:pPr>
      <w:keepLines w:val="1"/>
      <w:keepNext w:val="1"/>
      <w:spacing w:before="200"/>
    </w:pPr>
    <w:rPr>
      <w:sz w:val="28"/>
      <w:rFonts w:ascii="宋体" w:eastAsia="宋体"/>
      <w:color w:val="000000"/>
      <w:b w:val="1"/>
    </w:rPr>
  </w:style>
  <w:style w:type="character" w:default="0" w:styleId="Hyperlink">
    <w:name w:val="Hyperlink"/>
    <w:basedOn w:val="DefaultParagraphFont"/>
    <w:tcPr/>
    <w:rPr>
      <w:color w:val="0000FF"/>
      <w:u w:val="single"/>
    </w:rPr>
  </w:style>
  <w:style w:type="paragraph" w:default="1" w:styleId="Normal">
    <w:name w:val="Normal"/>
    <w:tcPr/>
  </w:style>
  <w:style w:type="paragraph" w:default="0" w:styleId="NormalIndent">
    <w:name w:val="Normal Indent"/>
    <w:basedOn w:val="Normal"/>
    <w:tcPr/>
    <w:pPr>
      <w:ind w:left="720"/>
    </w:pPr>
  </w:style>
  <w:style w:type="paragraph" w:default="0" w:styleId="Subtitle">
    <w:name w:val="Subtitle"/>
    <w:basedOn w:val="Normal"/>
    <w:tcPr/>
    <w:pPr>
      <w:ind w:left="85.95"/>
    </w:pPr>
    <w:rPr>
      <w:sz w:val="24"/>
      <w:rFonts w:asciiTheme="majorHAnsi" w:hAnsiTheme="majorHAnsi" w:cstheme="majorBidi" w:eastAsiaTheme="majorEastAsia"/>
      <w:color w:val="4F81BD"/>
      <w:i w:val="1"/>
      <w:spacing w:val="15"/>
    </w:rPr>
  </w:style>
  <w:style w:type="character" w:default="0" w:styleId="SubtitleChar">
    <w:name w:val="Subtitle Char"/>
    <w:basedOn w:val="DefaultParagraphFont"/>
    <w:tcPr/>
    <w:rPr>
      <w:sz w:val="24"/>
      <w:rFonts w:asciiTheme="majorHAnsi" w:hAnsiTheme="majorHAnsi" w:cstheme="majorBidi" w:eastAsiaTheme="majorEastAsia"/>
      <w:color w:val="4F81BD"/>
      <w:i w:val="1"/>
      <w:spacing w:val="15"/>
    </w:rPr>
  </w:style>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table" w:default="1" w:styleId="TableNormal">
    <w:name w:val="Normal Table"/>
    <w:tblPr>
      <w:tblStyle w:val="TableGrid"/>
      <w:tblW w:w="0" w:type="auto"/>
      <w:tblInd w:w="0" w:type="dxa"/>
      <w:tblCellMar>
        <w:top w:w="0" w:type="dxa"/>
        <w:bottom w:w="0" w:type="dxa"/>
        <w:left w:w="108" w:type="dxa"/>
        <w:right w:w="108" w:type="dxa"/>
      </w:tblCellMar>
    </w:tblPr>
    <w:tcPr/>
  </w:style>
  <w:style w:type="paragraph" w:default="0" w:styleId="Title">
    <w:name w:val="Title"/>
    <w:basedOn w:val="Normal"/>
    <w:tcPr/>
    <w:pPr>
      <w:spacing w:after="300"/>
      <w:pBdr>
        <w:bottom w:val="single" w:sz="7" w:space="4" w:color="4F81BD"/>
      </w:pBdr>
    </w:pPr>
    <w:rPr>
      <w:sz w:val="52"/>
      <w:rFonts w:asciiTheme="majorHAnsi" w:hAnsiTheme="majorHAnsi" w:cstheme="majorBidi" w:eastAsiaTheme="majorEastAsia"/>
      <w:color w:val="17365D"/>
      <w:spacing w:val="5"/>
      <w:kern w:val="28"/>
    </w:rPr>
  </w:style>
  <w:style w:type="character" w:default="0" w:styleId="TitleChar">
    <w:name w:val="Title Char"/>
    <w:basedOn w:val="DefaultParagraphFont"/>
    <w:tcPr/>
    <w:rPr>
      <w:sz w:val="52"/>
      <w:rFonts w:asciiTheme="majorHAnsi" w:hAnsiTheme="majorHAnsi" w:cstheme="majorBidi" w:eastAsiaTheme="majorEastAsia"/>
      <w:color w:val="17365D"/>
      <w:spacing w:val="5"/>
      <w:kern w:val="28"/>
    </w:rPr>
  </w:style>
  <w:style w:type="paragraph" w:default="0" w:styleId="dingding_code">
    <w:name w:val="钉钉文档代码块"/>
    <w:tcPr/>
  </w:style>
  <w:style w:type="character" w:default="0" w:styleId="hyperlink">
    <w:name w:val="Hyperlink"/>
    <w:basedOn w:val="NormalCharacter"/>
    <w:tcPr/>
    <w:rPr>
      <w:color w:val="0563C1"/>
      <w:u w:val="single"/>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hyperlink" Target="https://test-openv2.ourvend.com" TargetMode="External" />
  <Relationship Id="rId5" Type="http://schemas.openxmlformats.org/officeDocument/2006/relationships/hyperlink" Target="https://openv2.ourvend.com" TargetMode="External" />
  <Relationship Id="rId6" Type="http://schemas.openxmlformats.org/officeDocument/2006/relationships/hyperlink" Target="https://test-openv2.ourvend.com/api/device/getDevicePage?app_id=749615027720261&amp;method=api/device/getDevicePage&amp;timestamp=1765239698&amp;sign=731EDC14555D3C9F4AC670CEBF502F28C9F1E862F8541DD59AFD0E6F5A51C0BE&amp;sign_method=hmac-sha256" TargetMode="External" />
  <Relationship Id="rId7" Type="http://schemas.openxmlformats.org/officeDocument/2006/relationships/hyperlink" Target="https://alidocs.dingtalk.com/i/nodes/vy20BglGWOeMyyr1hYG6qdKXJA7depqY?doc_type=wiki_doc&amp;iframeQuery=anchorId%3DX02mih1ypcomg20253imvn" TargetMode="External" />
  <Relationship Id="rId8" Type="http://schemas.openxmlformats.org/officeDocument/2006/relationships/hyperlink" Target="https://alidocs.dingtalk.com/i/nodes/vy20BglGWOeMyyr1hYG6qdKXJA7depqY?doc_type=wiki_doc&amp;iframeQuery=anchorId%3DX02mjtdxwb196xt11pjkzo" TargetMode="External" />
  <Relationship Id="rId9" Type="http://schemas.openxmlformats.org/officeDocument/2006/relationships/hyperlink" Target="https://alidocs.dingtalk.com/i/nodes/vy20BglGWOeMyyr1hYG6qdKXJA7depqY?doc_type=wiki_doc&amp;iframeQuery=anchorId%3DX02mjtdxybn68j84cpyqeq" TargetMode="External" />
  <Relationship Id="rId10" Type="http://schemas.openxmlformats.org/officeDocument/2006/relationships/hyperlink" Target="https://alidocs.dingtalk.com/i/nodes/vy20BglGWOeMyyr1hYG6qdKXJA7depqY?doc_type=wiki_doc&amp;iframeQuery=anchorId%3DX02mjtdy0bh71ofl7vf5ou" TargetMode="External"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