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54"/>
        <w:jc w:val="left"/>
      </w:pPr>
      <w:r>
        <w:rPr>
          <w:rFonts w:ascii="Arial" w:hAnsi="Arial" w:eastAsia="Noto Sans CJK SC"/>
          <w:b/>
          <w:color w:val="0F766E"/>
          <w:sz w:val="34"/>
        </w:rPr>
        <w:t>ONCALL</w:t>
      </w:r>
    </w:p>
    <w:p>
      <w:pPr>
        <w:pStyle w:val="Title"/>
      </w:pPr>
      <w:r>
        <w:t>AI SRE 平台技术选型报告</w:t>
      </w:r>
    </w:p>
    <w:p>
      <w:pPr>
        <w:pStyle w:val="Subtitle"/>
      </w:pPr>
      <w:r>
        <w:t>从 0 到 1 的技术栈、架构决策与选型边界</w:t>
      </w:r>
    </w:p>
    <w:p>
      <w:pPr>
        <w:spacing w:before="737"/>
      </w:pPr>
      <w:r>
        <w:rPr>
          <w:rFonts w:ascii="Arial" w:hAnsi="Arial" w:eastAsia="Noto Sans CJK SC"/>
          <w:b/>
          <w:color w:val="1E293B"/>
          <w:sz w:val="24"/>
        </w:rPr>
        <w:t>Architecture Baseline v1.0</w:t>
      </w:r>
    </w:p>
    <w:p>
      <w:r>
        <w:rPr>
          <w:rFonts w:ascii="Arial" w:hAnsi="Arial" w:eastAsia="Noto Sans CJK SC"/>
          <w:color w:val="64748B"/>
          <w:sz w:val="20"/>
        </w:rPr>
        <w:t>技术基线日期：2026-08-18</w:t>
      </w:r>
    </w:p>
    <w:p>
      <w:r>
        <w:rPr>
          <w:rFonts w:ascii="Arial" w:hAnsi="Arial" w:eastAsia="Noto Sans CJK SC"/>
          <w:b/>
          <w:color w:val="18794E"/>
          <w:sz w:val="20"/>
        </w:rPr>
        <w:t>状态：已确认，可作为后续开发的架构基线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 w:eastAsia="Noto Sans CJK SC"/>
                <w:b/>
                <w:color w:val="1E293B"/>
                <w:sz w:val="20"/>
              </w:rPr>
              <w:t>设计原则：稳定优先、模块边界清晰、业务事实持久化、Agent 可替换、知识索引可重建、监测检测确定性、AI 负责调查与解释。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1. 结论摘要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2. 产品约束与架构目标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3. 总体架构模式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4. 后端与工程基础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5. Agent 与模型层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6. RAG 与知识库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7. 数据与持久化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8. 主动监测与系统集成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9. 飞书通道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10. Web 前端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11. 安全、可观测与测试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12. 部署拓扑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13. 不采用的方案与原因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14. 架构决策记录（ADR）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15. 版本策略与参考资料</w:t>
      </w:r>
    </w:p>
    <w:p>
      <w:r>
        <w:br w:type="page"/>
      </w:r>
    </w:p>
    <w:p>
      <w:pPr>
        <w:pStyle w:val="Heading1"/>
      </w:pPr>
      <w:r>
        <w:t>1. 结论摘要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本报告将 Oncall 定义为一个本地优先、可扩展的 AI SRE 平台。V1 支持同一台主机上的多个被监控项目；提供 ChatGPT 式多会话 Web、飞书双向对话、完整 RAG、确定性主动监测、Incident 管理，以及统一 OncallAgent 的调查与故障报告能力。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8794E"/>
          <w:left w:val="single" w:sz="5" w:space="0" w:color="18794E"/>
          <w:bottom w:val="single" w:sz="5" w:space="0" w:color="18794E"/>
          <w:right w:val="single" w:sz="5" w:space="0" w:color="18794E"/>
          <w:insideH w:val="single" w:sz="5" w:space="0" w:color="18794E"/>
          <w:insideV w:val="single" w:sz="5" w:space="0" w:color="18794E"/>
        </w:tblBorders>
      </w:tblPr>
      <w:tblGrid>
        <w:gridCol w:w="10200"/>
      </w:tblGrid>
      <w:tr>
        <w:tc>
          <w:tcPr>
            <w:tcW w:type="dxa" w:w="10200"/>
            <w:shd w:fill="EAF7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8794E"/>
                <w:sz w:val="19"/>
              </w:rPr>
              <w:t>最终推荐：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采用“模块化单体（Modular Monolith）+ 多运行进程 + PostgreSQL 持久化协调”。LangGraph 仅承担 Agent 编排；Monitoring Engine、RAG ingestion、业务数据与通道层均保持独立模块。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5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06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推荐技术</w:t>
            </w:r>
          </w:p>
        </w:tc>
        <w:tc>
          <w:tcPr>
            <w:tcW w:type="dxa" w:w="453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选择结论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语言/依赖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 3.13.x + uv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稳定生态；使用 pyproject.toml + uv.lock 固化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FastAPI 0.141.x + Pydantic 2.13.x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异步 API、OpenAPI、流式响应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LangGraph 1.2.x + Postgres Checkpointer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显式 StateGraph、可恢复、线程级状态 [R1][R2][R3]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业务数据库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18.x + SQLAlchemy 2.0 + Alembic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业务事实唯一来源；异步访问；迁移可控 [R12][R13]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RAG解析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Docling 2.120.x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统一文档结构、结构化解析、HybridChunker [R5][R6][R7]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检索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2.6.x Dense + BM25 + Hybrid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同库实现语义与全文召回，再做融合/重排 [R8][R9]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监测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psutil + Docker SDK + httpx + PostgreSQL SQL + 日志 cursor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本机多项目，纯代码检测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调度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APScheduler 3.11.x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成熟稳定线；V1 不采用尚在演进的主线 API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飞书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自建应用机器人 + 官方 lark-oapi + WebSocket 长连接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本机无需公网回调；支持双向消息 [R10][R11]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前端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Vue 3.5.x + Vite 8.x + TypeScript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ChatGPT 式多会话 + 管理页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部署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Windows 原生应用进程 + Docker Compose 基础设施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 监控需要看见 Windows 主机；PostgreSQL/Milvus 容器化</w:t>
            </w:r>
          </w:p>
        </w:tc>
      </w:tr>
    </w:tbl>
    <w:p>
      <w:pPr>
        <w:pStyle w:val="Heading1"/>
      </w:pPr>
      <w:r>
        <w:t>2. 产品约束与架构目标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V1 范围：</w:t>
      </w:r>
      <w:r>
        <w:rPr>
          <w:rFonts w:ascii="Arial" w:hAnsi="Arial" w:eastAsia="Noto Sans CJK SC"/>
          <w:b w:val="0"/>
          <w:color w:val="1E293B"/>
          <w:sz w:val="19"/>
        </w:rPr>
        <w:t>单用户、本机多项目、只读诊断；远程服务器与自动修复延期。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统一 Agent：</w:t>
      </w:r>
      <w:r>
        <w:rPr>
          <w:rFonts w:ascii="Arial" w:hAnsi="Arial" w:eastAsia="Noto Sans CJK SC"/>
          <w:b w:val="0"/>
          <w:color w:val="1E293B"/>
          <w:sz w:val="19"/>
        </w:rPr>
        <w:t>只有一个 OncallAgent，支持 CHAT / INVESTIGATE / FOLLOW_UP 三种运行模式。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主动报告：</w:t>
      </w:r>
      <w:r>
        <w:rPr>
          <w:rFonts w:ascii="Arial" w:hAnsi="Arial" w:eastAsia="Noto Sans CJK SC"/>
          <w:b w:val="0"/>
          <w:color w:val="1E293B"/>
          <w:sz w:val="19"/>
        </w:rPr>
        <w:t>发生 Incident 后生成完整监测报告，必须包含证据、根因、解决步骤、风险与恢复验证步骤。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持续追问：</w:t>
      </w:r>
      <w:r>
        <w:rPr>
          <w:rFonts w:ascii="Arial" w:hAnsi="Arial" w:eastAsia="Noto Sans CJK SC"/>
          <w:b w:val="0"/>
          <w:color w:val="1E293B"/>
          <w:sz w:val="19"/>
        </w:rPr>
        <w:t>Web 或飞书中的 Incident 会话可继续追问；重启服务后历史会话与 Incident 不丢失。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知识底座：</w:t>
      </w:r>
      <w:r>
        <w:rPr>
          <w:rFonts w:ascii="Arial" w:hAnsi="Arial" w:eastAsia="Noto Sans CJK SC"/>
          <w:b w:val="0"/>
          <w:color w:val="1E293B"/>
          <w:sz w:val="19"/>
        </w:rPr>
        <w:t>RAG 是共享知识服务，不是 Agent 私有记忆；聊天和调查共用同一检索服务。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稳定性：</w:t>
      </w:r>
      <w:r>
        <w:rPr>
          <w:rFonts w:ascii="Arial" w:hAnsi="Arial" w:eastAsia="Noto Sans CJK SC"/>
          <w:b w:val="0"/>
          <w:color w:val="1E293B"/>
          <w:sz w:val="19"/>
        </w:rPr>
        <w:t>监控检测不依赖 LLM；LLM 只在问答、调查、解释、生成诊断时参与。</w:t>
      </w:r>
    </w:p>
    <w:p>
      <w:pPr>
        <w:pStyle w:val="Heading1"/>
      </w:pPr>
      <w:r>
        <w:t>3. 总体架构模式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Web (Vue)                  Feishu App Bot</w:t>
        <w:br/>
      </w:r>
      <w:r>
        <w:rPr>
          <w:rFonts w:ascii="Noto Sans Mono CJK SC" w:hAnsi="Noto Sans Mono CJK SC" w:eastAsia="Noto Sans Mono CJK SC"/>
          <w:sz w:val="16"/>
        </w:rPr>
        <w:t xml:space="preserve">    \                         /</w:t>
        <w:br/>
      </w:r>
      <w:r>
        <w:rPr>
          <w:rFonts w:ascii="Noto Sans Mono CJK SC" w:hAnsi="Noto Sans Mono CJK SC" w:eastAsia="Noto Sans Mono CJK SC"/>
          <w:sz w:val="16"/>
        </w:rPr>
        <w:t xml:space="preserve">     \       Gateway/API     /</w:t>
        <w:br/>
      </w:r>
      <w:r>
        <w:rPr>
          <w:rFonts w:ascii="Noto Sans Mono CJK SC" w:hAnsi="Noto Sans Mono CJK SC" w:eastAsia="Noto Sans Mono CJK SC"/>
          <w:sz w:val="16"/>
        </w:rPr>
        <w:t xml:space="preserve">      +------ FastAPI ------+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Application Services</w:t>
        <w:br/>
      </w:r>
      <w:r>
        <w:rPr>
          <w:rFonts w:ascii="Noto Sans Mono CJK SC" w:hAnsi="Noto Sans Mono CJK SC" w:eastAsia="Noto Sans Mono CJK SC"/>
          <w:sz w:val="16"/>
        </w:rPr>
        <w:t xml:space="preserve">      /        |          \</w:t>
        <w:br/>
      </w:r>
      <w:r>
        <w:rPr>
          <w:rFonts w:ascii="Noto Sans Mono CJK SC" w:hAnsi="Noto Sans Mono CJK SC" w:eastAsia="Noto Sans Mono CJK SC"/>
          <w:sz w:val="16"/>
        </w:rPr>
        <w:t>Conversation Incident    Knowledge</w:t>
        <w:br/>
      </w:r>
      <w:r>
        <w:rPr>
          <w:rFonts w:ascii="Noto Sans Mono CJK SC" w:hAnsi="Noto Sans Mono CJK SC" w:eastAsia="Noto Sans Mono CJK SC"/>
          <w:sz w:val="16"/>
        </w:rPr>
        <w:t xml:space="preserve">      \        |          /</w:t>
        <w:br/>
      </w:r>
      <w:r>
        <w:rPr>
          <w:rFonts w:ascii="Noto Sans Mono CJK SC" w:hAnsi="Noto Sans Mono CJK SC" w:eastAsia="Noto Sans Mono CJK SC"/>
          <w:sz w:val="16"/>
        </w:rPr>
        <w:t xml:space="preserve">          OncallAgent                Monitoring Engine</w:t>
        <w:br/>
      </w:r>
      <w:r>
        <w:rPr>
          <w:rFonts w:ascii="Noto Sans Mono CJK SC" w:hAnsi="Noto Sans Mono CJK SC" w:eastAsia="Noto Sans Mono CJK SC"/>
          <w:sz w:val="16"/>
        </w:rPr>
        <w:t xml:space="preserve">           LangGraph                 Scheduler/Detector</w:t>
        <w:br/>
      </w:r>
      <w:r>
        <w:rPr>
          <w:rFonts w:ascii="Noto Sans Mono CJK SC" w:hAnsi="Noto Sans Mono CJK SC" w:eastAsia="Noto Sans Mono CJK SC"/>
          <w:sz w:val="16"/>
        </w:rPr>
        <w:t xml:space="preserve">          /   |    \ 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RAG  Tools  Context          Incident Trigger</w:t>
        <w:br/>
      </w:r>
      <w:r>
        <w:rPr>
          <w:rFonts w:ascii="Noto Sans Mono CJK SC" w:hAnsi="Noto Sans Mono CJK SC" w:eastAsia="Noto Sans Mono CJK SC"/>
          <w:sz w:val="16"/>
        </w:rPr>
        <w:t xml:space="preserve">         |     |       |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Milvus Integrations PostgreSQL &lt;-----+</w:t>
        <w:br/>
      </w:r>
      <w:r>
        <w:rPr>
          <w:rFonts w:ascii="Noto Sans Mono CJK SC" w:hAnsi="Noto Sans Mono CJK SC" w:eastAsia="Noto Sans Mono CJK SC"/>
          <w:sz w:val="16"/>
        </w:rPr>
        <w:t xml:space="preserve">         ^     |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Docling |    Durable Facts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Host / Process / Log / Docker / PostgreSQL / HTTP</w:t>
        <w:br/>
      </w:r>
    </w:p>
    <w:p>
      <w:pPr>
        <w:pStyle w:val="CaptionSmall"/>
        <w:jc w:val="center"/>
      </w:pPr>
      <w:r>
        <w:t>图 1  技术总体结构（逻辑视图）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边界原则：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“业务事实”和“Agent Runtime 状态”严格分开。PostgreSQL 业务表保存 Conversation/Message/Incident/Evidence/Diagnosis；LangGraph checkpoint 只负责运行状态与恢复。</w:t>
            </w:r>
          </w:p>
        </w:tc>
      </w:tr>
    </w:tbl>
    <w:p>
      <w:pPr>
        <w:pStyle w:val="Heading1"/>
      </w:pPr>
      <w:r>
        <w:t>4. 后端与工程基础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7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510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3.13.x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选择成熟支持线而非追最新解释器；Docling 已支持 3.13。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包管理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uv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统一依赖解析、虚拟环境与锁文件；禁止 requirements.txt 与多套管理并存。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 框架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FastAPI 0.141.x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API、OpenAPI、依赖注入、StreamingResponse。官方仓库当前 0.141.1 [R4]。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数据模型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Pydantic 2.13.x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DTO、配置、结构化 Agent 输出、Tool 参数校验。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ORM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SQLAlchemy 2.0.x async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Repository 层使用 AsyncSession；不在 Domain 中直接依赖 ORM。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迁移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Alembic 1.19.x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所有数据库结构变化必须迁移脚本化。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Client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被监控 HTTP 探测、外部 LLM/Embedding/Rerank API。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代码结构采用模块化单体：一个仓库、共享 Domain/Application/Infrastructure，但 API、monitor-worker、agent-worker、rag-worker 分进程运行。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V1 不引入 Redis/Kafka/Celery。持久后台任务使用 PostgreSQL jobs 表与 SELECT ... FOR UPDATE SKIP LOCKED 实现可靠领取。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所有外部 SDK 放在 Infrastructure/Channels/Integrations 层，Domain 不直接依赖第三方库。</w:t>
      </w:r>
    </w:p>
    <w:p>
      <w:pPr>
        <w:pStyle w:val="Heading1"/>
      </w:pPr>
      <w:r>
        <w:t>5. Agent 与模型层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LangGraph 适合本项目的原因不是“流行”，而是其低层 StateGraph、checkpoint、thread 与故障恢复机制与多轮工具调用型 SRE 调查相匹配。[R1][R2][R3]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设计项</w:t>
            </w:r>
          </w:p>
        </w:tc>
        <w:tc>
          <w:tcPr>
            <w:tcW w:type="dxa" w:w="680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决策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Agent 数量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1 个 OncallAgent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运行模式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CHAT / INVESTIGATE / FOLLOW_UP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编排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自定义 LangGraph StateGraph，不使用黑盒 create_agent 作为核心架构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线程键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conversation_id 作为 LangGraph thread_id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状态持久化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langgraph-checkpoint-postgres；独立 schema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LLM 接入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ModelGateway + Provider Adapter；OpenAI-compatible 为默认，Anthropic 等可扩展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结构化输出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Pydantic DiagnosisReport / ToolResult / CitationRef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动作权限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V1 只注册 READ tools；未来 WRITE/DANGEROUS tools 必须 human approval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稳定性：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模型不能选择 project_id。project_id/incident_id 由 runtime 注入 ToolExecutionContext，避免 prompt injection 或模型误操作其他项目。</w:t>
            </w:r>
          </w:p>
        </w:tc>
      </w:tr>
    </w:tbl>
    <w:p>
      <w:pPr>
        <w:pStyle w:val="Heading1"/>
      </w:pPr>
      <w:r>
        <w:t>6. RAG 与知识库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Upload -&gt; Validate -&gt; Checksum/Dedupe -&gt; Docling Parse</w:t>
        <w:br/>
      </w:r>
      <w:r>
        <w:rPr>
          <w:rFonts w:ascii="Noto Sans Mono CJK SC" w:hAnsi="Noto Sans Mono CJK SC" w:eastAsia="Noto Sans Mono CJK SC"/>
          <w:sz w:val="16"/>
        </w:rPr>
        <w:t xml:space="preserve">       -&gt; DoclingDocument(JSON) + Normalized Markdown</w:t>
        <w:br/>
      </w:r>
      <w:r>
        <w:rPr>
          <w:rFonts w:ascii="Noto Sans Mono CJK SC" w:hAnsi="Noto Sans Mono CJK SC" w:eastAsia="Noto Sans Mono CJK SC"/>
          <w:sz w:val="16"/>
        </w:rPr>
        <w:t xml:space="preserve">       -&gt; Structure-aware Chunk (HybridChunker baseline)</w:t>
        <w:br/>
      </w:r>
      <w:r>
        <w:rPr>
          <w:rFonts w:ascii="Noto Sans Mono CJK SC" w:hAnsi="Noto Sans Mono CJK SC" w:eastAsia="Noto Sans Mono CJK SC"/>
          <w:sz w:val="16"/>
        </w:rPr>
        <w:t xml:space="preserve">       -&gt; Metadata Enrichment -&gt; Dense Embedding</w:t>
        <w:br/>
      </w:r>
      <w:r>
        <w:rPr>
          <w:rFonts w:ascii="Noto Sans Mono CJK SC" w:hAnsi="Noto Sans Mono CJK SC" w:eastAsia="Noto Sans Mono CJK SC"/>
          <w:sz w:val="16"/>
        </w:rPr>
        <w:t xml:space="preserve">       -&gt; Milvus Dense + BM25 Index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Query -&gt; Normalize -&gt; [Dense top20 || BM25 top20]</w:t>
        <w:br/>
      </w:r>
      <w:r>
        <w:rPr>
          <w:rFonts w:ascii="Noto Sans Mono CJK SC" w:hAnsi="Noto Sans Mono CJK SC" w:eastAsia="Noto Sans Mono CJK SC"/>
          <w:sz w:val="16"/>
        </w:rPr>
        <w:t xml:space="preserve">      -&gt; RRF Fusion (~30) -&gt; Rerank -&gt; Top5 + Threshold</w:t>
        <w:br/>
      </w:r>
      <w:r>
        <w:rPr>
          <w:rFonts w:ascii="Noto Sans Mono CJK SC" w:hAnsi="Noto Sans Mono CJK SC" w:eastAsia="Noto Sans Mono CJK SC"/>
          <w:sz w:val="16"/>
        </w:rPr>
        <w:t xml:space="preserve">      -&gt; Citation Package -&gt; Agent</w:t>
        <w:br/>
      </w:r>
      <w:r>
        <w:rPr>
          <w:rFonts w:ascii="Noto Sans Mono CJK SC" w:hAnsi="Noto Sans Mono CJK SC" w:eastAsia="Noto Sans Mono CJK SC"/>
          <w:sz w:val="16"/>
        </w:rPr>
        <w:t xml:space="preserve">      -&gt; (low quality only) one-time LLM query rewrite and retry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Docling：</w:t>
      </w:r>
      <w:r>
        <w:rPr>
          <w:rFonts w:ascii="Arial" w:hAnsi="Arial" w:eastAsia="Noto Sans CJK SC"/>
          <w:b w:val="0"/>
          <w:color w:val="1E293B"/>
          <w:sz w:val="19"/>
        </w:rPr>
        <w:t>作为 ingestion 统一解析层，保留结构、标题、表格等信息；HybridChunker 以层次结构为基础并做 token-aware 调整。[R5][R6]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Milvus：</w:t>
      </w:r>
      <w:r>
        <w:rPr>
          <w:rFonts w:ascii="Arial" w:hAnsi="Arial" w:eastAsia="Noto Sans CJK SC"/>
          <w:b w:val="0"/>
          <w:color w:val="1E293B"/>
          <w:sz w:val="19"/>
        </w:rPr>
        <w:t>同时承载 dense 向量与原生 BM25 sparse 检索，可执行 hybrid search。[R8][R9]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事实源：</w:t>
      </w:r>
      <w:r>
        <w:rPr>
          <w:rFonts w:ascii="Arial" w:hAnsi="Arial" w:eastAsia="Noto Sans CJK SC"/>
          <w:b w:val="0"/>
          <w:color w:val="1E293B"/>
          <w:sz w:val="19"/>
        </w:rPr>
        <w:t>原始文件 + canonical DoclingDocument/Markdown + PostgreSQL 元数据是事实源；Milvus 是可重建索引。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Chunk 原则：</w:t>
      </w:r>
      <w:r>
        <w:rPr>
          <w:rFonts w:ascii="Arial" w:hAnsi="Arial" w:eastAsia="Noto Sans CJK SC"/>
          <w:b w:val="0"/>
          <w:color w:val="1E293B"/>
          <w:sz w:val="19"/>
        </w:rPr>
        <w:t>SOP 优先保持标题路径、编号步骤、表格/代码块完整；默认 600–900 tokens，结构边界优先于固定长度。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版本管理：</w:t>
      </w:r>
      <w:r>
        <w:rPr>
          <w:rFonts w:ascii="Arial" w:hAnsi="Arial" w:eastAsia="Noto Sans CJK SC"/>
          <w:b w:val="0"/>
          <w:color w:val="1E293B"/>
          <w:sz w:val="19"/>
        </w:rPr>
        <w:t>相同 checksum 跳过；更新创建 version；embedding 模型/维度变化时创建新的 embedding_profile/collection namespace，禁止自动 drop 旧集合。</w:t>
      </w:r>
    </w:p>
    <w:p>
      <w:pPr>
        <w:pStyle w:val="Heading1"/>
      </w:pPr>
      <w:r>
        <w:t>7. 数据与持久化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业务数据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PostgreSQL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Conversation、Messages、Projects、Incidents、Evidence、Diagnosis、Jobs、Notifications 等唯一事实源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Agent checkpoint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PostgreSQL 独立 langgraph schema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Graph 步骤状态/恢复；可删除重建，不作为业务记录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知识原始与规范化文件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本地 data/knowledge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raw、document.json、document.md；备份必需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RAG 索引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Milvus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dense/BM25 索引，可由知识事实源重建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监测采样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PostgreSQL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默认保留 30 天，可配置；不复制完整日志，只保存摘要和 Evidence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8794E"/>
          <w:left w:val="single" w:sz="5" w:space="0" w:color="18794E"/>
          <w:bottom w:val="single" w:sz="5" w:space="0" w:color="18794E"/>
          <w:right w:val="single" w:sz="5" w:space="0" w:color="18794E"/>
          <w:insideH w:val="single" w:sz="5" w:space="0" w:color="18794E"/>
          <w:insideV w:val="single" w:sz="5" w:space="0" w:color="18794E"/>
        </w:tblBorders>
      </w:tblPr>
      <w:tblGrid>
        <w:gridCol w:w="10200"/>
      </w:tblGrid>
      <w:tr>
        <w:tc>
          <w:tcPr>
            <w:tcW w:type="dxa" w:w="10200"/>
            <w:shd w:fill="EAF7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8794E"/>
                <w:sz w:val="19"/>
              </w:rPr>
              <w:t>恢复目标：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关机或服务重启后，多会话历史从 PostgreSQL 恢复；LangGraph 未完成 run 可按 checkpoint 恢复/重新执行；知识索引丢失时可从 canonical 文档重新构建。</w:t>
            </w:r>
          </w:p>
        </w:tc>
      </w:tr>
    </w:tbl>
    <w:p>
      <w:pPr>
        <w:pStyle w:val="Heading1"/>
      </w:pPr>
      <w:r>
        <w:t>8. 主动监测与系统集成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V1 采用 6 个 Integration，共享“周期摘要采集”和“Agent 按需深查”能力。Collector 不是 Tool；Collector 自动巡检，Tool 由 Agent 调查时调用。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Integration</w:t>
            </w:r>
          </w:p>
        </w:tc>
        <w:tc>
          <w:tcPr>
            <w:tcW w:type="dxa" w:w="35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周期采集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Agent 深查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CPU/内存/磁盘/IO/网络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query_host_metrics, history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ProcessIntegration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目标进程存活/资源/子进程摘要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query_processes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LogIntegration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增量 ERROR/WARNING/错误签名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query_logs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DockerIntegration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容器状态/Health/资源/重启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query_containers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DatabaseIntegration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可达性/连接/长查询/锁/死锁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query_database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ServiceIntegration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可达/状态码/延迟/连续失败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query_service_health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规则状态机：NORMAL -&gt; PENDING -&gt; FIRING -&gt; RECOVERING -&gt; NORMAL；使用持续次数与恢复阈值形成滞回，避免抖动。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Incident fingerprint = hash(project_id | rule_id | resource_key | anomaly_type)，不比较整个 Snapshot hash。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同一 Incident 不每 5 分钟重新跑 Agent；仅首次、严重度升级、出现新相关异常、人工深度调查或 stale recheck 触发再调查。</w:t>
      </w:r>
    </w:p>
    <w:p>
      <w:pPr>
        <w:pStyle w:val="Heading1"/>
      </w:pPr>
      <w:r>
        <w:t>9. 飞书通道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V1 直接使用飞书自建应用机器人。对本机部署而言，优先 WebSocket 长连接接收事件：官方 SDK 在本地建立全双工连接，只要求服务器可访问公网，无需给本机暴露公网回调地址。[R10][R11]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97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方案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用户主动聊天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接收 im.message.receive 事件；私聊进入当前 Conversation；群聊默认仅 @机器人 响应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主动 Incident 报告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调用消息发送 API；使用 Card JSON 2.0 风格结构化卡片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告警后追问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保存 root_message_id/message_id -&gt; incident_id/conversation_id 映射；回复报告即 FOLLOW_UP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幂等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event_id/message_id 唯一去重；出站 notification outbox 防重复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凭证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app_id/app_secret 加密存储；token 由 SDK/TokenCache 管理并预留刷新安全窗口</w:t>
            </w:r>
          </w:p>
        </w:tc>
      </w:tr>
    </w:tbl>
    <w:p>
      <w:pPr>
        <w:pStyle w:val="Heading1"/>
      </w:pPr>
      <w:r>
        <w:t>10. Web 前端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697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决策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Vue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3.5.x 稳定线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Vite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8.x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Node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24 LTS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TypeScript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锁定稳定版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状态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Pinia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路由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Vue Router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Markdown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markdown-it + DOMPurify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流式输出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fetch ReadableStream + 后端 event stream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UI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自定义 Chat Shell；表单/表格可使用 Element Plus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核心页面：Chat、Incidents、Projects、Knowledge、Settings。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Chat 左侧支持新建、重命名、归档/删除、搜索、切换历史会话；Incident 自动创建/绑定 Conversation。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浏览器只渲染经过 DOMPurify 清洗的 Markdown HTML，避免 LLM 输出造成 XSS。</w:t>
      </w:r>
    </w:p>
    <w:p>
      <w:pPr>
        <w:pStyle w:val="Heading1"/>
      </w:pPr>
      <w:r>
        <w:t>11. 安全、可观测与测试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基线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登录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单管理员账号；Argon2id 哈希；HTTPOnly + SameSite session cookie；默认只绑定 127.0.0.1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Secrets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 Key/DB/Feishu secret 以应用 master key 加密后入库；master key 仅环境变量/系统密钥存储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DB 权限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被监测 PostgreSQL 使用只读账户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 风险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READ / WRITE / DANGEROUS 分级；V1 只注册 READ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日志脱敏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进入 LLM/飞书前按规则对 token、password、email 等敏感字段 REDACT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Trace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request_id/conversation_id/incident_id/agent_run_id/tool_run_id 全链路关联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测试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pytest + pytest-asyncio + Vitest + Playwright E2E；关键状态机和重启恢复必须自动测试</w:t>
            </w:r>
          </w:p>
        </w:tc>
      </w:tr>
    </w:tbl>
    <w:p>
      <w:pPr>
        <w:pStyle w:val="Heading1"/>
      </w:pPr>
      <w:r>
        <w:t>12. 部署拓扑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Windows Host</w:t>
        <w:br/>
      </w:r>
      <w:r>
        <w:rPr>
          <w:rFonts w:ascii="Noto Sans Mono CJK SC" w:hAnsi="Noto Sans Mono CJK SC" w:eastAsia="Noto Sans Mono CJK SC"/>
          <w:sz w:val="16"/>
        </w:rPr>
        <w:t xml:space="preserve">  oncall-api.exe / python -m oncall.api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oncall-monitor-worker                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oncall-agent-worker                  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oncall-rag-worker                              (native)</w:t>
        <w:br/>
      </w:r>
      <w:r>
        <w:rPr>
          <w:rFonts w:ascii="Noto Sans Mono CJK SC" w:hAnsi="Noto Sans Mono CJK SC" w:eastAsia="Noto Sans Mono CJK SC"/>
          <w:sz w:val="16"/>
        </w:rPr>
        <w:t xml:space="preserve">  Feishu WebSocket listener                      (API lifecycle, single instance V1)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Docker Desktop / Compose</w:t>
        <w:br/>
      </w:r>
      <w:r>
        <w:rPr>
          <w:rFonts w:ascii="Noto Sans Mono CJK SC" w:hAnsi="Noto Sans Mono CJK SC" w:eastAsia="Noto Sans Mono CJK SC"/>
          <w:sz w:val="16"/>
        </w:rPr>
        <w:t xml:space="preserve">  PostgreSQL 18.x     &lt;- business + jobs + checkpoints</w:t>
        <w:br/>
      </w:r>
      <w:r>
        <w:rPr>
          <w:rFonts w:ascii="Noto Sans Mono CJK SC" w:hAnsi="Noto Sans Mono CJK SC" w:eastAsia="Noto Sans Mono CJK SC"/>
          <w:sz w:val="16"/>
        </w:rPr>
        <w:t xml:space="preserve">  Milvus 2.6.x stack &lt;- rebuildable RAG index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Persistent host paths</w:t>
        <w:br/>
      </w:r>
      <w:r>
        <w:rPr>
          <w:rFonts w:ascii="Noto Sans Mono CJK SC" w:hAnsi="Noto Sans Mono CJK SC" w:eastAsia="Noto Sans Mono CJK SC"/>
          <w:sz w:val="16"/>
        </w:rPr>
        <w:t xml:space="preserve">  data/knowledge      &lt;- raw + canonical documents</w:t>
        <w:br/>
      </w:r>
      <w:r>
        <w:rPr>
          <w:rFonts w:ascii="Noto Sans Mono CJK SC" w:hAnsi="Noto Sans Mono CJK SC" w:eastAsia="Noto Sans Mono CJK SC"/>
          <w:sz w:val="16"/>
        </w:rPr>
        <w:t xml:space="preserve">  logs/               &lt;- Oncall logs</w:t>
        <w:br/>
      </w:r>
      <w:r>
        <w:rPr>
          <w:rFonts w:ascii="Noto Sans Mono CJK SC" w:hAnsi="Noto Sans Mono CJK SC" w:eastAsia="Noto Sans Mono CJK SC"/>
          <w:sz w:val="16"/>
        </w:rPr>
        <w:t xml:space="preserve">  .env / master key   &lt;- protected configuration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为什么应用进程不全部放 Docker：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V1 要直接通过 psutil、文件系统和 Docker Engine 观察 Windows 本机 AutoGEO 等项目。若把监测进程放进普通容器，会看到容器自身而不是完整宿主机视图。</w:t>
            </w:r>
          </w:p>
        </w:tc>
      </w:tr>
    </w:tbl>
    <w:p>
      <w:pPr>
        <w:pStyle w:val="Heading1"/>
      </w:pPr>
      <w:r>
        <w:t>13. 不采用的方案与原因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V1 不采用原因</w:t>
            </w:r>
          </w:p>
        </w:tc>
        <w:tc>
          <w:tcPr>
            <w:tcW w:type="dxa" w:w="28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未来条件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微服务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部署、链路、调试和一致性复杂度远高于单机产品收益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远程节点/多租户/独立伸缩后再拆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Redis/Celery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durable jobs 足够；减少运维组件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任务吞吐或分布式并发成为瓶颈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RAGFlow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 深度集成需要 ingestion/retrieval 可控；避免部署额外平台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仅作为设计参考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Elasticsearch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已原生 BM25 + dense hybrid；首期无需双检索引擎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复杂全文分析/海量日志搜索时再评估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多个 Agent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Chat/Investigation 重复工具、Prompt、记忆和权限体系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坚持一个 Agent 多 mode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直接监测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成本、延迟、不可审计；检测应确定性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只调查和解释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自动修复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高风险；V1 产品价值先集中于诊断与指导</w:t>
            </w:r>
          </w:p>
        </w:tc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Action Tool + Human Approval 后加入</w:t>
            </w:r>
          </w:p>
        </w:tc>
      </w:tr>
    </w:tbl>
    <w:p>
      <w:pPr>
        <w:pStyle w:val="Heading1"/>
      </w:pPr>
      <w:r>
        <w:t>14. 架构决策记录（ADR）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7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40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124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模块化单体 + 多进程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降低首期复杂度并保留模块拆分边界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一个 OncallAgent 三种 Mode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共享 RAG/Tools/Memory，避免两套 Agent 漂移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ADR-003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LangGraph 仅作为 Agent Runtime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框架可替换，业务数据不绑定 Agent 框架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为业务事实源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会话/Incident/证据重启不丢；便于事务与审计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为可重建索引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降低索引损坏/模型升级带来的数据风险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ADR-006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Monitoring 规则检测，无 LLM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可审计、低成本、低延迟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ADR-007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只读 Tool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安全优先；自动修复延期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飞书 WebSocket 长连接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本机部署无需公网 webhook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ADR-009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本机多项目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从 AutoGEO 等本机应用起步；远程 Agent 后续加入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ADR-010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单用户但预留 user_id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控制产品复杂度同时保留扩展空间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Accepted</w:t>
            </w:r>
          </w:p>
        </w:tc>
      </w:tr>
    </w:tbl>
    <w:p>
      <w:pPr>
        <w:pStyle w:val="Heading1"/>
      </w:pPr>
      <w:r>
        <w:t>15. 版本策略与参考资料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本文档中的版本号是 2026-08-18 的工程基线，不将“永远最新”写死为架构要求。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Python/Node/数据库选择稳定支持线；框架使用兼容 major/minor；实际开发由 uv.lock 与前端 lockfile 固化 patch。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每月依赖升级通过 CI、Agent Eval、RAG retrieval regression 和重启恢复测试后合并。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Milvus 选择成熟 2.6.x 作为首期基线；新 major 待检索回归和迁移方案验证后升级。</w:t>
      </w:r>
    </w:p>
    <w:p>
      <w:pPr>
        <w:pStyle w:val="Heading1"/>
      </w:pPr>
      <w:r>
        <w:t>参考资料与版本核验来源</w:t>
      </w:r>
    </w:p>
    <w:p>
      <w:r>
        <w:rPr>
          <w:rFonts w:ascii="Arial" w:hAnsi="Arial" w:eastAsia="Noto Sans CJK SC"/>
          <w:color w:val="64748B"/>
          <w:sz w:val="18"/>
        </w:rPr>
        <w:t>以下技术事实于 2026-08-18 依据官方文档/官方仓库核验。架构不依赖具体 patch 版本；实现时以 lockfile 固化并通过 CI 验证。</w:t>
      </w:r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[R1] LangGraph Persistence — </w:t>
      </w:r>
      <w:hyperlink r:id="rId11">
        <w:r>
          <w:rPr>
            <w:color w:val="0563C1"/>
            <w:u w:val="single"/>
            <w:rFonts w:ascii="Arial" w:hAnsi="Arial" w:eastAsia="Noto Sans CJK SC"/>
          </w:rPr>
          <w:t>https://docs.langchain.com/oss/python/langgraph/persistence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[R2] LangGraph Checkpointers — </w:t>
      </w:r>
      <w:hyperlink r:id="rId12">
        <w:r>
          <w:rPr>
            <w:color w:val="0563C1"/>
            <w:u w:val="single"/>
            <w:rFonts w:ascii="Arial" w:hAnsi="Arial" w:eastAsia="Noto Sans CJK SC"/>
          </w:rPr>
          <w:t>https://docs.langchain.com/oss/python/langgraph/checkpointers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[R3] LangGraph Releases — </w:t>
      </w:r>
      <w:hyperlink r:id="rId13">
        <w:r>
          <w:rPr>
            <w:color w:val="0563C1"/>
            <w:u w:val="single"/>
            <w:rFonts w:ascii="Arial" w:hAnsi="Arial" w:eastAsia="Noto Sans CJK SC"/>
          </w:rPr>
          <w:t>https://github.com/langchain-ai/langgraph/releases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[R4] FastAPI Releases — </w:t>
      </w:r>
      <w:hyperlink r:id="rId14">
        <w:r>
          <w:rPr>
            <w:color w:val="0563C1"/>
            <w:u w:val="single"/>
            <w:rFonts w:ascii="Arial" w:hAnsi="Arial" w:eastAsia="Noto Sans CJK SC"/>
          </w:rPr>
          <w:t>https://github.com/fastapi/fastapi/releases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[R5] Docling Usage / Supported Formats — </w:t>
      </w:r>
      <w:hyperlink r:id="rId15">
        <w:r>
          <w:rPr>
            <w:color w:val="0563C1"/>
            <w:u w:val="single"/>
            <w:rFonts w:ascii="Arial" w:hAnsi="Arial" w:eastAsia="Noto Sans CJK SC"/>
          </w:rPr>
          <w:t>https://docling-project.github.io/docling/usage/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[R6] Docling Chunking — </w:t>
      </w:r>
      <w:hyperlink r:id="rId16">
        <w:r>
          <w:rPr>
            <w:color w:val="0563C1"/>
            <w:u w:val="single"/>
            <w:rFonts w:ascii="Arial" w:hAnsi="Arial" w:eastAsia="Noto Sans CJK SC"/>
          </w:rPr>
          <w:t>https://docling-project.github.io/docling/concepts/chunking/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[R7] Docling Source / Version — </w:t>
      </w:r>
      <w:hyperlink r:id="rId17">
        <w:r>
          <w:rPr>
            <w:color w:val="0563C1"/>
            <w:u w:val="single"/>
            <w:rFonts w:ascii="Arial" w:hAnsi="Arial" w:eastAsia="Noto Sans CJK SC"/>
          </w:rPr>
          <w:t>https://github.com/docling-project/docling/blob/main/pyproject.toml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[R8] Milvus Full Text Search (BM25) — </w:t>
      </w:r>
      <w:hyperlink r:id="rId18">
        <w:r>
          <w:rPr>
            <w:color w:val="0563C1"/>
            <w:u w:val="single"/>
            <w:rFonts w:ascii="Arial" w:hAnsi="Arial" w:eastAsia="Noto Sans CJK SC"/>
          </w:rPr>
          <w:t>https://milvus.io/docs/full-text-search.md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[R9] Milvus Multi-Vector Hybrid Search — </w:t>
      </w:r>
      <w:hyperlink r:id="rId19">
        <w:r>
          <w:rPr>
            <w:color w:val="0563C1"/>
            <w:u w:val="single"/>
            <w:rFonts w:ascii="Arial" w:hAnsi="Arial" w:eastAsia="Noto Sans CJK SC"/>
          </w:rPr>
          <w:t>https://milvus.io/docs/multi-vector-search.md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[R10] Feishu: 使用长连接接收事件 — </w:t>
      </w:r>
      <w:hyperlink r:id="rId20">
        <w:r>
          <w:rPr>
            <w:color w:val="0563C1"/>
            <w:u w:val="single"/>
            <w:rFonts w:ascii="Arial" w:hAnsi="Arial" w:eastAsia="Noto Sans CJK SC"/>
          </w:rPr>
          <w:t>https://open.feishu.cn/document/server-docs/event-subscription-guide/event-subscription-configure-/request-url-configuration-case?lang=zh-CN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[R11] Feishu Python SDK: Handle Events — </w:t>
      </w:r>
      <w:hyperlink r:id="rId21">
        <w:r>
          <w:rPr>
            <w:color w:val="0563C1"/>
            <w:u w:val="single"/>
            <w:rFonts w:ascii="Arial" w:hAnsi="Arial" w:eastAsia="Noto Sans CJK SC"/>
          </w:rPr>
          <w:t>https://open.feishu.cn/document/server-side-sdk/python--sdk/handle-events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[R12] PostgreSQL 18.6 Release Notes — </w:t>
      </w:r>
      <w:hyperlink r:id="rId22">
        <w:r>
          <w:rPr>
            <w:color w:val="0563C1"/>
            <w:u w:val="single"/>
            <w:rFonts w:ascii="Arial" w:hAnsi="Arial" w:eastAsia="Noto Sans CJK SC"/>
          </w:rPr>
          <w:t>https://www.postgresql.org/docs/release/18.6/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[R13] PostgreSQL Versioning Policy — </w:t>
      </w:r>
      <w:hyperlink r:id="rId23">
        <w:r>
          <w:rPr>
            <w:color w:val="0563C1"/>
            <w:u w:val="single"/>
            <w:rFonts w:ascii="Arial" w:hAnsi="Arial" w:eastAsia="Noto Sans CJK SC"/>
          </w:rPr>
          <w:t>https://www.postgresql.org/support/versioning/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[R14] OpenSRE Investigation Pipeline (reference design) — </w:t>
      </w:r>
      <w:hyperlink r:id="rId24">
        <w:r>
          <w:rPr>
            <w:color w:val="0563C1"/>
            <w:u w:val="single"/>
            <w:rFonts w:ascii="Arial" w:hAnsi="Arial" w:eastAsia="Noto Sans CJK SC"/>
          </w:rPr>
          <w:t>https://github.com/Tracer-Cloud/opensre/blob/main/docs/investigation-pipeline-architecture.md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748B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BD5E1"/>
      </w:pBdr>
    </w:pPr>
    <w:r>
      <w:rPr>
        <w:rFonts w:ascii="Arial" w:hAnsi="Arial" w:eastAsia="Noto Sans CJK SC"/>
        <w:color w:val="64748B"/>
        <w:sz w:val="16"/>
      </w:rPr>
      <w:t>Oncall AI SRE · 技术选型报告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95" w:lineRule="auto"/>
    </w:pPr>
    <w:rPr>
      <w:rFonts w:ascii="Noto Sans CJK SC" w:hAnsi="Noto Sans CJK SC" w:eastAsia="Noto Sans CJK S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69" w:lineRule="auto"/>
      <w:ind w:left="227" w:right="170"/>
    </w:pPr>
    <w:rPr>
      <w:rFonts w:ascii="Noto Sans Mono CJK SC" w:hAnsi="Noto Sans Mono CJK SC" w:eastAsia="Noto Sans Mono CJK SC"/>
      <w:color w:val="1E293B"/>
      <w:sz w:val="16"/>
    </w:rPr>
  </w:style>
  <w:style w:type="paragraph" w:customStyle="1" w:styleId="CaptionSmall">
    <w:name w:val="CaptionSmall"/>
    <w:rPr>
      <w:rFonts w:ascii="Noto Sans CJK SC" w:hAnsi="Noto Sans CJK SC" w:eastAsia="Noto Sans CJK SC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ocs.langchain.com/oss/python/langgraph/checkpointers" TargetMode="External"/><Relationship Id="rId13" Type="http://schemas.openxmlformats.org/officeDocument/2006/relationships/hyperlink" Target="https://github.com/langchain-ai/langgraph/releases" TargetMode="External"/><Relationship Id="rId14" Type="http://schemas.openxmlformats.org/officeDocument/2006/relationships/hyperlink" Target="https://github.com/fastapi/fastapi/releases" TargetMode="External"/><Relationship Id="rId15" Type="http://schemas.openxmlformats.org/officeDocument/2006/relationships/hyperlink" Target="https://docling-project.github.io/docling/usage/" TargetMode="External"/><Relationship Id="rId16" Type="http://schemas.openxmlformats.org/officeDocument/2006/relationships/hyperlink" Target="https://docling-project.github.io/docling/concepts/chunking/" TargetMode="External"/><Relationship Id="rId17" Type="http://schemas.openxmlformats.org/officeDocument/2006/relationships/hyperlink" Target="https://github.com/docling-project/docling/blob/main/pyproject.toml" TargetMode="External"/><Relationship Id="rId18" Type="http://schemas.openxmlformats.org/officeDocument/2006/relationships/hyperlink" Target="https://milvus.io/docs/full-text-search.md" TargetMode="External"/><Relationship Id="rId19" Type="http://schemas.openxmlformats.org/officeDocument/2006/relationships/hyperlink" Target="https://milvus.io/docs/multi-vector-search.md" TargetMode="External"/><Relationship Id="rId20" Type="http://schemas.openxmlformats.org/officeDocument/2006/relationships/hyperlink" Target="https://open.feishu.cn/document/server-docs/event-subscription-guide/event-subscription-configure-/request-url-configuration-case?lang=zh-CN" TargetMode="External"/><Relationship Id="rId21" Type="http://schemas.openxmlformats.org/officeDocument/2006/relationships/hyperlink" Target="https://open.feishu.cn/document/server-side-sdk/python--sdk/handle-events" TargetMode="External"/><Relationship Id="rId22" Type="http://schemas.openxmlformats.org/officeDocument/2006/relationships/hyperlink" Target="https://www.postgresql.org/docs/release/18.6/" TargetMode="External"/><Relationship Id="rId23" Type="http://schemas.openxmlformats.org/officeDocument/2006/relationships/hyperlink" Target="https://www.postgresql.org/support/versioning/" TargetMode="External"/><Relationship Id="rId24" Type="http://schemas.openxmlformats.org/officeDocument/2006/relationships/hyperlink" Target="https://github.com/Tracer-Cloud/opensre/blob/main/docs/investigation-pipeline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