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e034d5ff2a14f4fdbcbf43233df43350568879"/>
    <w:p>
      <w:pPr>
        <w:pStyle w:val="Heading2"/>
      </w:pPr>
      <w:r>
        <w:t xml:space="preserve">🜂 Our Universe Coherence — Тезисы по физике элементарных частиц</w:t>
      </w:r>
    </w:p>
    <w:p>
      <w:r>
        <w:pict>
          <v:rect style="width:0;height:1.5pt" o:hralign="center" o:hrstd="t" o:hr="t"/>
        </w:pict>
      </w:r>
    </w:p>
    <w:bookmarkStart w:id="20" w:name="общий-принцип"/>
    <w:p>
      <w:pPr>
        <w:pStyle w:val="Heading3"/>
      </w:pPr>
      <w:r>
        <w:t xml:space="preserve">1. Общий принцип</w:t>
      </w:r>
    </w:p>
    <w:p>
      <w:pPr>
        <w:pStyle w:val="FirstParagraph"/>
      </w:pPr>
      <w:r>
        <w:t xml:space="preserve">Все элементарные частицы являются устойчивыми топологическими узлами единого гиперполя когерентности:</w:t>
      </w:r>
      <w:r>
        <w:t xml:space="preserve"> </w:t>
      </w:r>
      <w:r>
        <w:t xml:space="preserve">[</w:t>
      </w:r>
      <w:r>
        <w:t xml:space="preserve"> </w:t>
      </w:r>
      <w:r>
        <w:t xml:space="preserve">(x,t)=C(x,t)e^{i</w:t>
      </w:r>
      <w:r>
        <w:t xml:space="preserve">(x,t)} ]</w:t>
      </w:r>
      <w:r>
        <w:t xml:space="preserve"> </w:t>
      </w:r>
      <w:r>
        <w:t xml:space="preserve">где (C) — локальная когерентность, (</w:t>
      </w:r>
      <w:r>
        <w:t xml:space="preserve">) — фаза внутреннего времени.</w:t>
      </w:r>
      <w:r>
        <w:br/>
      </w:r>
      <w:r>
        <w:rPr>
          <w:b/>
          <w:bCs/>
        </w:rPr>
        <w:t xml:space="preserve">[См. Our Universe Coherence — ядро, п. I–II]</w:t>
      </w:r>
    </w:p>
    <w:p>
      <w:r>
        <w:pict>
          <v:rect style="width:0;height:1.5pt" o:hralign="center" o:hrstd="t" o:hr="t"/>
        </w:pict>
      </w:r>
    </w:p>
    <w:bookmarkEnd w:id="20"/>
    <w:bookmarkStart w:id="21" w:name="X35e780d8327b72fd1fef7d267f5c2b38f780d6c"/>
    <w:p>
      <w:pPr>
        <w:pStyle w:val="Heading3"/>
      </w:pPr>
      <w:r>
        <w:t xml:space="preserve">2. Наслоение полей и многослойная структура частиц</w:t>
      </w:r>
    </w:p>
    <w:p>
      <w:pPr>
        <w:pStyle w:val="FirstParagraph"/>
      </w:pPr>
      <w:r>
        <w:t xml:space="preserve">Каждая частица — совокупность нескольких когерентных слоёв (</w:t>
      </w:r>
      <w:r>
        <w:t xml:space="preserve">), взаимодействующих через межслойные связи (J_{</w:t>
      </w:r>
      <w:r>
        <w:t xml:space="preserve">}) и фазовые корреляции. Это наслоение формирует её топологический тип и внутренние квантовые числа.</w:t>
      </w:r>
      <w:r>
        <w:br/>
      </w:r>
      <w:r>
        <w:rPr>
          <w:b/>
          <w:bCs/>
        </w:rPr>
        <w:t xml:space="preserve">[См. Углублённый формализм ядра, раздел II–III]</w:t>
      </w:r>
    </w:p>
    <w:p>
      <w:r>
        <w:pict>
          <v:rect style="width:0;height:1.5pt" o:hralign="center" o:hrstd="t" o:hr="t"/>
        </w:pict>
      </w:r>
    </w:p>
    <w:bookmarkEnd w:id="21"/>
    <w:bookmarkStart w:id="22" w:name="энергетический-функционал-слоя"/>
    <w:p>
      <w:pPr>
        <w:pStyle w:val="Heading3"/>
      </w:pPr>
      <w:r>
        <w:t xml:space="preserve">3. Энергетический функционал слоя</w:t>
      </w:r>
    </w:p>
    <w:p>
      <w:pPr>
        <w:pStyle w:val="FirstParagraph"/>
      </w:pPr>
      <w:r>
        <w:t xml:space="preserve">[</w:t>
      </w:r>
      <w:r>
        <w:t xml:space="preserve"> </w:t>
      </w:r>
      <w:r>
        <w:rPr>
          <w:i/>
          <w:iCs/>
        </w:rPr>
        <w:t xml:space="preserve">= V</w:t>
      </w:r>
      <w:r>
        <w:t xml:space="preserve">(C) +</w:t>
      </w:r>
      <w:r>
        <w:t xml:space="preserve"> </w:t>
      </w:r>
      <w:r>
        <w:t xml:space="preserve">|</w:t>
      </w:r>
      <w:r>
        <w:t xml:space="preserve">C|^2 +</w:t>
      </w:r>
      <w:r>
        <w:t xml:space="preserve"> </w:t>
      </w:r>
      <w:r>
        <w:t xml:space="preserve">C|</w:t>
      </w:r>
      <w:r>
        <w:t xml:space="preserve">|^2 -</w:t>
      </w:r>
      <w:r>
        <w:t xml:space="preserve"> </w:t>
      </w:r>
      <w:r>
        <w:t xml:space="preserve">_</w:t>
      </w:r>
      <w:r>
        <w:t xml:space="preserve">E(1-C) ]</w:t>
      </w:r>
      <w:r>
        <w:t xml:space="preserve"> </w:t>
      </w:r>
      <w:r>
        <w:t xml:space="preserve">Определяет внутреннюю энергию слоя и отклик на внешние поля.</w:t>
      </w:r>
      <w:r>
        <w:br/>
      </w:r>
      <w:r>
        <w:rPr>
          <w:b/>
          <w:bCs/>
        </w:rPr>
        <w:t xml:space="preserve">[См. ядро, п. III и V; уточнение — данный чат §2–4]</w:t>
      </w:r>
    </w:p>
    <w:p>
      <w:r>
        <w:pict>
          <v:rect style="width:0;height:1.5pt" o:hralign="center" o:hrstd="t" o:hr="t"/>
        </w:pict>
      </w:r>
    </w:p>
    <w:bookmarkEnd w:id="22"/>
    <w:bookmarkStart w:id="23" w:name="потенциал-когерентности-v_c"/>
    <w:p>
      <w:pPr>
        <w:pStyle w:val="Heading3"/>
      </w:pPr>
      <w:r>
        <w:t xml:space="preserve">4. Потенциал когерентности (V_</w:t>
      </w:r>
      <w:r>
        <w:t xml:space="preserve">(C))</w:t>
      </w:r>
    </w:p>
    <w:p>
      <w:pPr>
        <w:pStyle w:val="FirstParagraph"/>
      </w:pPr>
      <w:r>
        <w:t xml:space="preserve">Двугорбая форма:</w:t>
      </w:r>
      <w:r>
        <w:t xml:space="preserve"> </w:t>
      </w:r>
      <w:r>
        <w:t xml:space="preserve">[ V_</w:t>
      </w:r>
      <w:r>
        <w:t xml:space="preserve">(C)=A_</w:t>
      </w:r>
      <w:r>
        <w:t xml:space="preserve">(C-1)</w:t>
      </w:r>
      <w:r>
        <w:rPr>
          <w:vertAlign w:val="superscript"/>
        </w:rPr>
        <w:t xml:space="preserve">2+B_</w:t>
      </w:r>
      <w:r>
        <w:rPr>
          <w:vertAlign w:val="superscript"/>
        </w:rPr>
        <w:t xml:space="preserve">(C-C</w:t>
      </w:r>
      <w:r>
        <w:t xml:space="preserve">*_</w:t>
      </w:r>
      <w:r>
        <w:t xml:space="preserve">)</w:t>
      </w:r>
      <w:r>
        <w:rPr>
          <w:vertAlign w:val="superscript"/>
        </w:rPr>
        <w:t xml:space="preserve">2+D_</w:t>
      </w:r>
      <w:r>
        <w:rPr>
          <w:vertAlign w:val="superscript"/>
        </w:rPr>
        <w:t xml:space="preserve">(C-C</w:t>
      </w:r>
      <w:r>
        <w:t xml:space="preserve">*_</w:t>
      </w:r>
      <w:r>
        <w:t xml:space="preserve">)^4 ]</w:t>
      </w:r>
      <w:r>
        <w:t xml:space="preserve"> </w:t>
      </w:r>
      <w:r>
        <w:t xml:space="preserve">Создаёт два устойчивых состояния: фон ((C</w:t>
      </w:r>
      <w:r>
        <w:t xml:space="preserve">)) и локализованную декогерентность ((C</w:t>
      </w:r>
      <w:r>
        <w:t xml:space="preserve">C^*)).</w:t>
      </w:r>
      <w:r>
        <w:br/>
      </w:r>
      <w:r>
        <w:rPr>
          <w:b/>
          <w:bCs/>
        </w:rPr>
        <w:t xml:space="preserve">[Раздел данного чата §2; см. Our Universe Coherence — углублённый формализм ядра §III.1]</w:t>
      </w:r>
    </w:p>
    <w:p>
      <w:r>
        <w:pict>
          <v:rect style="width:0;height:1.5pt" o:hralign="center" o:hrstd="t" o:hr="t"/>
        </w:pict>
      </w:r>
    </w:p>
    <w:bookmarkEnd w:id="23"/>
    <w:bookmarkStart w:id="24" w:name="динамика-когерентности"/>
    <w:p>
      <w:pPr>
        <w:pStyle w:val="Heading3"/>
      </w:pPr>
      <w:r>
        <w:t xml:space="preserve">5. Динамика когерентности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 -</w:t>
      </w:r>
      <w:r>
        <w:t xml:space="preserve">(1-C) +</w:t>
      </w:r>
      <w:r>
        <w:t xml:space="preserve"> </w:t>
      </w:r>
      <w:r>
        <w:t xml:space="preserve">^2 C + 2</w:t>
      </w:r>
      <w:r>
        <w:t xml:space="preserve">F_</w:t>
      </w:r>
      <w:r>
        <w:t xml:space="preserve">(C,E) +</w:t>
      </w:r>
      <w:r>
        <w:t xml:space="preserve"> </w:t>
      </w:r>
      <w:r>
        <w:rPr>
          <w:i/>
          <w:iCs/>
        </w:rPr>
        <w:t xml:space="preserve">{j,</w:t>
      </w:r>
      <w:r>
        <w:rPr>
          <w:i/>
          <w:iCs/>
        </w:rPr>
        <w:t xml:space="preserve">}</w:t>
      </w:r>
      <w:r>
        <w:t xml:space="preserve">{</w:t>
      </w:r>
      <w:r>
        <w:t xml:space="preserve">}w_{ij}</w:t>
      </w:r>
      <w:r>
        <w:rPr>
          <w:vertAlign w:val="superscript"/>
        </w:rPr>
        <w:t xml:space="preserve">{(</w:t>
      </w:r>
      <w:r>
        <w:rPr>
          <w:vertAlign w:val="superscript"/>
        </w:rPr>
        <w:t xml:space="preserve">)}C_i</w:t>
      </w:r>
      <w:r>
        <w:t xml:space="preserve">{(</w:t>
      </w:r>
      <w:r>
        <w:t xml:space="preserve">)}C_j^{(</w:t>
      </w:r>
      <w:r>
        <w:t xml:space="preserve">)}</w:t>
      </w:r>
      <w:r>
        <w:t xml:space="preserve">(</w:t>
      </w:r>
      <w:r>
        <w:rPr>
          <w:i/>
          <w:iCs/>
        </w:rPr>
        <w:t xml:space="preserve">i</w:t>
      </w:r>
      <w:r>
        <w:rPr>
          <w:i/>
          <w:iCs/>
          <w:vertAlign w:val="superscript"/>
        </w:rPr>
        <w:t xml:space="preserve">{(</w:t>
      </w:r>
      <w:r>
        <w:rPr>
          <w:i/>
          <w:iCs/>
          <w:vertAlign w:val="superscript"/>
        </w:rPr>
        <w:t xml:space="preserve">)}-</w:t>
      </w:r>
      <w:r>
        <w:rPr>
          <w:i/>
          <w:i/>
          <w:iCs/>
          <w:iCs/>
          <w:vertAlign w:val="superscript"/>
        </w:rPr>
        <w:t xml:space="preserve">j^{(</w:t>
      </w:r>
      <w:r>
        <w:rPr>
          <w:i/>
          <w:i/>
          <w:iCs/>
          <w:iCs/>
          <w:vertAlign w:val="superscript"/>
        </w:rPr>
        <w:t xml:space="preserve">)}) +</w:t>
      </w:r>
      <w:r>
        <w:rPr>
          <w:i/>
          <w:i/>
          <w:iCs/>
          <w:iCs/>
          <w:vertAlign w:val="superscript"/>
        </w:rPr>
        <w:t xml:space="preserve"> </w:t>
      </w:r>
      <w:r>
        <w:rPr>
          <w:i/>
          <w:i/>
          <w:iCs/>
          <w:iCs/>
          <w:vertAlign w:val="superscript"/>
        </w:rPr>
        <w:t xml:space="preserve">]</w:t>
      </w:r>
      <w:r>
        <w:rPr>
          <w:i/>
          <w:i/>
          <w:iCs/>
          <w:iCs/>
          <w:vertAlign w:val="superscript"/>
        </w:rPr>
        <w:t xml:space="preserve"> </w:t>
      </w:r>
      <w:r>
        <w:rPr>
          <w:i/>
          <w:i/>
          <w:iCs/>
          <w:iCs/>
          <w:vertAlign w:val="superscript"/>
        </w:rPr>
        <w:t xml:space="preserve">где (F</w:t>
      </w:r>
      <w:r>
        <w:rPr>
          <w:i/>
          <w:iCs/>
          <w:vertAlign w:val="superscript"/>
        </w:rPr>
        <w:t xml:space="preserve">(C,E)=-V’</w:t>
      </w:r>
      <w:r>
        <w:rPr>
          <w:i/>
          <w:i/>
          <w:iCs/>
          <w:iCs/>
          <w:vertAlign w:val="superscript"/>
        </w:rPr>
        <w:t xml:space="preserve">(C)+</w:t>
      </w:r>
      <w:r>
        <w:rPr>
          <w:i/>
          <w:iCs/>
        </w:rPr>
        <w:t xml:space="preserve">2 C-</w:t>
      </w:r>
      <w:r>
        <w:rPr>
          <w:i/>
          <w:iCs/>
        </w:rPr>
        <w:t xml:space="preserve">|</w:t>
      </w:r>
      <w:r>
        <w:rPr>
          <w:i/>
          <w:iCs/>
        </w:rPr>
        <w:t xml:space="preserve">|^2+</w:t>
      </w:r>
      <w:r>
        <w:t xml:space="preserve">(E)).</w:t>
      </w:r>
      <w:r>
        <w:br/>
      </w:r>
      <w:r>
        <w:rPr>
          <w:b/>
          <w:bCs/>
        </w:rPr>
        <w:t xml:space="preserve">[См. ядро, п. VIII и этот чат §5]</w:t>
      </w:r>
    </w:p>
    <w:p>
      <w:r>
        <w:pict>
          <v:rect style="width:0;height:1.5pt" o:hralign="center" o:hrstd="t" o:hr="t"/>
        </w:pict>
      </w:r>
    </w:p>
    <w:bookmarkEnd w:id="24"/>
    <w:bookmarkStart w:id="25" w:name="фазовая-динамика"/>
    <w:p>
      <w:pPr>
        <w:pStyle w:val="Heading3"/>
      </w:pPr>
      <w:r>
        <w:t xml:space="preserve">6. Фазовая динамика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(C_i^{(</w:t>
      </w:r>
      <w:r>
        <w:rPr>
          <w:i/>
          <w:iCs/>
        </w:rPr>
        <w:t xml:space="preserve">)},E_i) +</w:t>
      </w:r>
      <w:r>
        <w:rPr>
          <w:i/>
          <w:iCs/>
        </w:rPr>
        <w:t xml:space="preserve"> </w:t>
      </w:r>
      <w:r>
        <w:t xml:space="preserve">{j,</w:t>
      </w:r>
      <w:r>
        <w:t xml:space="preserve">} K_{ij}^{(</w:t>
      </w:r>
      <w:r>
        <w:t xml:space="preserve">)}</w:t>
      </w:r>
      <w:r>
        <w:t xml:space="preserve">(</w:t>
      </w:r>
      <w:r>
        <w:t xml:space="preserve">_j</w:t>
      </w:r>
      <w:r>
        <w:rPr>
          <w:vertAlign w:val="superscript"/>
        </w:rPr>
        <w:t xml:space="preserve">{(</w:t>
      </w:r>
      <w:r>
        <w:rPr>
          <w:vertAlign w:val="superscript"/>
        </w:rPr>
        <w:t xml:space="preserve">)}-</w:t>
      </w:r>
      <w:r>
        <w:rPr>
          <w:i/>
          <w:iCs/>
          <w:vertAlign w:val="superscript"/>
        </w:rPr>
        <w:t xml:space="preserve">i^{(</w:t>
      </w:r>
      <w:r>
        <w:rPr>
          <w:i/>
          <w:iCs/>
          <w:vertAlign w:val="superscript"/>
        </w:rPr>
        <w:t xml:space="preserve">)}) -</w:t>
      </w:r>
      <w:r>
        <w:rPr>
          <w:i/>
          <w:iCs/>
          <w:vertAlign w:val="superscript"/>
        </w:rPr>
        <w:t xml:space="preserve"> </w:t>
      </w:r>
      <w:r>
        <w:rPr>
          <w:vertAlign w:val="superscript"/>
        </w:rPr>
        <w:t xml:space="preserve">!</w:t>
      </w:r>
      <w:r>
        <w:rPr>
          <w:vertAlign w:val="superscript"/>
        </w:rPr>
        <w:t xml:space="preserve">!</w:t>
      </w:r>
      <w:r>
        <w:rPr>
          <w:vertAlign w:val="superscript"/>
        </w:rPr>
        <w:t xml:space="preserve">(C_i</w:t>
      </w:r>
      <w:r>
        <w:t xml:space="preserve">{(</w:t>
      </w:r>
      <w:r>
        <w:t xml:space="preserve">)}</w:t>
      </w:r>
      <w:r>
        <w:t xml:space="preserve">_i^{(</w:t>
      </w:r>
      <w:r>
        <w:t xml:space="preserve">)}</w:t>
      </w:r>
      <w:r>
        <w:t xml:space="preserve">) ]</w:t>
      </w:r>
      <w:r>
        <w:t xml:space="preserve"> </w:t>
      </w:r>
      <w:r>
        <w:rPr>
          <w:b/>
          <w:bCs/>
        </w:rPr>
        <w:t xml:space="preserve">[См. Our Universe Coherence — ядро, п. II; уточнение данного чата §3]</w:t>
      </w:r>
    </w:p>
    <w:p>
      <w:r>
        <w:pict>
          <v:rect style="width:0;height:1.5pt" o:hralign="center" o:hrstd="t" o:hr="t"/>
        </w:pict>
      </w:r>
    </w:p>
    <w:bookmarkEnd w:id="25"/>
    <w:bookmarkStart w:id="26" w:name="внутренняя-частота-_c"/>
    <w:p>
      <w:pPr>
        <w:pStyle w:val="Heading3"/>
      </w:pPr>
      <w:r>
        <w:t xml:space="preserve">7. Внутренняя частота (</w:t>
      </w:r>
      <w:r>
        <w:t xml:space="preserve">_</w:t>
      </w:r>
      <w:r>
        <w:t xml:space="preserve">(C))</w:t>
      </w:r>
    </w:p>
    <w:p>
      <w:pPr>
        <w:pStyle w:val="FirstParagraph"/>
      </w:pPr>
      <w:r>
        <w:t xml:space="preserve">[</w:t>
      </w:r>
      <w:r>
        <w:t xml:space="preserve"> </w:t>
      </w:r>
      <w:r>
        <w:rPr>
          <w:i/>
          <w:iCs/>
        </w:rPr>
        <w:t xml:space="preserve">(C)=</w:t>
      </w:r>
      <w:r>
        <w:t xml:space="preserve">{</w:t>
      </w:r>
      <w:r>
        <w:t xml:space="preserve">,0}+</w:t>
      </w:r>
      <w:r>
        <w:rPr>
          <w:i/>
          <w:iCs/>
        </w:rPr>
        <w:t xml:space="preserve">{</w:t>
      </w:r>
      <w:r>
        <w:rPr>
          <w:i/>
          <w:iCs/>
        </w:rPr>
        <w:t xml:space="preserve">,1}e^{-</w:t>
      </w:r>
      <w:r>
        <w:t xml:space="preserve">C} ]</w:t>
      </w:r>
      <w:r>
        <w:t xml:space="preserve"> </w:t>
      </w:r>
      <w:r>
        <w:t xml:space="preserve">При (C</w:t>
      </w:r>
      <w:r>
        <w:t xml:space="preserve">) система стабильна, при (C</w:t>
      </w:r>
      <w:r>
        <w:t xml:space="preserve">) — усиливаются внутренние колебания.</w:t>
      </w:r>
      <w:r>
        <w:br/>
      </w:r>
      <w:r>
        <w:rPr>
          <w:b/>
          <w:bCs/>
        </w:rPr>
        <w:t xml:space="preserve">[Новый формализм данного чата §3]</w:t>
      </w:r>
    </w:p>
    <w:p>
      <w:r>
        <w:pict>
          <v:rect style="width:0;height:1.5pt" o:hralign="center" o:hrstd="t" o:hr="t"/>
        </w:pict>
      </w:r>
    </w:p>
    <w:bookmarkEnd w:id="26"/>
    <w:bookmarkStart w:id="27" w:name="передача-энергии-_e"/>
    <w:p>
      <w:pPr>
        <w:pStyle w:val="Heading3"/>
      </w:pPr>
      <w:r>
        <w:t xml:space="preserve">8. Передача энергии (</w:t>
      </w:r>
      <w:r>
        <w:t xml:space="preserve">_</w:t>
      </w:r>
      <w:r>
        <w:t xml:space="preserve">(E))</w:t>
      </w:r>
    </w:p>
    <w:p>
      <w:pPr>
        <w:pStyle w:val="FirstParagraph"/>
      </w:pPr>
      <w:r>
        <w:t xml:space="preserve">[</w:t>
      </w:r>
      <w:r>
        <w:t xml:space="preserve"> </w:t>
      </w:r>
      <w:r>
        <w:rPr>
          <w:i/>
          <w:iCs/>
        </w:rPr>
        <w:t xml:space="preserve">(E)=</w:t>
      </w:r>
      <w:r>
        <w:t xml:space="preserve">{</w:t>
      </w:r>
      <w:r>
        <w:t xml:space="preserve">,0}</w:t>
      </w:r>
      <w:r>
        <w:t xml:space="preserve">!</w:t>
      </w:r>
      <w:r>
        <w:t xml:space="preserve">(</w:t>
      </w:r>
      <w:r>
        <w:t xml:space="preserve">) ]</w:t>
      </w:r>
      <w:r>
        <w:t xml:space="preserve"> </w:t>
      </w:r>
      <w:r>
        <w:t xml:space="preserve">Определяет, как энергия среды усиливает или ослабляет декогеренцию.</w:t>
      </w:r>
      <w:r>
        <w:br/>
      </w:r>
      <w:r>
        <w:rPr>
          <w:b/>
          <w:bCs/>
        </w:rPr>
        <w:t xml:space="preserve">[Данный чат §4]</w:t>
      </w:r>
    </w:p>
    <w:p>
      <w:r>
        <w:pict>
          <v:rect style="width:0;height:1.5pt" o:hralign="center" o:hrstd="t" o:hr="t"/>
        </w:pict>
      </w:r>
    </w:p>
    <w:bookmarkEnd w:id="27"/>
    <w:bookmarkStart w:id="28" w:name="масса-и-устойчивость"/>
    <w:p>
      <w:pPr>
        <w:pStyle w:val="Heading3"/>
      </w:pPr>
      <w:r>
        <w:t xml:space="preserve">9. Масса и устойчивость</w:t>
      </w:r>
    </w:p>
    <w:p>
      <w:pPr>
        <w:pStyle w:val="FirstParagraph"/>
      </w:pPr>
      <w:r>
        <w:t xml:space="preserve">[ m_</w:t>
      </w:r>
      <w:r>
        <w:t xml:space="preserve">.</w:t>
      </w:r>
      <w:r>
        <w:t xml:space="preserve">|_{C=C^*_</w:t>
      </w:r>
      <w:r>
        <w:t xml:space="preserve">} ]</w:t>
      </w:r>
      <w:r>
        <w:t xml:space="preserve"> </w:t>
      </w:r>
      <w:r>
        <w:t xml:space="preserve">Масса — следствие кривизны потенциала.</w:t>
      </w:r>
      <w:r>
        <w:br/>
      </w:r>
      <w:r>
        <w:rPr>
          <w:b/>
          <w:bCs/>
        </w:rPr>
        <w:t xml:space="preserve">[См. ядро, п. V и данный чат §5]</w:t>
      </w:r>
    </w:p>
    <w:p>
      <w:r>
        <w:pict>
          <v:rect style="width:0;height:1.5pt" o:hralign="center" o:hrstd="t" o:hr="t"/>
        </w:pict>
      </w:r>
    </w:p>
    <w:bookmarkEnd w:id="28"/>
    <w:bookmarkStart w:id="29" w:name="заряд-и-топология"/>
    <w:p>
      <w:pPr>
        <w:pStyle w:val="Heading3"/>
      </w:pPr>
      <w:r>
        <w:t xml:space="preserve">10. Заряд и топология</w:t>
      </w:r>
    </w:p>
    <w:p>
      <w:pPr>
        <w:pStyle w:val="FirstParagraph"/>
      </w:pPr>
      <w:r>
        <w:t xml:space="preserve">[ q =</w:t>
      </w:r>
      <w:r>
        <w:t xml:space="preserve"> </w:t>
      </w:r>
      <w:r>
        <w:t xml:space="preserve">d</w:t>
      </w:r>
      <w:r>
        <w:t xml:space="preserve">,</w:t>
      </w:r>
      <w:r>
        <w:t xml:space="preserve"> </w:t>
      </w:r>
      <w:r>
        <w:t xml:space="preserve">s</w:t>
      </w:r>
      <w:r>
        <w:t xml:space="preserve"> </w:t>
      </w:r>
      <w:r>
        <w:t xml:space="preserve">_{</w:t>
      </w:r>
      <w:r>
        <w:t xml:space="preserve">}[</w:t>
      </w:r>
      <w:r>
        <w:t xml:space="preserve">] ]</w:t>
      </w:r>
      <w:r>
        <w:t xml:space="preserve"> </w:t>
      </w:r>
      <w:r>
        <w:t xml:space="preserve">Фаза (</w:t>
      </w:r>
      <w:r>
        <w:t xml:space="preserve">) определяет квантовые числа.</w:t>
      </w:r>
      <w:r>
        <w:br/>
      </w:r>
      <w:r>
        <w:rPr>
          <w:b/>
          <w:bCs/>
        </w:rPr>
        <w:t xml:space="preserve">[Our Universe Coherence — углублённый формализм ядра §IV]</w:t>
      </w:r>
    </w:p>
    <w:p>
      <w:r>
        <w:pict>
          <v:rect style="width:0;height:1.5pt" o:hralign="center" o:hrstd="t" o:hr="t"/>
        </w:pict>
      </w:r>
    </w:p>
    <w:bookmarkEnd w:id="29"/>
    <w:bookmarkStart w:id="30" w:name="конфайнмент"/>
    <w:p>
      <w:pPr>
        <w:pStyle w:val="Heading3"/>
      </w:pPr>
      <w:r>
        <w:t xml:space="preserve">11. Конфайнмент</w:t>
      </w:r>
    </w:p>
    <w:p>
      <w:pPr>
        <w:pStyle w:val="FirstParagraph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t xml:space="preserve">n ]</w:t>
      </w:r>
      <w:r>
        <w:t xml:space="preserve"> </w:t>
      </w:r>
      <w:r>
        <w:t xml:space="preserve">Топологическое замыкание фаз делает отделение субузлов невозможным без разрушения структуры.</w:t>
      </w:r>
      <w:r>
        <w:br/>
      </w:r>
      <w:r>
        <w:rPr>
          <w:b/>
          <w:bCs/>
        </w:rPr>
        <w:t xml:space="preserve">[Our Universe Coherence — углублённый формализм ядра §IV.2]</w:t>
      </w:r>
    </w:p>
    <w:p>
      <w:r>
        <w:pict>
          <v:rect style="width:0;height:1.5pt" o:hralign="center" o:hrstd="t" o:hr="t"/>
        </w:pict>
      </w:r>
    </w:p>
    <w:bookmarkEnd w:id="30"/>
    <w:bookmarkStart w:id="31" w:name="поле-наблюдениясознания-две-гипотезы"/>
    <w:p>
      <w:pPr>
        <w:pStyle w:val="Heading3"/>
      </w:pPr>
      <w:r>
        <w:t xml:space="preserve">12. Поле наблюдения/сознания (две гипотезы)</w:t>
      </w:r>
    </w:p>
    <w:p>
      <w:pPr>
        <w:pStyle w:val="FirstParagraph"/>
      </w:pPr>
      <w:r>
        <w:rPr>
          <w:b/>
          <w:bCs/>
        </w:rPr>
        <w:t xml:space="preserve">A — физико-наблюдательная:</w:t>
      </w:r>
      <w:r>
        <w:t xml:space="preserve"> </w:t>
      </w:r>
      <w:r>
        <w:t xml:space="preserve">(D_{obs}=D+</w:t>
      </w:r>
      <w:r>
        <w:t xml:space="preserve">S_o(x,t))</w:t>
      </w:r>
      <w:r>
        <w:br/>
      </w:r>
      <w:r>
        <w:rPr>
          <w:b/>
          <w:bCs/>
        </w:rPr>
        <w:t xml:space="preserve">B — мета-когнитивная:</w:t>
      </w:r>
      <w:r>
        <w:t xml:space="preserve"> </w:t>
      </w:r>
      <w:r>
        <w:t xml:space="preserve">(D_{obs}=D+</w:t>
      </w:r>
      <w:r>
        <w:t xml:space="preserve">S_c(x,t))</w:t>
      </w:r>
      <w:r>
        <w:br/>
      </w:r>
      <w:r>
        <w:t xml:space="preserve">Обе гипотезы сохраняются до экспериментального различения.</w:t>
      </w:r>
      <w:r>
        <w:br/>
      </w:r>
      <w:r>
        <w:rPr>
          <w:b/>
          <w:bCs/>
        </w:rPr>
        <w:t xml:space="preserve">[Our Universe Coherence — ядро, п. VI (уточнённый в этом чате)]</w:t>
      </w:r>
    </w:p>
    <w:p>
      <w:r>
        <w:pict>
          <v:rect style="width:0;height:1.5pt" o:hralign="center" o:hrstd="t" o:hr="t"/>
        </w:pict>
      </w:r>
    </w:p>
    <w:bookmarkEnd w:id="31"/>
    <w:bookmarkStart w:id="32" w:name="симуляционный-принцип"/>
    <w:p>
      <w:pPr>
        <w:pStyle w:val="Heading3"/>
      </w:pPr>
      <w:r>
        <w:t xml:space="preserve">13. Симуляционный принцип</w:t>
      </w:r>
    </w:p>
    <w:p>
      <w:pPr>
        <w:pStyle w:val="FirstParagraph"/>
      </w:pPr>
      <w:r>
        <w:t xml:space="preserve">Частицы проявляются как устойчивые понижения (C(x,t)), стабилизированные фазовыми связями (</w:t>
      </w:r>
      <w:r>
        <w:t xml:space="preserve">). Энергия их формирования соответствует потенциальной массе.</w:t>
      </w:r>
      <w:r>
        <w:br/>
      </w:r>
      <w:r>
        <w:rPr>
          <w:b/>
          <w:bCs/>
        </w:rPr>
        <w:t xml:space="preserve">[Our Universe Coherence — углублённый формализм ядра §VII; данный чат §7–10]</w:t>
      </w:r>
    </w:p>
    <w:p>
      <w:r>
        <w:pict>
          <v:rect style="width:0;height:1.5pt" o:hralign="center" o:hrstd="t" o:hr="t"/>
        </w:pict>
      </w:r>
    </w:p>
    <w:bookmarkEnd w:id="32"/>
    <w:bookmarkStart w:id="33" w:name="соответствие-с-наблюдаемыми-данными"/>
    <w:p>
      <w:pPr>
        <w:pStyle w:val="Heading3"/>
      </w:pPr>
      <w:r>
        <w:t xml:space="preserve">14. Соответствие с наблюдаемыми данными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Явление</w:t>
            </w:r>
          </w:p>
        </w:tc>
        <w:tc>
          <w:tcPr/>
          <w:p>
            <w:pPr>
              <w:pStyle w:val="Compact"/>
            </w:pPr>
            <w:r>
              <w:t xml:space="preserve">Интерпретация в модели</w:t>
            </w:r>
          </w:p>
        </w:tc>
        <w:tc>
          <w:tcPr/>
          <w:p>
            <w:pPr>
              <w:pStyle w:val="Compact"/>
            </w:pPr>
            <w:r>
              <w:t xml:space="preserve">Соответствие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Электрон</w:t>
            </w:r>
          </w:p>
        </w:tc>
        <w:tc>
          <w:tcPr/>
          <w:p>
            <w:pPr>
              <w:pStyle w:val="Compact"/>
            </w:pPr>
            <w:r>
              <w:t xml:space="preserve">одиночный минимум (C^*)</w:t>
            </w:r>
          </w:p>
        </w:tc>
        <w:tc>
          <w:tcPr/>
          <w:p>
            <w:pPr>
              <w:pStyle w:val="Compact"/>
            </w:pPr>
            <w:r>
              <w:t xml:space="preserve">частичное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Протон</w:t>
            </w:r>
          </w:p>
        </w:tc>
        <w:tc>
          <w:tcPr/>
          <w:p>
            <w:pPr>
              <w:pStyle w:val="Compact"/>
            </w:pPr>
            <w:r>
              <w:t xml:space="preserve">трёхузловой цикл (</w:t>
            </w:r>
            <w:r>
              <w:t xml:space="preserve">n)</w:t>
            </w:r>
          </w:p>
        </w:tc>
        <w:tc>
          <w:tcPr/>
          <w:p>
            <w:pPr>
              <w:pStyle w:val="Compact"/>
            </w:pPr>
            <w:r>
              <w:t xml:space="preserve">качественно сходится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Заряд</w:t>
            </w:r>
          </w:p>
        </w:tc>
        <w:tc>
          <w:tcPr/>
          <w:p>
            <w:pPr>
              <w:pStyle w:val="Compact"/>
            </w:pPr>
            <w:r>
              <w:t xml:space="preserve">индекс фазового витка</w:t>
            </w:r>
          </w:p>
        </w:tc>
        <w:tc>
          <w:tcPr/>
          <w:p>
            <w:pPr>
              <w:pStyle w:val="Compact"/>
            </w:pPr>
            <w:r>
              <w:t xml:space="preserve">сходится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Спин</w:t>
            </w:r>
          </w:p>
        </w:tc>
        <w:tc>
          <w:tcPr/>
          <w:p>
            <w:pPr>
              <w:pStyle w:val="Compact"/>
            </w:pPr>
            <w:r>
              <w:t xml:space="preserve">топология поля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качественно воспроизводит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Гравитация</w:t>
            </w:r>
          </w:p>
        </w:tc>
        <w:tc>
          <w:tcPr/>
          <w:p>
            <w:pPr>
              <w:pStyle w:val="Compact"/>
            </w:pPr>
            <w:r>
              <w:t xml:space="preserve">градиент глобальной когерентности</w:t>
            </w:r>
          </w:p>
        </w:tc>
        <w:tc>
          <w:tcPr/>
          <w:p>
            <w:pPr>
              <w:pStyle w:val="Compact"/>
            </w:pPr>
            <w:r>
              <w:t xml:space="preserve">согласуется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Декогеренция наблюдения</w:t>
            </w:r>
          </w:p>
        </w:tc>
        <w:tc>
          <w:tcPr/>
          <w:p>
            <w:pPr>
              <w:pStyle w:val="Compact"/>
            </w:pPr>
            <w:r>
              <w:t xml:space="preserve">гипотезы A/B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открытые-задачи"/>
    <w:p>
      <w:pPr>
        <w:pStyle w:val="Heading3"/>
      </w:pPr>
      <w:r>
        <w:t xml:space="preserve">15. Открытые задачи</w:t>
      </w:r>
    </w:p>
    <w:p>
      <w:pPr>
        <w:pStyle w:val="Compact"/>
        <w:numPr>
          <w:ilvl w:val="0"/>
          <w:numId w:val="1001"/>
        </w:numPr>
      </w:pPr>
      <w:r>
        <w:t xml:space="preserve">Проверка устойчивости топологических решений.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Подгонка масс (m_e, m_p).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Моделирование многослойных взаимодействий.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Проверка различия гипотез наблюдения A/B.</w:t>
      </w:r>
      <w:r>
        <w:br/>
      </w:r>
      <w:r>
        <w:rPr>
          <w:b/>
          <w:bCs/>
        </w:rPr>
        <w:t xml:space="preserve">[см. ядро, п. IX–X]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2025-10-13T17:19:20Z</dcterms:created>
  <dcterms:modified xsi:type="dcterms:W3CDTF">2025-10-13T17:19:20Z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