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80A19">
      <w:pPr>
        <w:spacing w:after="240"/>
        <w:jc w:val="center"/>
      </w:pPr>
      <w:r>
        <w:rPr>
          <w:rFonts w:ascii="Calibri" w:hAnsi="Calibri"/>
          <w:b/>
          <w:i w:val="0"/>
          <w:sz w:val="32"/>
        </w:rPr>
        <w:t>XSS Vulnerability Fix Report:</w:t>
      </w:r>
      <w:r>
        <w:rPr>
          <w:rFonts w:ascii="Calibri" w:hAnsi="Calibri"/>
          <w:b/>
          <w:i w:val="0"/>
          <w:sz w:val="32"/>
        </w:rPr>
        <w:br w:type="textWrapping"/>
      </w:r>
      <w:r>
        <w:rPr>
          <w:rFonts w:ascii="Calibri" w:hAnsi="Calibri"/>
          <w:b/>
          <w:i w:val="0"/>
          <w:sz w:val="32"/>
        </w:rPr>
        <w:t>HTML Escaping in Advanced Finance Tracker</w:t>
      </w:r>
    </w:p>
    <w:p w14:paraId="198CCC91">
      <w:pPr>
        <w:spacing w:before="360" w:after="160"/>
      </w:pPr>
      <w:r>
        <w:rPr>
          <w:rFonts w:ascii="Calibri" w:hAnsi="Calibri"/>
          <w:b/>
          <w:i w:val="0"/>
          <w:sz w:val="28"/>
        </w:rPr>
        <w:t>Section 2: Deficiency Analysis</w:t>
      </w:r>
    </w:p>
    <w:p w14:paraId="752940AC">
      <w:pPr>
        <w:spacing w:before="240" w:after="120"/>
      </w:pPr>
      <w:r>
        <w:rPr>
          <w:rFonts w:ascii="Calibri" w:hAnsi="Calibri"/>
          <w:b/>
          <w:i w:val="0"/>
          <w:sz w:val="24"/>
        </w:rPr>
        <w:t>2.1 Detection</w:t>
      </w:r>
    </w:p>
    <w:p w14:paraId="4959683D">
      <w:r>
        <w:rPr>
          <w:rFonts w:ascii="Calibri" w:hAnsi="Calibri"/>
          <w:b w:val="0"/>
          <w:i w:val="0"/>
          <w:sz w:val="24"/>
        </w:rPr>
        <w:t>The XSS vulnerability was identified through manual code review. The renderTransactionItem function in main.js (line 467) constructs HTML via template literals that interpolate user-supplied data — tx.title and tx.category — directly into the DOM through innerHTML. An attacker can inject &lt;img src=x onerror="alert('XSS')"&gt; as a transaction title. When rendered, the browser parses the &lt;img&gt; tag and executes the onerror handler — a classic Stored XSS attack. No sanitization was present at any rendering point.</w:t>
      </w:r>
    </w:p>
    <w:p w14:paraId="04DDF6CA">
      <w:pPr>
        <w:spacing w:before="240" w:after="120"/>
      </w:pPr>
      <w:r>
        <w:rPr>
          <w:rFonts w:ascii="Calibri" w:hAnsi="Calibri"/>
          <w:b/>
          <w:i w:val="0"/>
          <w:sz w:val="24"/>
        </w:rPr>
        <w:t>2.2 Literature</w:t>
      </w:r>
    </w:p>
    <w:p w14:paraId="76719454">
      <w:r>
        <w:rPr>
          <w:rFonts w:ascii="Calibri" w:hAnsi="Calibri"/>
          <w:b w:val="0"/>
          <w:i w:val="0"/>
          <w:sz w:val="24"/>
        </w:rPr>
        <w:t>Two sources guided the remediation. Tang et al. [1] identify XSS root cause as the browser’s inability to distinguish legitimate code from injected code. Their paper demonstrates (Section III-B, Fig. 4–5) that replacing innerHTML with textContent — or equivalently, escaping HTML entities before DOM insertion — prevents the browser from parsing special symbols in tags, neutralizing malicious code. This is illustrated through MISP vulnerability CVE-2023-24027, where the fix replaced innerHTML with textContent on line 165 of action_table.js. Cloudflare’s XSS prevention documentation [2] reinforces this, emphasizing that character escaping — converting &lt;, &gt;, &amp;, ", and ' to HTML entities — is a foundational defense. Both sources agree: treat all user data as untrusted text, not executable code.</w:t>
      </w:r>
    </w:p>
    <w:p w14:paraId="494A9739">
      <w:pPr>
        <w:spacing w:before="240" w:after="120"/>
      </w:pPr>
      <w:r>
        <w:rPr>
          <w:rFonts w:ascii="Calibri" w:hAnsi="Calibri"/>
          <w:b/>
          <w:i w:val="0"/>
          <w:sz w:val="24"/>
        </w:rPr>
        <w:t>2.3 Implementation</w:t>
      </w:r>
    </w:p>
    <w:p w14:paraId="57443109">
      <w:r>
        <w:rPr>
          <w:rFonts w:ascii="Calibri" w:hAnsi="Calibri"/>
          <w:b w:val="0"/>
          <w:i w:val="0"/>
          <w:sz w:val="24"/>
        </w:rPr>
        <w:t>Guided by the literature, the fix introduces an escapeHtml function that sanitizes user data at render time:</w:t>
      </w:r>
    </w:p>
    <w:p w14:paraId="3D4535D7">
      <w:pPr>
        <w:spacing w:before="80" w:after="80"/>
        <w:ind w:left="432"/>
      </w:pPr>
      <w:r>
        <w:rPr>
          <w:rFonts w:ascii="Consolas" w:hAnsi="Consolas"/>
          <w:b w:val="0"/>
          <w:i w:val="0"/>
          <w:sz w:val="20"/>
          <w:shd w:val="clear" w:color="auto" w:fill="F2F2F2"/>
        </w:rPr>
        <w:t>const escapeHtml = (str) =&gt;</w:t>
      </w:r>
      <w:r>
        <w:rPr>
          <w:rFonts w:ascii="Consolas" w:hAnsi="Consolas"/>
          <w:b w:val="0"/>
          <w:i w:val="0"/>
          <w:sz w:val="20"/>
          <w:shd w:val="clear" w:color="auto" w:fill="F2F2F2"/>
        </w:rPr>
        <w:br w:type="textWrapping"/>
      </w:r>
      <w:r>
        <w:rPr>
          <w:rFonts w:ascii="Consolas" w:hAnsi="Consolas"/>
          <w:b w:val="0"/>
          <w:i w:val="0"/>
          <w:sz w:val="20"/>
          <w:shd w:val="clear" w:color="auto" w:fill="F2F2F2"/>
        </w:rPr>
        <w:t xml:space="preserve">  String(str)</w:t>
      </w:r>
      <w:r>
        <w:rPr>
          <w:rFonts w:ascii="Consolas" w:hAnsi="Consolas"/>
          <w:b w:val="0"/>
          <w:i w:val="0"/>
          <w:sz w:val="20"/>
          <w:shd w:val="clear" w:color="auto" w:fill="F2F2F2"/>
        </w:rPr>
        <w:br w:type="textWrapping"/>
      </w:r>
      <w:r>
        <w:rPr>
          <w:rFonts w:ascii="Consolas" w:hAnsi="Consolas"/>
          <w:b w:val="0"/>
          <w:i w:val="0"/>
          <w:sz w:val="20"/>
          <w:shd w:val="clear" w:color="auto" w:fill="F2F2F2"/>
        </w:rPr>
        <w:t xml:space="preserve">    .replace(/&amp;/g, "&amp;")</w:t>
      </w:r>
      <w:r>
        <w:rPr>
          <w:rFonts w:ascii="Consolas" w:hAnsi="Consolas"/>
          <w:b w:val="0"/>
          <w:i w:val="0"/>
          <w:sz w:val="20"/>
          <w:shd w:val="clear" w:color="auto" w:fill="F2F2F2"/>
        </w:rPr>
        <w:br w:type="textWrapping"/>
      </w:r>
      <w:r>
        <w:rPr>
          <w:rFonts w:ascii="Consolas" w:hAnsi="Consolas"/>
          <w:b w:val="0"/>
          <w:i w:val="0"/>
          <w:sz w:val="20"/>
          <w:shd w:val="clear" w:color="auto" w:fill="F2F2F2"/>
        </w:rPr>
        <w:t xml:space="preserve">    .replace(/&lt;/g, "&lt;")</w:t>
      </w:r>
      <w:r>
        <w:rPr>
          <w:rFonts w:ascii="Consolas" w:hAnsi="Consolas"/>
          <w:b w:val="0"/>
          <w:i w:val="0"/>
          <w:sz w:val="20"/>
          <w:shd w:val="clear" w:color="auto" w:fill="F2F2F2"/>
        </w:rPr>
        <w:br w:type="textWrapping"/>
      </w:r>
      <w:r>
        <w:rPr>
          <w:rFonts w:ascii="Consolas" w:hAnsi="Consolas"/>
          <w:b w:val="0"/>
          <w:i w:val="0"/>
          <w:sz w:val="20"/>
          <w:shd w:val="clear" w:color="auto" w:fill="F2F2F2"/>
        </w:rPr>
        <w:t xml:space="preserve">    .replace(/&gt;/g, "&gt;")</w:t>
      </w:r>
      <w:r>
        <w:rPr>
          <w:rFonts w:ascii="Consolas" w:hAnsi="Consolas"/>
          <w:b w:val="0"/>
          <w:i w:val="0"/>
          <w:sz w:val="20"/>
          <w:shd w:val="clear" w:color="auto" w:fill="F2F2F2"/>
        </w:rPr>
        <w:br w:type="textWrapping"/>
      </w:r>
      <w:r>
        <w:rPr>
          <w:rFonts w:ascii="Consolas" w:hAnsi="Consolas"/>
          <w:b w:val="0"/>
          <w:i w:val="0"/>
          <w:sz w:val="20"/>
          <w:shd w:val="clear" w:color="auto" w:fill="F2F2F2"/>
        </w:rPr>
        <w:t xml:space="preserve">    .replace(/"/g, """)</w:t>
      </w:r>
      <w:r>
        <w:rPr>
          <w:rFonts w:ascii="Consolas" w:hAnsi="Consolas"/>
          <w:b w:val="0"/>
          <w:i w:val="0"/>
          <w:sz w:val="20"/>
          <w:shd w:val="clear" w:color="auto" w:fill="F2F2F2"/>
        </w:rPr>
        <w:br w:type="textWrapping"/>
      </w:r>
      <w:r>
        <w:rPr>
          <w:rFonts w:ascii="Consolas" w:hAnsi="Consolas"/>
          <w:b w:val="0"/>
          <w:i w:val="0"/>
          <w:sz w:val="20"/>
          <w:shd w:val="clear" w:color="auto" w:fill="F2F2F2"/>
        </w:rPr>
        <w:t xml:space="preserve">    .replace(/'/g, "&amp;#039;");</w:t>
      </w:r>
    </w:p>
    <w:p w14:paraId="704DC654">
      <w:r>
        <w:rPr>
          <w:rFonts w:ascii="Calibri" w:hAnsi="Calibri"/>
          <w:b w:val="0"/>
          <w:i w:val="0"/>
          <w:sz w:val="24"/>
        </w:rPr>
        <w:t>The function is applied at every DOM insertion point. In renderTransactionItem, the title and category are wrapped: const safeTitle = escapeHtml(tx.title). Month-group labels in renderTransactions are similarly sanitized. The fix exists in both main.js (lines 8–14) and utils.js (lines 4–10).</w:t>
      </w:r>
    </w:p>
    <w:p w14:paraId="279D1AB2">
      <w:pPr>
        <w:spacing w:before="160"/>
      </w:pPr>
      <w:r>
        <w:rPr>
          <w:rFonts w:ascii="Calibri" w:hAnsi="Calibri"/>
          <w:b/>
          <w:i w:val="0"/>
          <w:sz w:val="24"/>
        </w:rPr>
        <w:t>Before vs. After code comparison: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992"/>
      </w:tblGrid>
      <w:tr w14:paraId="1E44E7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31A4D55">
            <w:r>
              <w:rPr>
                <w:rFonts w:ascii="Calibri" w:hAnsi="Calibri"/>
                <w:b/>
                <w:i w:val="0"/>
                <w:sz w:val="22"/>
              </w:rPr>
              <w:t>Aspect</w:t>
            </w:r>
          </w:p>
        </w:tc>
        <w:tc>
          <w:tcPr>
            <w:tcW w:w="2880" w:type="dxa"/>
          </w:tcPr>
          <w:p w14:paraId="522143AE">
            <w:r>
              <w:rPr>
                <w:rFonts w:ascii="Calibri" w:hAnsi="Calibri"/>
                <w:b/>
                <w:i w:val="0"/>
                <w:sz w:val="22"/>
              </w:rPr>
              <w:t>Before (Vulnerable)</w:t>
            </w:r>
          </w:p>
        </w:tc>
        <w:tc>
          <w:tcPr>
            <w:tcW w:w="2880" w:type="dxa"/>
          </w:tcPr>
          <w:p w14:paraId="0EFD1427">
            <w:r>
              <w:rPr>
                <w:rFonts w:ascii="Calibri" w:hAnsi="Calibri"/>
                <w:b/>
                <w:i w:val="0"/>
                <w:sz w:val="22"/>
              </w:rPr>
              <w:t>After (Protected)</w:t>
            </w:r>
          </w:p>
        </w:tc>
      </w:tr>
      <w:tr w14:paraId="4A24EF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84C945">
            <w:r>
              <w:rPr>
                <w:rFonts w:ascii="Calibri" w:hAnsi="Calibri"/>
                <w:b w:val="0"/>
                <w:i w:val="0"/>
                <w:sz w:val="22"/>
              </w:rPr>
              <w:t>Rendering</w:t>
            </w:r>
          </w:p>
        </w:tc>
        <w:tc>
          <w:tcPr>
            <w:tcW w:w="2880" w:type="dxa"/>
          </w:tcPr>
          <w:p w14:paraId="058AFFAC">
            <w:r>
              <w:rPr>
                <w:rFonts w:ascii="Calibri" w:hAnsi="Calibri"/>
                <w:b w:val="0"/>
                <w:i w:val="0"/>
                <w:sz w:val="22"/>
              </w:rPr>
              <w:t>&lt;p&gt;${tx.title}&lt;/p&gt;</w:t>
            </w:r>
          </w:p>
        </w:tc>
        <w:tc>
          <w:tcPr>
            <w:tcW w:w="2880" w:type="dxa"/>
          </w:tcPr>
          <w:p w14:paraId="38A9AEE5">
            <w:r>
              <w:rPr>
                <w:rFonts w:ascii="Calibri" w:hAnsi="Calibri"/>
                <w:b w:val="0"/>
                <w:i w:val="0"/>
                <w:sz w:val="22"/>
              </w:rPr>
              <w:t>&lt;p&gt;${escapeHtml(tx.title)}&lt;/p&gt;</w:t>
            </w:r>
          </w:p>
        </w:tc>
      </w:tr>
      <w:tr w14:paraId="1FDCD8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3B4FD4">
            <w:r>
              <w:rPr>
                <w:rFonts w:ascii="Calibri" w:hAnsi="Calibri"/>
                <w:b w:val="0"/>
                <w:i w:val="0"/>
                <w:sz w:val="22"/>
              </w:rPr>
              <w:t>Input</w:t>
            </w:r>
          </w:p>
        </w:tc>
        <w:tc>
          <w:tcPr>
            <w:tcW w:w="2880" w:type="dxa"/>
          </w:tcPr>
          <w:p w14:paraId="3812F71F">
            <w:r>
              <w:rPr>
                <w:rFonts w:ascii="Calibri" w:hAnsi="Calibri"/>
                <w:b w:val="0"/>
                <w:i w:val="0"/>
                <w:sz w:val="22"/>
              </w:rPr>
              <w:t>&lt;img src=x onerror="alert(1)"&gt;</w:t>
            </w:r>
          </w:p>
        </w:tc>
        <w:tc>
          <w:tcPr>
            <w:tcW w:w="2880" w:type="dxa"/>
          </w:tcPr>
          <w:p w14:paraId="6B8CE071">
            <w:r>
              <w:rPr>
                <w:rFonts w:ascii="Calibri" w:hAnsi="Calibri"/>
                <w:b w:val="0"/>
                <w:i w:val="0"/>
                <w:sz w:val="22"/>
              </w:rPr>
              <w:t>&lt;img src=x o</w:t>
            </w:r>
            <w:bookmarkStart w:id="0" w:name="_GoBack"/>
            <w:bookmarkEnd w:id="0"/>
            <w:r>
              <w:rPr>
                <w:rFonts w:ascii="Calibri" w:hAnsi="Calibri"/>
                <w:b w:val="0"/>
                <w:i w:val="0"/>
                <w:sz w:val="22"/>
              </w:rPr>
              <w:t>nerror="alert(1)"&gt;</w:t>
            </w:r>
          </w:p>
        </w:tc>
      </w:tr>
      <w:tr w14:paraId="186815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A2090F">
            <w:r>
              <w:rPr>
                <w:rFonts w:ascii="Calibri" w:hAnsi="Calibri"/>
                <w:b w:val="0"/>
                <w:i w:val="0"/>
                <w:sz w:val="22"/>
              </w:rPr>
              <w:t>Output</w:t>
            </w:r>
          </w:p>
        </w:tc>
        <w:tc>
          <w:tcPr>
            <w:tcW w:w="2880" w:type="dxa"/>
          </w:tcPr>
          <w:p w14:paraId="3C62CD4C">
            <w:r>
              <w:rPr>
                <w:rFonts w:ascii="Calibri" w:hAnsi="Calibri"/>
                <w:b w:val="0"/>
                <w:i w:val="0"/>
                <w:sz w:val="22"/>
              </w:rPr>
              <w:t>Image rendered, script executes</w:t>
            </w:r>
          </w:p>
        </w:tc>
        <w:tc>
          <w:tcPr>
            <w:tcW w:w="2880" w:type="dxa"/>
          </w:tcPr>
          <w:p w14:paraId="35125B81">
            <w:r>
              <w:rPr>
                <w:rFonts w:ascii="Calibri" w:hAnsi="Calibri"/>
                <w:b w:val="0"/>
                <w:i w:val="0"/>
                <w:sz w:val="22"/>
              </w:rPr>
              <w:t>&lt;img src=x onerror="alert(1)"&gt; as text</w:t>
            </w:r>
          </w:p>
        </w:tc>
      </w:tr>
    </w:tbl>
    <w:p w14:paraId="3C767208">
      <w:r>
        <w:rPr>
          <w:rFonts w:ascii="Calibri" w:hAnsi="Calibri"/>
          <w:b w:val="0"/>
          <w:i w:val="0"/>
          <w:sz w:val="24"/>
        </w:rPr>
        <w:t>The fix is tested in main.test.js (lines 27–61) with 8 test cases covering &lt; &gt; escaping, ampersand, quotes, XSS payloads, null/number coercion, and safe strings. This aligns with Tang et al.’s defense-in-depth principle [1] and Cloudflare’s best practices [2].</w:t>
      </w:r>
    </w:p>
    <w:p w14:paraId="5E24486C">
      <w:pPr>
        <w:spacing w:before="360" w:after="160"/>
      </w:pPr>
      <w:r>
        <w:rPr>
          <w:rFonts w:ascii="Calibri" w:hAnsi="Calibri"/>
          <w:b/>
          <w:i w:val="0"/>
          <w:sz w:val="28"/>
        </w:rPr>
        <w:t>3. References</w:t>
      </w:r>
    </w:p>
    <w:p w14:paraId="5D3BA267">
      <w:r>
        <w:rPr>
          <w:rFonts w:ascii="Calibri" w:hAnsi="Calibri"/>
          <w:b w:val="0"/>
          <w:i w:val="0"/>
          <w:sz w:val="24"/>
        </w:rPr>
        <w:t>[1] Tang, C., Wang, Q., Cheng, G., Liang, H., Peng, J., Yang, M., Liu, W., Liu, M., &amp; Sha, L. (2024). A Cross-Site Scripting Attack Protection Framework Based on Managed Proxy. 2024 IEEE 23rd International Conference on Trust, Security and Privacy in Computing and Communications (TrustCom), pp. 1896–1903. DOI: 10.1109/TrustCom63139.2024.00262.</w:t>
      </w:r>
    </w:p>
    <w:p w14:paraId="146BAB96">
      <w:r>
        <w:rPr>
          <w:rFonts w:ascii="Calibri" w:hAnsi="Calibri"/>
          <w:b w:val="0"/>
          <w:i w:val="0"/>
          <w:sz w:val="24"/>
        </w:rPr>
        <w:t>[2] Cloudflare. How to prevent XSS attacks. Available at: https://www.cloudflare.com/learning/security/how-to-prevent-xss-attacks/</w:t>
      </w:r>
    </w:p>
    <w:p w14:paraId="5E7F1D81">
      <w:pPr>
        <w:spacing w:before="360" w:after="160"/>
      </w:pPr>
      <w:r>
        <w:rPr>
          <w:rFonts w:ascii="Calibri" w:hAnsi="Calibri"/>
          <w:b/>
          <w:i w:val="0"/>
          <w:sz w:val="28"/>
        </w:rPr>
        <w:t>Appendix: Supporting Figures</w:t>
      </w:r>
    </w:p>
    <w:p w14:paraId="177C8D9F">
      <w:r>
        <w:rPr>
          <w:rFonts w:ascii="Calibri" w:hAnsi="Calibri"/>
          <w:b/>
          <w:i w:val="0"/>
          <w:sz w:val="22"/>
        </w:rPr>
        <w:t>Figure 1: MISP Vulnerability Disclosure (CVE-2023-24027) — Tang et al. [1] Fig. 4</w:t>
      </w:r>
    </w:p>
    <w:p w14:paraId="1599805F">
      <w:pPr>
        <w:jc w:val="center"/>
      </w:pPr>
      <w:r>
        <w:drawing>
          <wp:inline distT="0" distB="0" distL="114300" distR="114300">
            <wp:extent cx="5029200" cy="212344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0FCC">
      <w:r>
        <w:rPr>
          <w:rFonts w:ascii="Calibri" w:hAnsi="Calibri"/>
          <w:b w:val="0"/>
          <w:i/>
          <w:sz w:val="22"/>
        </w:rPr>
        <w:t>This figure from Tang et al. [1] shows the MISP vulnerability CVE-2023-24027, where innerHTML renders user-controlled data (network address names), creating an XSS vector. This mirrors the vulnerability found in our application before the fix.</w:t>
      </w:r>
    </w:p>
    <w:p w14:paraId="3AE47680">
      <w:r>
        <w:rPr>
          <w:rFonts w:ascii="Calibri" w:hAnsi="Calibri"/>
          <w:b/>
          <w:i w:val="0"/>
          <w:sz w:val="22"/>
        </w:rPr>
        <w:t>Figure 2: MISP Vulnerability Fix — Tang et al. [1] Fig. 5</w:t>
      </w:r>
    </w:p>
    <w:p w14:paraId="733E8D4E">
      <w:pPr>
        <w:jc w:val="center"/>
      </w:pPr>
      <w:r>
        <w:drawing>
          <wp:inline distT="0" distB="0" distL="114300" distR="114300">
            <wp:extent cx="5029200" cy="2430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3438">
      <w:r>
        <w:rPr>
          <w:rFonts w:ascii="Calibri" w:hAnsi="Calibri"/>
          <w:b w:val="0"/>
          <w:i/>
          <w:sz w:val="22"/>
        </w:rPr>
        <w:t>This figure illustrates the fix: replacing innerHTML with textContent on line 165 of action_table.js, preventing the browser from parsing special symbols in tags. Our escapeHtml function achieves the same protective effect by encoding HTML entities before DOM insertion.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72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Theme="minorEastAsia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585</Words>
  <Characters>3636</Characters>
  <Lines>0</Lines>
  <Paragraphs>0</Paragraphs>
  <TotalTime>0</TotalTime>
  <ScaleCrop>false</ScaleCrop>
  <LinksUpToDate>false</LinksUpToDate>
  <CharactersWithSpaces>4202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结弦</cp:lastModifiedBy>
  <dcterms:modified xsi:type="dcterms:W3CDTF">2026-05-10T07:47:14Z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eyJoZGlkIjoiZTNiZWJlNjAyMzJjMjg4Y2FlY2NhMDliZmNlODMzODIiLCJ1c2VySWQiOiI2NDgxMDUxMjUifQ==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D1C5FE3777DF4847AE7B26BDCBB71DE5_12</vt:lpwstr>
  </property>
</Properties>
</file>