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Requirement Analysis</w:t>
      </w:r>
    </w:p>
    <w:p>
      <w:pPr>
        <w:pStyle w:val="Heading1"/>
      </w:pPr>
      <w:r>
        <w:t>Functional Flow</w:t>
      </w:r>
    </w:p>
    <w:p>
      <w:r>
        <w:t>User opens Incident → Change Impact → Check Impact = High → Apply UI Policy / Client Script behavior → Submit → Validate Assigned To → Allow or block save.</w:t>
      </w:r>
    </w:p>
    <w:p>
      <w:pPr>
        <w:pStyle w:val="Heading1"/>
      </w:pPr>
      <w:r>
        <w:t>List Edit Flow</w:t>
      </w:r>
    </w:p>
    <w:p>
      <w:r>
        <w:t>Incident List → State edited → onCellEdit Client Script → Alert → callback(false) → State remains unchanged.</w:t>
      </w:r>
    </w:p>
    <w:p>
      <w:pPr>
        <w:pStyle w:val="Heading1"/>
      </w:pPr>
      <w:r>
        <w:t>Form Update Flow</w:t>
      </w:r>
    </w:p>
    <w:p>
      <w:r>
        <w:t>Open Incident form → Change State → Update → State change is saved through the normal form workflow.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