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Project Design Phase</w:t>
      </w:r>
    </w:p>
    <w:p>
      <w:pPr>
        <w:pStyle w:val="Heading1"/>
      </w:pPr>
      <w:r>
        <w:t>Architecture</w:t>
      </w:r>
    </w:p>
    <w:p>
      <w:r>
        <w:t>Incident Form / List → UI Policy + Client Scripts → Field Behavior / Validation → Allow or Block Action → Incident Record</w:t>
      </w:r>
    </w:p>
    <w:p>
      <w:pPr>
        <w:pStyle w:val="Heading1"/>
      </w:pPr>
      <w:r>
        <w:t>Design Principles</w:t>
      </w:r>
    </w:p>
    <w:p>
      <w:r>
        <w:t>Use native ServiceNow client controls.</w:t>
      </w:r>
    </w:p>
    <w:p>
      <w:r>
        <w:t>Keep validation close to the user interaction.</w:t>
      </w:r>
    </w:p>
    <w:p>
      <w:r>
        <w:t>Separate automatic field behavior from save validation and list-edit restriction.</w:t>
      </w:r>
    </w:p>
    <w:p>
      <w:r>
        <w:t>Provide clear feedback when an action is blocked.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