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5"/>
          <w:u w:val="single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  <w:u w:val="single"/>
        </w:rPr>
        <w:t>Из инструкции РД 07-603-03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23. Организация на территории своей производственно-хозяйственной деятельности в дополнение к геодезической сети создает маркшейдерскую опорную сеть.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24. Маркшейдерские опорные сети могут создаваться с использованием спутниковой аппаратуры.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 xml:space="preserve">25. Маркшейдерские опорные сети на земной поверхности создаются методами триангуляции, </w:t>
      </w:r>
      <w:proofErr w:type="spellStart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трилатерации</w:t>
      </w:r>
      <w:proofErr w:type="spellEnd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, полигонометрии 4 классов, 1-го и 2-го разряда, нивелированием III и IV класса в соответствии с установленными требованиями.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30. В качестве исходных пунктов для построения маркшейдерской опорной сети служат пункты государственной геодезической сети и геодезических сетей сгущения.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31. Плотность плановой маркшейдерской опорной сети всех классов и разрядов для топографической съемки текущих изменений на городских (поселковых) территориях и территории производственно-хозяйственной деятельности организации, в том числе промышленных площадок в застроенной части, принимают не менее четырех пунктов на 1 км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  <w:vertAlign w:val="superscript"/>
        </w:rPr>
        <w:t>2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, в незастроенной части - не менее одного пункта на 1 км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  <w:vertAlign w:val="superscript"/>
        </w:rPr>
        <w:t>2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.</w:t>
      </w:r>
    </w:p>
    <w:p w:rsidR="00044559" w:rsidRPr="00A0771B" w:rsidRDefault="00044559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Плотность высотной маркшейдерской опорной сети принимают: не менее одного репера на 10 - 15 км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  <w:vertAlign w:val="superscript"/>
        </w:rPr>
        <w:t>2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 - при съемке в масштабе 1:5000; не менее одного репера на 5 - 7 км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  <w:vertAlign w:val="superscript"/>
        </w:rPr>
        <w:t>2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 - при съемке в масштабе 1:2000 и крупнее незастроенных территорий.</w:t>
      </w:r>
    </w:p>
    <w:p w:rsidR="00CB1995" w:rsidRPr="00A0771B" w:rsidRDefault="00CB1995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35. Пункты маркшейдерской опорной сети, используемые в качестве исходных для определения опорных реперов профильных линий наблюдательных станций при наблюдениях за деформацией земной поверхности, за устойчивостью бортов карьеров, отвалов вскрышных пород, дамб обвалования, а также </w:t>
      </w:r>
      <w:proofErr w:type="spellStart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гидроотвалов</w:t>
      </w:r>
      <w:proofErr w:type="spellEnd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, </w:t>
      </w:r>
      <w:proofErr w:type="spellStart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шламо</w:t>
      </w:r>
      <w:proofErr w:type="spellEnd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- и </w:t>
      </w:r>
      <w:proofErr w:type="spellStart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хвостохранилищ</w:t>
      </w:r>
      <w:proofErr w:type="spellEnd"/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 (далее - накопители жидких промышленных отходов), располагают в местах, обеспечивающих </w:t>
      </w:r>
      <w:r w:rsidRPr="00A0771B">
        <w:rPr>
          <w:rFonts w:ascii="Times New Roman" w:eastAsia="Times New Roman" w:hAnsi="Times New Roman" w:cs="Times New Roman"/>
          <w:color w:val="A5A5A5" w:themeColor="accent3"/>
          <w:szCs w:val="24"/>
        </w:rPr>
        <w:t>их</w:t>
      </w:r>
      <w:r w:rsidRPr="00A0771B">
        <w:rPr>
          <w:rFonts w:ascii="Times New Roman" w:eastAsia="Times New Roman" w:hAnsi="Times New Roman" w:cs="Times New Roman"/>
          <w:color w:val="A5A5A5" w:themeColor="accent3"/>
          <w:sz w:val="16"/>
          <w:szCs w:val="24"/>
        </w:rPr>
        <w:t xml:space="preserve"> </w:t>
      </w:r>
      <w:r w:rsidRPr="00A0771B">
        <w:rPr>
          <w:rFonts w:ascii="Times New Roman" w:eastAsia="Times New Roman" w:hAnsi="Times New Roman" w:cs="Times New Roman"/>
          <w:caps/>
          <w:color w:val="A5A5A5" w:themeColor="accent3"/>
          <w:sz w:val="16"/>
          <w:szCs w:val="24"/>
        </w:rPr>
        <w:t>устойчивость</w:t>
      </w:r>
      <w:r w:rsidRPr="00A0771B">
        <w:rPr>
          <w:rFonts w:ascii="Times New Roman" w:eastAsia="Times New Roman" w:hAnsi="Times New Roman" w:cs="Times New Roman"/>
          <w:caps/>
          <w:color w:val="A5A5A5" w:themeColor="accent3"/>
          <w:sz w:val="24"/>
          <w:szCs w:val="24"/>
        </w:rPr>
        <w:t xml:space="preserve"> 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на период проведения наблюдений.</w:t>
      </w:r>
    </w:p>
    <w:p w:rsidR="00CB1995" w:rsidRPr="00EC1365" w:rsidRDefault="00CB1995" w:rsidP="00044559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A36B2" w:rsidRPr="009624BE" w:rsidRDefault="00DA36B2" w:rsidP="00DA36B2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232. Комплекс маркшейдерских работ на месторождениях, подземных хранилищах углеводородного сырья, разведочных площадях или отдельных участках выполняют в соответствии с техническим проектом или программой работ, утвержденными руководителем организации и согласованными в установленном порядке.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233. На маркшейдерской картографической документации отображают: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рельеф, гидрографию, населенные пункты и др.;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пункты государственной геодезической сети и маркшейдерско-геодезические сети;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скважины разведочные, добывающие и др.;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магистральные трубопроводы;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инженерные коммуникации (в зависимости от нагрузки плана);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компрессорные станции и иные объекты по добыче, переработке и транспортированию нефти и газа;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геологическую информацию (наличие геологических нарушений и особенностей, требующих учета при разработке месторождения).</w:t>
      </w:r>
    </w:p>
    <w:p w:rsidR="008A1D80" w:rsidRPr="009624BE" w:rsidRDefault="008A1D80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При необходимости на плане можно изображать забой и горизонтальные проекции осей стволов скважин, объекты разработки.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247. Контрольные измерения при строительстве буровой вышки включают: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контроль закрепления разбивочных осей;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плановую и высотную выверку фундаментов;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плановую и высотную выверку опорных конструкций (фундаментных балок, рам дизельных агрегатов и др.);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плановую и высотную выверку оборудования;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>выверку вертикальности шахтного направления;</w:t>
      </w:r>
    </w:p>
    <w:p w:rsidR="009D3B2E" w:rsidRPr="00870E9D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0E9D">
        <w:rPr>
          <w:rFonts w:ascii="Times New Roman" w:eastAsia="Times New Roman" w:hAnsi="Times New Roman" w:cs="Times New Roman"/>
          <w:sz w:val="24"/>
          <w:szCs w:val="24"/>
        </w:rPr>
        <w:t xml:space="preserve">выверку </w:t>
      </w:r>
      <w:proofErr w:type="spellStart"/>
      <w:r w:rsidRPr="00870E9D">
        <w:rPr>
          <w:rFonts w:ascii="Times New Roman" w:eastAsia="Times New Roman" w:hAnsi="Times New Roman" w:cs="Times New Roman"/>
          <w:sz w:val="24"/>
          <w:szCs w:val="24"/>
        </w:rPr>
        <w:t>соосности</w:t>
      </w:r>
      <w:proofErr w:type="spellEnd"/>
      <w:r w:rsidRPr="00870E9D">
        <w:rPr>
          <w:rFonts w:ascii="Times New Roman" w:eastAsia="Times New Roman" w:hAnsi="Times New Roman" w:cs="Times New Roman"/>
          <w:sz w:val="24"/>
          <w:szCs w:val="24"/>
        </w:rPr>
        <w:t xml:space="preserve"> буровой вышки, ротора и шахтного направления.</w:t>
      </w:r>
    </w:p>
    <w:p w:rsidR="009D3B2E" w:rsidRPr="00B11B3C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 xml:space="preserve">251. К горно-геометрическим построениям относятся: планы расположения устьев и забоев скважин; геологические профильные разрезы, структурные карты; наклонные структурные карты; проекции пластов на вертикальную плоскость; карты равных толщин, </w:t>
      </w: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lastRenderedPageBreak/>
        <w:t>техногенных деформаций, напряженно-деформированного состояния коллектора и массива горных пород над ним, а также карты уплотнения, сжимаемости коллектора и оседаний земной поверхности, наклонов, кривизны, деформаций растяжений и сжатий.</w:t>
      </w:r>
    </w:p>
    <w:p w:rsidR="009D3B2E" w:rsidRPr="00B11B3C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252. Структурные карты, представляющие собой графическое изображение в изогипсах поверхностей стратиграфических горизонтов, литологических образований, стратиграфического несогласия, тектонических разрывов реперных каротажных горизонтов, отражающих горизонтов при сейсморазведке и др., составляют на всех стадиях работ по освоению месторождений, также строят карты техногенных деформаций, к которым относятся карты уплотнения, сжимаемости коллектора и оседаний земной поверхности.</w:t>
      </w:r>
    </w:p>
    <w:p w:rsidR="009D3B2E" w:rsidRPr="00B11B3C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Всю информацию отражают на основе маркшейдерской документации (в единой системе координат).</w:t>
      </w:r>
    </w:p>
    <w:p w:rsidR="009D3B2E" w:rsidRPr="009624BE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253. Наблюдения за осадками и деформациями объектов поверхности выполняют в соответствии с проектной документацией, в которой указывают наблюдаемые здания и сооружения (части зданий и сооружений); схему расположения опорных пунктов и контрольных (деформационных) марок; периодичность наблюдений; требуемую точность; перечень отчетных документов.</w:t>
      </w:r>
    </w:p>
    <w:p w:rsidR="009D3B2E" w:rsidRPr="009624BE" w:rsidRDefault="009D3B2E" w:rsidP="009D3B2E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5"/>
        </w:rPr>
        <w:t>Значения допустимых и критических деформаций устанавливаются соответствующими нормами проектирования зданий и сооружений, правилами технической эксплуатации оборудования или заданием на проектирование.</w:t>
      </w:r>
    </w:p>
    <w:p w:rsidR="009D3B2E" w:rsidRPr="00870E9D" w:rsidRDefault="009D3B2E" w:rsidP="008A1D80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A1D80" w:rsidRDefault="008A1D80" w:rsidP="00DA36B2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5"/>
        </w:rPr>
      </w:pPr>
    </w:p>
    <w:p w:rsidR="006026D7" w:rsidRPr="006026D7" w:rsidRDefault="006026D7" w:rsidP="00DA36B2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6D7">
        <w:rPr>
          <w:rFonts w:ascii="Times New Roman" w:eastAsia="Times New Roman" w:hAnsi="Times New Roman" w:cs="Times New Roman"/>
          <w:sz w:val="24"/>
          <w:szCs w:val="24"/>
        </w:rPr>
        <w:t>Для чего ОМС</w:t>
      </w:r>
    </w:p>
    <w:p w:rsidR="006026D7" w:rsidRPr="009624BE" w:rsidRDefault="006026D7" w:rsidP="006026D7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35. Пункты маркшейдерской опорной сети, используемые в качестве исходных для определения опорных реперов профильных линий наблюдательных станций при наблюдениях за деформацией земной поверхности, за устойчивостью бортов карьеров, отвалов вскрышных пород, дамб обвалования, а также </w:t>
      </w:r>
      <w:proofErr w:type="spellStart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гидроотвалов</w:t>
      </w:r>
      <w:proofErr w:type="spellEnd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, </w:t>
      </w:r>
      <w:proofErr w:type="spellStart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шламо</w:t>
      </w:r>
      <w:proofErr w:type="spellEnd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- и </w:t>
      </w:r>
      <w:proofErr w:type="spellStart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хвостохранилищ</w:t>
      </w:r>
      <w:proofErr w:type="spellEnd"/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 xml:space="preserve"> (далее - накопители жидких промышленных отходов), располагают в местах, обеспечивающих </w:t>
      </w:r>
      <w:r w:rsidRPr="009624BE">
        <w:rPr>
          <w:rFonts w:ascii="Times New Roman" w:eastAsia="Times New Roman" w:hAnsi="Times New Roman" w:cs="Times New Roman"/>
          <w:color w:val="A5A5A5" w:themeColor="accent3"/>
          <w:szCs w:val="24"/>
        </w:rPr>
        <w:t>их</w:t>
      </w:r>
      <w:r w:rsidRPr="009624BE">
        <w:rPr>
          <w:rFonts w:ascii="Times New Roman" w:eastAsia="Times New Roman" w:hAnsi="Times New Roman" w:cs="Times New Roman"/>
          <w:color w:val="A5A5A5" w:themeColor="accent3"/>
          <w:sz w:val="16"/>
          <w:szCs w:val="24"/>
        </w:rPr>
        <w:t xml:space="preserve"> </w:t>
      </w:r>
      <w:r w:rsidRPr="009624BE">
        <w:rPr>
          <w:rFonts w:ascii="Times New Roman" w:eastAsia="Times New Roman" w:hAnsi="Times New Roman" w:cs="Times New Roman"/>
          <w:caps/>
          <w:color w:val="A5A5A5" w:themeColor="accent3"/>
          <w:sz w:val="16"/>
          <w:szCs w:val="24"/>
        </w:rPr>
        <w:t>устойчивость</w:t>
      </w:r>
      <w:r w:rsidRPr="009624BE">
        <w:rPr>
          <w:rFonts w:ascii="Times New Roman" w:eastAsia="Times New Roman" w:hAnsi="Times New Roman" w:cs="Times New Roman"/>
          <w:caps/>
          <w:color w:val="A5A5A5" w:themeColor="accent3"/>
          <w:sz w:val="24"/>
          <w:szCs w:val="24"/>
        </w:rPr>
        <w:t xml:space="preserve"> </w:t>
      </w:r>
      <w:r w:rsidRPr="009624BE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на период проведения наблюдений.</w:t>
      </w:r>
    </w:p>
    <w:p w:rsidR="006026D7" w:rsidRPr="00B11B3C" w:rsidRDefault="006026D7" w:rsidP="006026D7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0"/>
          <w:szCs w:val="20"/>
        </w:rPr>
      </w:pP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41. На топографических планах масштабов 1:5000 - 1:500 подлежат отображению условными знаками все предметы местности, ситуация, рельеф и объекты, связанные с горными разработками: провалы, воронки, отвалы пород, устья горных выработок, в том числе устья геологоразведочных скважин, крупные тектонические нарушения, выход горных пород и тел полезных ископаемых на земную поверхность. На топографические планы наносят границы горных и земельных отводов.</w:t>
      </w:r>
    </w:p>
    <w:p w:rsidR="006026D7" w:rsidRPr="00B11B3C" w:rsidRDefault="006026D7" w:rsidP="006026D7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</w:pPr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42. Топографические планы масштабов 1:5000, 1:2000, 1:1000, 1:500 создаются в результате топографических съемок или составляются (кроме масштаба 1:500) по материалам топографических съемок более крупного масштаба. Основными методами съемки являются аэрофототопографические: стереотопографический и комбинированный; в гористой (преимущ</w:t>
      </w:r>
      <w:bookmarkStart w:id="0" w:name="_GoBack"/>
      <w:bookmarkEnd w:id="0"/>
      <w:r w:rsidRPr="00B11B3C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ественно открытой) местности применяется наземная фототопографическая съемка. Для получения планов небольших участков применяют мензульную, тахеометрическую или теодолитную съемку.</w:t>
      </w:r>
    </w:p>
    <w:p w:rsidR="00CB1995" w:rsidRDefault="00CB1995" w:rsidP="006026D7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995" w:rsidRPr="00A0771B" w:rsidRDefault="00CB1995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t>Маркшейдерские работы подразделяются на три вида:</w:t>
      </w:r>
    </w:p>
    <w:p w:rsidR="00CB1995" w:rsidRPr="00A0771B" w:rsidRDefault="00CB1995" w:rsidP="00CB19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t>капитальные;</w:t>
      </w:r>
    </w:p>
    <w:p w:rsidR="00CB1995" w:rsidRPr="00A0771B" w:rsidRDefault="00CB1995" w:rsidP="00CB19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t>основные;</w:t>
      </w:r>
    </w:p>
    <w:p w:rsidR="00CB1995" w:rsidRPr="00A0771B" w:rsidRDefault="00CB1995" w:rsidP="00CB19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t>текущие.</w:t>
      </w:r>
    </w:p>
    <w:p w:rsidR="00CB1995" w:rsidRPr="00A0771B" w:rsidRDefault="00CB1995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t xml:space="preserve">К капитальным относятся крупные работы разового характера: создание или реконструкция опорной сети, обеспечение ответственных строительных работ и др. К основным относятся базовые, систематически повторяющиеся: построение съемочных сетей, стереофотограмметрическая съемка, наблюдения за устойчивостью откосов уступов и бортов карьера. К текущим относятся постоянно выполняемые работы: съемка горных </w:t>
      </w:r>
      <w:r w:rsidRPr="00A0771B"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  <w:lastRenderedPageBreak/>
        <w:t>выработок (уступов), буровзрывных работ, транспортных путей, определение и учет объемов вскрыши и полезного ископаемого, обеспечение направления проходки траншей, контроль за выполнением плана ведения горных работ.</w:t>
      </w:r>
    </w:p>
    <w:p w:rsidR="00CB1995" w:rsidRPr="00A0771B" w:rsidRDefault="00CB1995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color w:val="A5A5A5" w:themeColor="accent3"/>
          <w:sz w:val="24"/>
          <w:szCs w:val="20"/>
        </w:rPr>
      </w:pPr>
    </w:p>
    <w:p w:rsidR="00A50264" w:rsidRPr="00A0771B" w:rsidRDefault="00A50264" w:rsidP="00A50264">
      <w:pPr>
        <w:pStyle w:val="a3"/>
        <w:rPr>
          <w:rFonts w:ascii="Arial" w:hAnsi="Arial" w:cs="Arial"/>
          <w:color w:val="A5A5A5" w:themeColor="accent3"/>
        </w:rPr>
      </w:pPr>
      <w:r w:rsidRPr="00A0771B">
        <w:rPr>
          <w:rFonts w:ascii="Arial" w:hAnsi="Arial" w:cs="Arial"/>
          <w:color w:val="A5A5A5" w:themeColor="accent3"/>
        </w:rPr>
        <w:t>Геометрической основой для производства всех видов съемки (маркшейдерской, геологической, геодезической и топографической) на земной поверхности и в карьере служат пункты: государственной геодезической сети (ГГС), государственной нивелирной сети и маркшейдерской опорной сети, имеющиеся на территории горного предприятия.</w:t>
      </w:r>
    </w:p>
    <w:p w:rsidR="00A50264" w:rsidRPr="00A0771B" w:rsidRDefault="00A50264" w:rsidP="00A50264">
      <w:pPr>
        <w:pStyle w:val="a3"/>
        <w:rPr>
          <w:rFonts w:ascii="Arial" w:hAnsi="Arial" w:cs="Arial"/>
          <w:color w:val="A5A5A5" w:themeColor="accent3"/>
        </w:rPr>
      </w:pPr>
      <w:r w:rsidRPr="00A0771B">
        <w:rPr>
          <w:rFonts w:ascii="Arial" w:hAnsi="Arial" w:cs="Arial"/>
          <w:color w:val="A5A5A5" w:themeColor="accent3"/>
        </w:rPr>
        <w:t>По назначению маркшейдерские сети делятся на маркшейдерские опорные сети и маркшейдерские съемочные сети.</w:t>
      </w:r>
    </w:p>
    <w:p w:rsidR="00A50264" w:rsidRPr="00A0771B" w:rsidRDefault="00A50264" w:rsidP="00A50264">
      <w:pPr>
        <w:pStyle w:val="a3"/>
        <w:rPr>
          <w:rFonts w:ascii="Arial" w:hAnsi="Arial" w:cs="Arial"/>
          <w:color w:val="A5A5A5" w:themeColor="accent3"/>
        </w:rPr>
      </w:pPr>
      <w:r w:rsidRPr="00A0771B">
        <w:rPr>
          <w:rFonts w:ascii="Arial" w:hAnsi="Arial" w:cs="Arial"/>
          <w:color w:val="A5A5A5" w:themeColor="accent3"/>
        </w:rPr>
        <w:t xml:space="preserve">Маркшейдерские опорные сети создаются силами маркшейдерской службы горного предприятия или лицензированными на этот вид деятельности подрядными организациями. Они включают, при необходимости, имеющиеся на территории </w:t>
      </w:r>
      <w:proofErr w:type="spellStart"/>
      <w:r w:rsidRPr="00A0771B">
        <w:rPr>
          <w:rFonts w:ascii="Arial" w:hAnsi="Arial" w:cs="Arial"/>
          <w:color w:val="A5A5A5" w:themeColor="accent3"/>
        </w:rPr>
        <w:t>производственно</w:t>
      </w:r>
      <w:proofErr w:type="spellEnd"/>
      <w:r w:rsidRPr="00A0771B">
        <w:rPr>
          <w:rFonts w:ascii="Arial" w:hAnsi="Arial" w:cs="Arial"/>
          <w:color w:val="A5A5A5" w:themeColor="accent3"/>
        </w:rPr>
        <w:t xml:space="preserve">–хозяйственной деятельности предприятия пункты государственной геодезической сети – триангуляция и полигонометрия 3-го и 4-го классов, 1-го и 2-го разрядов. Основными методами создания маркшейдерских опорных сетей являются спутниковая геодезия, триангуляция, </w:t>
      </w:r>
      <w:proofErr w:type="spellStart"/>
      <w:r w:rsidRPr="00A0771B">
        <w:rPr>
          <w:rFonts w:ascii="Arial" w:hAnsi="Arial" w:cs="Arial"/>
          <w:color w:val="A5A5A5" w:themeColor="accent3"/>
        </w:rPr>
        <w:t>трилатерация</w:t>
      </w:r>
      <w:proofErr w:type="spellEnd"/>
      <w:r w:rsidRPr="00A0771B">
        <w:rPr>
          <w:rFonts w:ascii="Arial" w:hAnsi="Arial" w:cs="Arial"/>
          <w:color w:val="A5A5A5" w:themeColor="accent3"/>
        </w:rPr>
        <w:t xml:space="preserve"> и полигонометрия 4 классов, 1-го и 2-го разрядов, нивелирование III и IV класса в соответствии с установленными требованиями.</w:t>
      </w:r>
    </w:p>
    <w:p w:rsidR="00A50264" w:rsidRDefault="00A50264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B1995" w:rsidRPr="00CB1995" w:rsidRDefault="00CB1995" w:rsidP="00CB1995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B1995" w:rsidRPr="00EC1365" w:rsidRDefault="00CB1995" w:rsidP="006026D7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26D7" w:rsidRPr="006026D7" w:rsidRDefault="006026D7" w:rsidP="00DA36B2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Cs w:val="20"/>
        </w:rPr>
      </w:pPr>
    </w:p>
    <w:p w:rsidR="006026D7" w:rsidRPr="00870E9D" w:rsidRDefault="006026D7" w:rsidP="00DA36B2">
      <w:pPr>
        <w:widowControl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F0192" w:rsidRDefault="00DF0192"/>
    <w:sectPr w:rsidR="00DF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2FD3"/>
    <w:multiLevelType w:val="multilevel"/>
    <w:tmpl w:val="BA4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A1"/>
    <w:rsid w:val="00044559"/>
    <w:rsid w:val="001F73CB"/>
    <w:rsid w:val="006026D7"/>
    <w:rsid w:val="008A1D80"/>
    <w:rsid w:val="0093643F"/>
    <w:rsid w:val="009624BE"/>
    <w:rsid w:val="00973AA1"/>
    <w:rsid w:val="009D3B2E"/>
    <w:rsid w:val="00A0771B"/>
    <w:rsid w:val="00A50264"/>
    <w:rsid w:val="00B11B3C"/>
    <w:rsid w:val="00CB1995"/>
    <w:rsid w:val="00DA36B2"/>
    <w:rsid w:val="00D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0DC85-21C6-45F5-AC24-434D3DA5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55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2020-09-25T16:32:00Z</dcterms:created>
  <dcterms:modified xsi:type="dcterms:W3CDTF">2020-09-27T12:45:00Z</dcterms:modified>
</cp:coreProperties>
</file>