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5g65pmaj2bj" w:id="0"/>
      <w:bookmarkEnd w:id="0"/>
      <w:r w:rsidDel="00000000" w:rsidR="00000000" w:rsidRPr="00000000">
        <w:rPr>
          <w:b w:val="1"/>
          <w:bCs w:val="1"/>
          <w:sz w:val="34"/>
          <w:szCs w:val="34"/>
          <w:rtl w:val="0"/>
        </w:rPr>
        <w:t xml:space="preserve">Project Overview</w:t>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Title:</w:t>
      </w:r>
      <w:r w:rsidDel="00000000" w:rsidR="00000000" w:rsidRPr="00000000">
        <w:rPr>
          <w:rtl w:val="0"/>
        </w:rPr>
        <w:t xml:space="preserve"> Architectural Glamour: Editorial Campaign for Beymen </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high-impact editorial campaign for Beymen juxtaposes luxury fashion against bold, structural geometry. Moving away from traditional lifestyle backdrops, the art direction utilizes striking, monolithic sets featuring intricate, arch-like cutouts to create a "frame within a frame" effect. By splitting the environmental color palette into distinct zones of vibrant crimson and cool slate blue, the campaign establishes a powerful visual tension. The styling embraces an eclectic mix of high-fashion textures—ranging from heavy sequins and leather to feather-trimmed denim and studded cargo pants—resulting in a highly curated, avant-garde narrative that feels both architectural and effortlessly glamorous.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w9zhgh6g8iqm" w:id="1"/>
      <w:bookmarkEnd w:id="1"/>
      <w:r w:rsidDel="00000000" w:rsidR="00000000" w:rsidRPr="00000000">
        <w:rPr>
          <w:b w:val="1"/>
          <w:bCs w:val="1"/>
          <w:color w:val="000000"/>
          <w:sz w:val="26"/>
          <w:szCs w:val="26"/>
          <w:rtl w:val="0"/>
        </w:rPr>
        <w:t xml:space="preserve">Project Details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Industry:</w:t>
      </w:r>
      <w:r w:rsidDel="00000000" w:rsidR="00000000" w:rsidRPr="00000000">
        <w:rPr>
          <w:rtl w:val="0"/>
        </w:rPr>
        <w:t xml:space="preserve"> Fashion, Luxury Retail, Editorial Campaign</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Art Director &amp; Creative Director</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Services:</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Visual Concepting &amp; Moodboarding</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Art Direction &amp; Architectural Set Design</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Wardrobe Styling &amp; Silhouette Curation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Client:</w:t>
      </w:r>
      <w:r w:rsidDel="00000000" w:rsidR="00000000" w:rsidRPr="00000000">
        <w:rPr>
          <w:rtl w:val="0"/>
        </w:rPr>
        <w:t xml:space="preserve"> Beymen</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Year:</w:t>
      </w:r>
      <w:r w:rsidDel="00000000" w:rsidR="00000000" w:rsidRPr="00000000">
        <w:rPr>
          <w:rtl w:val="0"/>
        </w:rPr>
        <w:t xml:space="preserve"> 2026</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xhoalpl5fl1b" w:id="2"/>
      <w:bookmarkEnd w:id="2"/>
      <w:r w:rsidDel="00000000" w:rsidR="00000000" w:rsidRPr="00000000">
        <w:rPr>
          <w:b w:val="1"/>
          <w:bCs w:val="1"/>
          <w:color w:val="000000"/>
          <w:sz w:val="26"/>
          <w:szCs w:val="26"/>
          <w:rtl w:val="0"/>
        </w:rPr>
        <w:t xml:space="preserve">Creative Breakdown</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rtl w:val="0"/>
        </w:rPr>
        <w:t xml:space="preserve">Set Design &amp; Spatial Composition:</w:t>
      </w:r>
      <w:r w:rsidDel="00000000" w:rsidR="00000000" w:rsidRPr="00000000">
        <w:rPr>
          <w:rtl w:val="0"/>
        </w:rPr>
        <w:t xml:space="preserve"> The environment relies heavily on custom-built, monochromatic sets with distinctive, curvilinear architectural cutouts. These layered structures in bold red and muted blue act as rigid framing devices that force the viewer's eye directly onto the models and garments, creating a stark, modern aesthetic.</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Wardrobe &amp; Styling:</w:t>
      </w:r>
      <w:r w:rsidDel="00000000" w:rsidR="00000000" w:rsidRPr="00000000">
        <w:rPr>
          <w:rtl w:val="0"/>
        </w:rPr>
        <w:t xml:space="preserve"> The styling pushes boundaries by mixing eclectic luxury pieces and diverse textures. Key looks feature unexpected combinations, such as a feather-trimmed denim dress paired with suede cowboy boots, heavily studded utilitarian cargo pants with Off-White knitwear, and a sharp red leather biker jacket contrasted against patterned trousers.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Color Palette &amp; Textures:</w:t>
      </w:r>
      <w:r w:rsidDel="00000000" w:rsidR="00000000" w:rsidRPr="00000000">
        <w:rPr>
          <w:rtl w:val="0"/>
        </w:rPr>
        <w:t xml:space="preserve"> The campaign operates on a high-contrast, visually demanding color story. The matte finish of the painted sets allows the rich textures of the clothing to stand out—highlighting the shine of metallic gold trousers, the reflective quality of a pink and silver chevron sequin gown, and the plush depth of black velvet with gold floral motifs.</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Subject Direction &amp; Energy:</w:t>
      </w:r>
      <w:r w:rsidDel="00000000" w:rsidR="00000000" w:rsidRPr="00000000">
        <w:rPr>
          <w:rtl w:val="0"/>
        </w:rPr>
        <w:t xml:space="preserve"> The models are directed to interact with the architecture of the set, adopting dynamic, angular poses that mirror the geometric cutouts. Group compositions are meticulously layered to project an air of confident, collective luxury, whether grounded in the red set or standing against the cool blue backdrop.</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