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j9dpgpnue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Corporate Subversion: Outerwear Campaign for CTRL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This campaign for CTRL recontextualizes traditional office wear through a modern, sartorial lens, focusing on the brand’s structured zip-up jackets. Shot against a minimalist, cool-toned studio backdrop with a stark horizon line, the art direction deliberately evokes a sense of clinical precision and contemporary austerity. The styling plays heavily into the "corporate core" aesthetic—layering the textured outerwear over crisp button-downs, tucked-in ties, and turtlenecks—while grounding the looks in a refined, neutral color palette of heather grey, olive, black, and white. The result is a sharp, elevated visual narrative that bridges the gap between formal uniform and avant-garde streetwear.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fqkopxu4n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Details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Fashion, Editorial Campaign, Commercial Photography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Art Director &amp; Creative Director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Services: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Concepting &amp; Moodboarding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 Direction &amp; Studio Set Design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Wardrobe Styling &amp; Silhouette Curation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CTRL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acdu8bp2u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Breakdown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Design &amp; Spatial Composition:</w:t>
      </w:r>
      <w:r w:rsidDel="00000000" w:rsidR="00000000" w:rsidRPr="00000000">
        <w:rPr>
          <w:rtl w:val="0"/>
        </w:rPr>
        <w:t xml:space="preserve"> The environment utilizes a stark, two-toned studio setup—a cool grey-blue backdrop meeting a dark, textured floor. This distinct horizontal division creates a rigid, architectural framing device that forces absolute focus onto the subjects and the structure of the garments.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Wardrobe &amp; "Corporate" Styling:</w:t>
      </w:r>
      <w:r w:rsidDel="00000000" w:rsidR="00000000" w:rsidRPr="00000000">
        <w:rPr>
          <w:rtl w:val="0"/>
        </w:rPr>
        <w:t xml:space="preserve"> The styling disrupts traditional professional attire. The heavy, textured zip-up jackets are paired with unexpected formal elements—such as shortened, tucked-in ties, wide-leg cropped trousers, and pleated skirts. This high-low juxtaposition transforms everyday outerwear into a deliberate fashion statement.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 &amp; Textures:</w:t>
      </w:r>
      <w:r w:rsidDel="00000000" w:rsidR="00000000" w:rsidRPr="00000000">
        <w:rPr>
          <w:rtl w:val="0"/>
        </w:rPr>
        <w:t xml:space="preserve"> The campaign leans into a highly disciplined, neutral color story. By sticking strictly to olive greens, heather greys, stark whites, and deep blacks, the imagery allows the heavy, felt-like texture of the jackets to become the focal point of every shot.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Direction:</w:t>
      </w:r>
      <w:r w:rsidDel="00000000" w:rsidR="00000000" w:rsidRPr="00000000">
        <w:rPr>
          <w:rtl w:val="0"/>
        </w:rPr>
        <w:t xml:space="preserve"> The models are directed to hold rigid, statuesque poses with intense, unwavering expressions. This stoic posing style amplifies the minimalist, slightly brutalist energy of the overall campaign.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