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41D" w:rsidRPr="00317CFC" w:rsidRDefault="00A5241D" w:rsidP="00E55E99">
      <w:pPr>
        <w:jc w:val="both"/>
        <w:rPr>
          <w:rFonts w:cstheme="minorHAnsi"/>
          <w:sz w:val="24"/>
          <w:szCs w:val="24"/>
        </w:rPr>
      </w:pPr>
    </w:p>
    <w:p w:rsidR="00152EE9" w:rsidRPr="00317CFC" w:rsidRDefault="004B7E3E" w:rsidP="00317CFC">
      <w:pPr>
        <w:pStyle w:val="Titre2"/>
        <w:jc w:val="both"/>
        <w:rPr>
          <w:rFonts w:asciiTheme="minorHAnsi" w:hAnsiTheme="minorHAnsi" w:cstheme="minorHAnsi"/>
          <w:sz w:val="28"/>
          <w:szCs w:val="28"/>
        </w:rPr>
      </w:pPr>
      <w:r w:rsidRPr="00317CFC">
        <w:rPr>
          <w:rFonts w:asciiTheme="minorHAnsi" w:hAnsiTheme="minorHAnsi" w:cstheme="minorHAnsi"/>
          <w:sz w:val="28"/>
          <w:szCs w:val="28"/>
        </w:rPr>
        <w:t>Outils des technologies de l'information et de la communication (TIC)</w:t>
      </w:r>
    </w:p>
    <w:p w:rsidR="00D57AD8" w:rsidRPr="00317CFC" w:rsidRDefault="00D57AD8" w:rsidP="00E55E99">
      <w:pPr>
        <w:pStyle w:val="Paragraphedeliste"/>
        <w:numPr>
          <w:ilvl w:val="0"/>
          <w:numId w:val="3"/>
        </w:numPr>
        <w:ind w:left="0" w:hanging="284"/>
        <w:jc w:val="both"/>
        <w:rPr>
          <w:rFonts w:cstheme="minorHAnsi"/>
          <w:sz w:val="24"/>
          <w:szCs w:val="24"/>
        </w:rPr>
      </w:pPr>
      <w:r w:rsidRPr="00317CFC">
        <w:rPr>
          <w:rFonts w:cstheme="minorHAnsi"/>
          <w:b/>
          <w:bCs/>
          <w:sz w:val="24"/>
          <w:szCs w:val="24"/>
        </w:rPr>
        <w:t xml:space="preserve">Google </w:t>
      </w:r>
      <w:proofErr w:type="spellStart"/>
      <w:r w:rsidRPr="00317CFC">
        <w:rPr>
          <w:rFonts w:cstheme="minorHAnsi"/>
          <w:b/>
          <w:bCs/>
          <w:sz w:val="24"/>
          <w:szCs w:val="24"/>
        </w:rPr>
        <w:t>Workspace</w:t>
      </w:r>
      <w:proofErr w:type="spellEnd"/>
      <w:r w:rsidRPr="00317CFC">
        <w:rPr>
          <w:rFonts w:cstheme="minorHAnsi"/>
          <w:b/>
          <w:bCs/>
          <w:sz w:val="24"/>
          <w:szCs w:val="24"/>
        </w:rPr>
        <w:t xml:space="preserve"> for Educat</w:t>
      </w:r>
      <w:r w:rsidR="00A31E83" w:rsidRPr="00317CFC">
        <w:rPr>
          <w:rFonts w:cstheme="minorHAnsi"/>
          <w:b/>
          <w:bCs/>
          <w:sz w:val="24"/>
          <w:szCs w:val="24"/>
        </w:rPr>
        <w:t>ion</w:t>
      </w:r>
      <w:r w:rsidR="00A31E83" w:rsidRPr="00317CFC">
        <w:rPr>
          <w:rFonts w:cstheme="minorHAnsi"/>
          <w:sz w:val="24"/>
          <w:szCs w:val="24"/>
        </w:rPr>
        <w:t xml:space="preserve"> est un élément clé </w:t>
      </w:r>
      <w:r w:rsidRPr="00317CFC">
        <w:rPr>
          <w:rFonts w:cstheme="minorHAnsi"/>
          <w:sz w:val="24"/>
          <w:szCs w:val="24"/>
        </w:rPr>
        <w:t xml:space="preserve">à l'Institut, où nous exploitons pleinement les </w:t>
      </w:r>
      <w:r w:rsidR="004B7E3E" w:rsidRPr="00317CFC">
        <w:rPr>
          <w:rFonts w:cstheme="minorHAnsi"/>
          <w:sz w:val="24"/>
          <w:szCs w:val="24"/>
        </w:rPr>
        <w:t>TIC</w:t>
      </w:r>
      <w:r w:rsidRPr="00317CFC">
        <w:rPr>
          <w:rFonts w:cstheme="minorHAnsi"/>
          <w:sz w:val="24"/>
          <w:szCs w:val="24"/>
        </w:rPr>
        <w:t xml:space="preserve"> pour améliorer la qualité de l'enseignement. Parmi ces outils, la plateforme </w:t>
      </w:r>
      <w:proofErr w:type="spellStart"/>
      <w:r w:rsidRPr="00317CFC">
        <w:rPr>
          <w:rFonts w:cstheme="minorHAnsi"/>
          <w:sz w:val="24"/>
          <w:szCs w:val="24"/>
        </w:rPr>
        <w:t>Classroom</w:t>
      </w:r>
      <w:proofErr w:type="spellEnd"/>
      <w:r w:rsidRPr="00317CFC">
        <w:rPr>
          <w:rFonts w:cstheme="minorHAnsi"/>
          <w:sz w:val="24"/>
          <w:szCs w:val="24"/>
        </w:rPr>
        <w:t xml:space="preserve"> se distingue en tant qu'espace de gestion de cours centralisé. Cette plateforme offre une interface conviviale pour la gestion efficace des cours, facilitant l'interaction entre enseignants et étudiants, ainsi que la distribution et la collecte des devoirs de manière organisée.</w:t>
      </w:r>
    </w:p>
    <w:p w:rsidR="00D57AD8" w:rsidRPr="00317CFC" w:rsidRDefault="00D57AD8" w:rsidP="00E55E99">
      <w:pPr>
        <w:jc w:val="both"/>
        <w:rPr>
          <w:rFonts w:cstheme="minorHAnsi"/>
          <w:sz w:val="24"/>
          <w:szCs w:val="24"/>
        </w:rPr>
      </w:pPr>
      <w:r w:rsidRPr="00317CFC">
        <w:rPr>
          <w:rFonts w:cstheme="minorHAnsi"/>
          <w:sz w:val="24"/>
          <w:szCs w:val="24"/>
        </w:rPr>
        <w:t xml:space="preserve">En parallèle, Google </w:t>
      </w:r>
      <w:proofErr w:type="spellStart"/>
      <w:r w:rsidRPr="00317CFC">
        <w:rPr>
          <w:rFonts w:cstheme="minorHAnsi"/>
          <w:sz w:val="24"/>
          <w:szCs w:val="24"/>
        </w:rPr>
        <w:t>Meet</w:t>
      </w:r>
      <w:proofErr w:type="spellEnd"/>
      <w:r w:rsidRPr="00317CFC">
        <w:rPr>
          <w:rFonts w:cstheme="minorHAnsi"/>
          <w:sz w:val="24"/>
          <w:szCs w:val="24"/>
        </w:rPr>
        <w:t xml:space="preserve"> joue un rôle essentiel dans la gestion des cours et des réunions à distance. Cette plateforme de visioconférence offre une expérience fluide et interactive, permettant aux participants de se connecter virtuellement pour des sessions d'apprentissage collaboratives ou des réunions administratives. La flexibilité offerte par Google </w:t>
      </w:r>
      <w:proofErr w:type="spellStart"/>
      <w:r w:rsidRPr="00317CFC">
        <w:rPr>
          <w:rFonts w:cstheme="minorHAnsi"/>
          <w:sz w:val="24"/>
          <w:szCs w:val="24"/>
        </w:rPr>
        <w:t>Meet</w:t>
      </w:r>
      <w:proofErr w:type="spellEnd"/>
      <w:r w:rsidRPr="00317CFC">
        <w:rPr>
          <w:rFonts w:cstheme="minorHAnsi"/>
          <w:sz w:val="24"/>
          <w:szCs w:val="24"/>
        </w:rPr>
        <w:t xml:space="preserve"> contribue à maintenir la continuité des activités éducatives, même dans des contextes d'enseignement à distance.</w:t>
      </w:r>
    </w:p>
    <w:p w:rsidR="00D57AD8" w:rsidRPr="00317CFC" w:rsidRDefault="00D57AD8" w:rsidP="00E55E99">
      <w:pPr>
        <w:jc w:val="both"/>
        <w:rPr>
          <w:rFonts w:cstheme="minorHAnsi"/>
          <w:sz w:val="24"/>
          <w:szCs w:val="24"/>
        </w:rPr>
      </w:pPr>
      <w:r w:rsidRPr="00317CFC">
        <w:rPr>
          <w:rFonts w:cstheme="minorHAnsi"/>
          <w:sz w:val="24"/>
          <w:szCs w:val="24"/>
        </w:rPr>
        <w:t xml:space="preserve">En ce qui concerne le partage de fichiers, nous faisons appel à Google Drive, une solution de stockage en ligne sécurisée et accessible. Cela facilite le partage rapide de documents, de ressources pédagogiques et d'informations pertinentes entre les membres de la communauté éducative. En parallèle, l'utilisation de Gmail, intégré à Google </w:t>
      </w:r>
      <w:proofErr w:type="spellStart"/>
      <w:r w:rsidRPr="00317CFC">
        <w:rPr>
          <w:rFonts w:cstheme="minorHAnsi"/>
          <w:sz w:val="24"/>
          <w:szCs w:val="24"/>
        </w:rPr>
        <w:t>Workspace</w:t>
      </w:r>
      <w:proofErr w:type="spellEnd"/>
      <w:r w:rsidRPr="00317CFC">
        <w:rPr>
          <w:rFonts w:cstheme="minorHAnsi"/>
          <w:sz w:val="24"/>
          <w:szCs w:val="24"/>
        </w:rPr>
        <w:t>, offre une communication efficace et rapide entre les différentes parties prenantes, favorisant ainsi une collaboration harmonieuse au sein de notre institut.</w:t>
      </w:r>
    </w:p>
    <w:p w:rsidR="00EA12F8" w:rsidRPr="00317CFC" w:rsidRDefault="00EA12F8" w:rsidP="00E55E99">
      <w:pPr>
        <w:pStyle w:val="Paragraphedeliste"/>
        <w:numPr>
          <w:ilvl w:val="0"/>
          <w:numId w:val="3"/>
        </w:numPr>
        <w:ind w:left="0" w:hanging="284"/>
        <w:jc w:val="both"/>
        <w:rPr>
          <w:rFonts w:cstheme="minorHAnsi"/>
          <w:sz w:val="24"/>
          <w:szCs w:val="24"/>
        </w:rPr>
      </w:pPr>
      <w:r w:rsidRPr="00317CFC">
        <w:rPr>
          <w:rFonts w:cstheme="minorHAnsi"/>
          <w:b/>
          <w:bCs/>
          <w:sz w:val="24"/>
          <w:szCs w:val="24"/>
        </w:rPr>
        <w:t>Logiciel de gestion de scolarité</w:t>
      </w:r>
      <w:r w:rsidRPr="00317CFC">
        <w:rPr>
          <w:rFonts w:cstheme="minorHAnsi"/>
          <w:sz w:val="24"/>
          <w:szCs w:val="24"/>
        </w:rPr>
        <w:t xml:space="preserve"> : Le </w:t>
      </w:r>
      <w:proofErr w:type="spellStart"/>
      <w:r w:rsidRPr="00317CFC">
        <w:rPr>
          <w:rFonts w:cstheme="minorHAnsi"/>
          <w:sz w:val="24"/>
          <w:szCs w:val="24"/>
        </w:rPr>
        <w:t>Supnum</w:t>
      </w:r>
      <w:proofErr w:type="spellEnd"/>
      <w:r w:rsidRPr="00317CFC">
        <w:rPr>
          <w:rFonts w:cstheme="minorHAnsi"/>
          <w:sz w:val="24"/>
          <w:szCs w:val="24"/>
        </w:rPr>
        <w:t xml:space="preserve"> optimise sa gestion académique grâce à un logiciel intégré dédié à la gestion de scolarité. Cette application web offre une interface conviviale pour simplifier les diverses tâches administratives liées à la vie académique. Conçue avec une compatibilité étroite avec le système universitaire LMD, elle met à disposition des utilisateurs des fonctionnalités telles que la consultation, la saisie et la mise à jour des données, tout en garantissant une sécurité renforcée des droits d'accès.</w:t>
      </w:r>
    </w:p>
    <w:p w:rsidR="00EA12F8" w:rsidRPr="00317CFC" w:rsidRDefault="00EA12F8" w:rsidP="00E55E99">
      <w:pPr>
        <w:pStyle w:val="Paragraphedeliste"/>
        <w:ind w:left="0"/>
        <w:jc w:val="both"/>
        <w:rPr>
          <w:rFonts w:cstheme="minorHAnsi"/>
          <w:sz w:val="24"/>
          <w:szCs w:val="24"/>
        </w:rPr>
      </w:pPr>
      <w:r w:rsidRPr="00317CFC">
        <w:rPr>
          <w:rFonts w:cstheme="minorHAnsi"/>
          <w:sz w:val="24"/>
          <w:szCs w:val="24"/>
        </w:rPr>
        <w:t xml:space="preserve">L'application web de gestion de scolarité du </w:t>
      </w:r>
      <w:proofErr w:type="spellStart"/>
      <w:r w:rsidRPr="00317CFC">
        <w:rPr>
          <w:rFonts w:cstheme="minorHAnsi"/>
          <w:sz w:val="24"/>
          <w:szCs w:val="24"/>
        </w:rPr>
        <w:t>Supnum</w:t>
      </w:r>
      <w:proofErr w:type="spellEnd"/>
      <w:r w:rsidRPr="00317CFC">
        <w:rPr>
          <w:rFonts w:cstheme="minorHAnsi"/>
          <w:sz w:val="24"/>
          <w:szCs w:val="24"/>
        </w:rPr>
        <w:t xml:space="preserve"> se distingue par son efficacité dans la facilitation des opérations administratives au sein de l'établissement. En accordant une importance particulière à la compatibilité avec le système universitaire LMD, elle permet aux utilisateurs d'accéder et de manipuler les données de manière fluide, tout en assurant un contrôle strict des droits d'utilisation. Cet outil représente ainsi un atout majeur pour une gestion académique efficiente et sécurisée au </w:t>
      </w:r>
      <w:proofErr w:type="spellStart"/>
      <w:r w:rsidRPr="00317CFC">
        <w:rPr>
          <w:rFonts w:cstheme="minorHAnsi"/>
          <w:sz w:val="24"/>
          <w:szCs w:val="24"/>
        </w:rPr>
        <w:t>Supnum</w:t>
      </w:r>
      <w:proofErr w:type="spellEnd"/>
      <w:r w:rsidRPr="00317CFC">
        <w:rPr>
          <w:rFonts w:cstheme="minorHAnsi"/>
          <w:sz w:val="24"/>
          <w:szCs w:val="24"/>
        </w:rPr>
        <w:t>.</w:t>
      </w:r>
    </w:p>
    <w:p w:rsidR="00152EE9" w:rsidRPr="00317CFC" w:rsidRDefault="00152EE9" w:rsidP="00E55E99">
      <w:pPr>
        <w:pStyle w:val="Paragraphedeliste"/>
        <w:ind w:left="0"/>
        <w:jc w:val="both"/>
        <w:rPr>
          <w:rFonts w:cstheme="minorHAnsi"/>
          <w:sz w:val="24"/>
          <w:szCs w:val="24"/>
        </w:rPr>
      </w:pPr>
    </w:p>
    <w:p w:rsidR="006D3CE2" w:rsidRPr="00317CFC" w:rsidRDefault="00EA12F8" w:rsidP="00E55E99">
      <w:pPr>
        <w:pStyle w:val="Paragraphedeliste"/>
        <w:numPr>
          <w:ilvl w:val="0"/>
          <w:numId w:val="3"/>
        </w:numPr>
        <w:ind w:left="0" w:hanging="284"/>
        <w:jc w:val="both"/>
        <w:rPr>
          <w:rFonts w:cstheme="minorHAnsi"/>
          <w:sz w:val="24"/>
          <w:szCs w:val="24"/>
        </w:rPr>
      </w:pPr>
      <w:r w:rsidRPr="00317CFC">
        <w:rPr>
          <w:rFonts w:cstheme="minorHAnsi"/>
          <w:b/>
          <w:bCs/>
          <w:sz w:val="24"/>
          <w:szCs w:val="24"/>
        </w:rPr>
        <w:t>Logiciel d’évaluation   des enseignements</w:t>
      </w:r>
      <w:r w:rsidRPr="00317CFC">
        <w:rPr>
          <w:rFonts w:cstheme="minorHAnsi"/>
          <w:sz w:val="24"/>
          <w:szCs w:val="24"/>
        </w:rPr>
        <w:t xml:space="preserve"> : </w:t>
      </w:r>
      <w:r w:rsidR="000434E4" w:rsidRPr="00317CFC">
        <w:rPr>
          <w:rFonts w:cstheme="minorHAnsi"/>
          <w:sz w:val="24"/>
          <w:szCs w:val="24"/>
        </w:rPr>
        <w:t xml:space="preserve"> </w:t>
      </w:r>
      <w:r w:rsidR="006D3CE2" w:rsidRPr="00317CFC">
        <w:rPr>
          <w:rFonts w:cstheme="minorHAnsi"/>
          <w:sz w:val="24"/>
          <w:szCs w:val="24"/>
        </w:rPr>
        <w:t xml:space="preserve">Le </w:t>
      </w:r>
      <w:proofErr w:type="spellStart"/>
      <w:r w:rsidR="006D3CE2" w:rsidRPr="00317CFC">
        <w:rPr>
          <w:rFonts w:cstheme="minorHAnsi"/>
          <w:sz w:val="24"/>
          <w:szCs w:val="24"/>
        </w:rPr>
        <w:t>Supnum</w:t>
      </w:r>
      <w:proofErr w:type="spellEnd"/>
      <w:r w:rsidR="006D3CE2" w:rsidRPr="00317CFC">
        <w:rPr>
          <w:rFonts w:cstheme="minorHAnsi"/>
          <w:sz w:val="24"/>
          <w:szCs w:val="24"/>
        </w:rPr>
        <w:t xml:space="preserve"> utilise un logiciel d'évaluation des enseignements qui offre aux étudiants la possibilité de partager leurs avis sur les cours et les enseignants. Le programme a recueilli un total impressionnant de 35 293 réponses provenant de l'évaluation de 159 étudiants portant sur 61 éléments de modules dispensés sur quatre semestres à l'Institut </w:t>
      </w:r>
      <w:proofErr w:type="spellStart"/>
      <w:r w:rsidR="006D3CE2" w:rsidRPr="00317CFC">
        <w:rPr>
          <w:rFonts w:cstheme="minorHAnsi"/>
          <w:sz w:val="24"/>
          <w:szCs w:val="24"/>
        </w:rPr>
        <w:t>SupNum</w:t>
      </w:r>
      <w:proofErr w:type="spellEnd"/>
      <w:r w:rsidR="006D3CE2" w:rsidRPr="00317CFC">
        <w:rPr>
          <w:rFonts w:cstheme="minorHAnsi"/>
          <w:sz w:val="24"/>
          <w:szCs w:val="24"/>
        </w:rPr>
        <w:t>. Dans un souci de liberté et d'objectivité, un système d'anonymat a été mis en place, garantissant ainsi la confidentialité des étudiants participants.</w:t>
      </w:r>
    </w:p>
    <w:p w:rsidR="00A31E83" w:rsidRPr="00317CFC" w:rsidRDefault="006D3CE2" w:rsidP="00E55E99">
      <w:pPr>
        <w:jc w:val="both"/>
        <w:rPr>
          <w:rFonts w:cstheme="minorHAnsi"/>
          <w:sz w:val="24"/>
          <w:szCs w:val="24"/>
        </w:rPr>
      </w:pPr>
      <w:r w:rsidRPr="00317CFC">
        <w:rPr>
          <w:rFonts w:cstheme="minorHAnsi"/>
          <w:sz w:val="24"/>
          <w:szCs w:val="24"/>
        </w:rPr>
        <w:t xml:space="preserve">Les retours d'évaluation des étudiants ont été traités avec rigueur et partagés de manière anonyme avec les structures éducatives concernées. Cette approche proactive a permis de formuler une liste d'actions correctives visant à proposer des solutions aux problèmes identifiés </w:t>
      </w:r>
      <w:r w:rsidRPr="00317CFC">
        <w:rPr>
          <w:rFonts w:cstheme="minorHAnsi"/>
          <w:sz w:val="24"/>
          <w:szCs w:val="24"/>
        </w:rPr>
        <w:lastRenderedPageBreak/>
        <w:t xml:space="preserve">en termes de qualité et de performance des enseignements. Ainsi, le processus d'évaluation contribue activement à l'amélioration continue de l'expérience éducative au sein du </w:t>
      </w:r>
      <w:proofErr w:type="spellStart"/>
      <w:r w:rsidRPr="00317CFC">
        <w:rPr>
          <w:rFonts w:cstheme="minorHAnsi"/>
          <w:sz w:val="24"/>
          <w:szCs w:val="24"/>
        </w:rPr>
        <w:t>Supnum</w:t>
      </w:r>
      <w:proofErr w:type="spellEnd"/>
      <w:r w:rsidRPr="00317CFC">
        <w:rPr>
          <w:rFonts w:cstheme="minorHAnsi"/>
          <w:sz w:val="24"/>
          <w:szCs w:val="24"/>
        </w:rPr>
        <w:t>, démontrant un engagement envers l'excellence académique.</w:t>
      </w:r>
    </w:p>
    <w:p w:rsidR="00A31E83" w:rsidRPr="00317CFC" w:rsidRDefault="00720DFD" w:rsidP="00E55E99">
      <w:pPr>
        <w:pStyle w:val="Paragraphedeliste"/>
        <w:numPr>
          <w:ilvl w:val="0"/>
          <w:numId w:val="3"/>
        </w:numPr>
        <w:ind w:left="0" w:hanging="284"/>
        <w:jc w:val="both"/>
        <w:rPr>
          <w:rFonts w:cstheme="minorHAnsi"/>
          <w:sz w:val="24"/>
          <w:szCs w:val="24"/>
        </w:rPr>
      </w:pPr>
      <w:r w:rsidRPr="00317CFC">
        <w:rPr>
          <w:rFonts w:cstheme="minorHAnsi"/>
          <w:b/>
          <w:bCs/>
          <w:sz w:val="24"/>
          <w:szCs w:val="24"/>
        </w:rPr>
        <w:t>Outil de gestion des paiements</w:t>
      </w:r>
      <w:r w:rsidRPr="00317CFC">
        <w:rPr>
          <w:rFonts w:cstheme="minorHAnsi"/>
          <w:sz w:val="24"/>
          <w:szCs w:val="24"/>
        </w:rPr>
        <w:t xml:space="preserve"> : À l'Institut, nous faisons usage d'un outil spécialisé dédié à la gestion des paiements, principalement dans le contexte des ressources humaines. Cette plateforme a été soigneusement choisie pour garantir une gestion transparente et efficace des transactions liées aux aspects financiers du personnel. En utilisant cet outil, nous nous assurons que les processus de paiement sont automatisés, ce qui contribue à réduire les erreurs potentielles tout en offrant une traçabilité précise de toutes les transactions.</w:t>
      </w:r>
    </w:p>
    <w:p w:rsidR="00720DFD" w:rsidRPr="00317CFC" w:rsidRDefault="00152EE9" w:rsidP="004A5798">
      <w:pPr>
        <w:ind w:hanging="284"/>
        <w:jc w:val="both"/>
        <w:rPr>
          <w:rFonts w:cstheme="minorHAnsi"/>
          <w:sz w:val="24"/>
          <w:szCs w:val="24"/>
        </w:rPr>
      </w:pPr>
      <w:r w:rsidRPr="00317CFC">
        <w:rPr>
          <w:rFonts w:cstheme="minorHAnsi"/>
          <w:b/>
          <w:bCs/>
          <w:sz w:val="24"/>
          <w:szCs w:val="24"/>
        </w:rPr>
        <w:t xml:space="preserve">e) </w:t>
      </w:r>
      <w:r w:rsidR="004B7E3E" w:rsidRPr="00317CFC">
        <w:rPr>
          <w:rFonts w:cstheme="minorHAnsi"/>
          <w:b/>
          <w:bCs/>
          <w:sz w:val="24"/>
          <w:szCs w:val="24"/>
        </w:rPr>
        <w:t xml:space="preserve">Outil </w:t>
      </w:r>
      <w:r w:rsidR="004A5798" w:rsidRPr="00317CFC">
        <w:rPr>
          <w:rFonts w:cstheme="minorHAnsi"/>
          <w:b/>
          <w:bCs/>
          <w:sz w:val="24"/>
          <w:szCs w:val="24"/>
        </w:rPr>
        <w:t xml:space="preserve">de </w:t>
      </w:r>
      <w:r w:rsidR="004A5798">
        <w:rPr>
          <w:rFonts w:cstheme="minorHAnsi"/>
          <w:b/>
          <w:bCs/>
          <w:sz w:val="24"/>
          <w:szCs w:val="24"/>
        </w:rPr>
        <w:t>planification de l’</w:t>
      </w:r>
      <w:r w:rsidR="004B7E3E" w:rsidRPr="00317CFC">
        <w:rPr>
          <w:rFonts w:cstheme="minorHAnsi"/>
          <w:b/>
          <w:bCs/>
          <w:sz w:val="24"/>
          <w:szCs w:val="24"/>
        </w:rPr>
        <w:t xml:space="preserve">emploi de temps :   </w:t>
      </w:r>
      <w:r w:rsidR="004B7E3E" w:rsidRPr="00317CFC">
        <w:rPr>
          <w:rFonts w:cstheme="minorHAnsi"/>
          <w:sz w:val="24"/>
          <w:szCs w:val="24"/>
        </w:rPr>
        <w:t>N</w:t>
      </w:r>
      <w:r w:rsidR="004B7E3E" w:rsidRPr="00317CFC">
        <w:rPr>
          <w:rFonts w:cstheme="minorHAnsi"/>
          <w:sz w:val="24"/>
          <w:szCs w:val="24"/>
        </w:rPr>
        <w:t xml:space="preserve">ous avons mis en place </w:t>
      </w:r>
      <w:r w:rsidR="004B7E3E" w:rsidRPr="00317CFC">
        <w:rPr>
          <w:rFonts w:cstheme="minorHAnsi"/>
          <w:sz w:val="24"/>
          <w:szCs w:val="24"/>
        </w:rPr>
        <w:t xml:space="preserve">au sein de l’institut </w:t>
      </w:r>
      <w:r w:rsidR="004B7E3E" w:rsidRPr="00317CFC">
        <w:rPr>
          <w:rFonts w:cstheme="minorHAnsi"/>
          <w:sz w:val="24"/>
          <w:szCs w:val="24"/>
        </w:rPr>
        <w:t xml:space="preserve">un outil avancé de gestion des emplois du temps. Cet outil a été spécialement conçu pour simplifier et rationaliser le processus de création, de modification et de suivi des horaires pour les cours, les </w:t>
      </w:r>
      <w:r w:rsidR="004B7E3E" w:rsidRPr="00317CFC">
        <w:rPr>
          <w:rFonts w:cstheme="minorHAnsi"/>
          <w:sz w:val="24"/>
          <w:szCs w:val="24"/>
        </w:rPr>
        <w:t>encadrements</w:t>
      </w:r>
      <w:r w:rsidR="004B7E3E" w:rsidRPr="00317CFC">
        <w:rPr>
          <w:rFonts w:cstheme="minorHAnsi"/>
          <w:sz w:val="24"/>
          <w:szCs w:val="24"/>
        </w:rPr>
        <w:t xml:space="preserve"> et d'autres événements clés.</w:t>
      </w:r>
      <w:r w:rsidR="004B7E3E" w:rsidRPr="00317CFC">
        <w:rPr>
          <w:rFonts w:cstheme="minorHAnsi"/>
          <w:sz w:val="24"/>
          <w:szCs w:val="24"/>
        </w:rPr>
        <w:t xml:space="preserve"> </w:t>
      </w:r>
      <w:r w:rsidR="004B7E3E" w:rsidRPr="00317CFC">
        <w:rPr>
          <w:rFonts w:cstheme="minorHAnsi"/>
          <w:sz w:val="24"/>
          <w:szCs w:val="24"/>
        </w:rPr>
        <w:t>L'outil de gestion des emplois du temps offre une interface conviviale permettant aux responsables de planifier les horaires de manière efficace tout en prenant en compte les disponibilités des enseigna</w:t>
      </w:r>
      <w:r w:rsidR="004B7E3E" w:rsidRPr="00317CFC">
        <w:rPr>
          <w:rFonts w:cstheme="minorHAnsi"/>
          <w:sz w:val="24"/>
          <w:szCs w:val="24"/>
        </w:rPr>
        <w:t>nts, du personnel et des salles</w:t>
      </w:r>
      <w:r w:rsidR="004B7E3E" w:rsidRPr="00317CFC">
        <w:rPr>
          <w:rFonts w:cstheme="minorHAnsi"/>
          <w:sz w:val="24"/>
          <w:szCs w:val="24"/>
        </w:rPr>
        <w:t>. Grâce à cet outil, les étudiants et le personnel peuvent accéder facilement à leurs horaires actualisés, ce qui contribue à une organisation plus efficace de leurs journées.</w:t>
      </w:r>
    </w:p>
    <w:p w:rsidR="00720DFD" w:rsidRPr="00317CFC" w:rsidRDefault="00152EE9" w:rsidP="00E55E99">
      <w:pPr>
        <w:ind w:hanging="284"/>
        <w:jc w:val="both"/>
        <w:rPr>
          <w:rFonts w:cstheme="minorHAnsi"/>
          <w:sz w:val="24"/>
          <w:szCs w:val="24"/>
        </w:rPr>
      </w:pPr>
      <w:r w:rsidRPr="00317CFC">
        <w:rPr>
          <w:rFonts w:cstheme="minorHAnsi"/>
          <w:b/>
          <w:bCs/>
          <w:sz w:val="24"/>
          <w:szCs w:val="24"/>
        </w:rPr>
        <w:t xml:space="preserve">f) </w:t>
      </w:r>
      <w:r w:rsidR="00720DFD" w:rsidRPr="00317CFC">
        <w:rPr>
          <w:rFonts w:cstheme="minorHAnsi"/>
          <w:b/>
          <w:bCs/>
          <w:sz w:val="24"/>
          <w:szCs w:val="24"/>
        </w:rPr>
        <w:t>Site web</w:t>
      </w:r>
      <w:r w:rsidR="00720DFD" w:rsidRPr="00317CFC">
        <w:rPr>
          <w:rFonts w:cstheme="minorHAnsi"/>
          <w:sz w:val="24"/>
          <w:szCs w:val="24"/>
        </w:rPr>
        <w:t> </w:t>
      </w:r>
      <w:r w:rsidR="001144A4">
        <w:rPr>
          <w:rFonts w:cstheme="minorHAnsi"/>
          <w:sz w:val="24"/>
          <w:szCs w:val="24"/>
        </w:rPr>
        <w:t>: Le</w:t>
      </w:r>
      <w:r w:rsidR="00720DFD" w:rsidRPr="00317CFC">
        <w:rPr>
          <w:rFonts w:cstheme="minorHAnsi"/>
          <w:sz w:val="24"/>
          <w:szCs w:val="24"/>
        </w:rPr>
        <w:t xml:space="preserve"> site (</w:t>
      </w:r>
      <w:hyperlink r:id="rId5" w:history="1">
        <w:r w:rsidR="00720DFD" w:rsidRPr="00317CFC">
          <w:rPr>
            <w:rStyle w:val="Lienhypertexte"/>
            <w:rFonts w:cstheme="minorHAnsi"/>
            <w:sz w:val="24"/>
            <w:szCs w:val="24"/>
          </w:rPr>
          <w:t>supnum.mr</w:t>
        </w:r>
      </w:hyperlink>
      <w:r w:rsidR="00720DFD" w:rsidRPr="00317CFC">
        <w:rPr>
          <w:rFonts w:cstheme="minorHAnsi"/>
          <w:sz w:val="24"/>
          <w:szCs w:val="24"/>
        </w:rPr>
        <w:t>) constitue une vitrine numérique, créée dans le but de fournir une expérience utilisateur simple et informative. Il présente de manière concise les programmes de licence axés sur le développement des compétences clés pour les métiers du numérique. La structure claire et intuitive facilite l'accès aux informations essentielles, notamment les détails sur les cursus, les modalités d'inscription et les perspectives professionnelles pour les diplômés.</w:t>
      </w:r>
    </w:p>
    <w:p w:rsidR="00E55E99" w:rsidRPr="00317CFC" w:rsidRDefault="00152EE9" w:rsidP="00317CFC">
      <w:pPr>
        <w:ind w:hanging="284"/>
        <w:jc w:val="both"/>
        <w:rPr>
          <w:rFonts w:cstheme="minorHAnsi"/>
          <w:sz w:val="24"/>
          <w:szCs w:val="24"/>
        </w:rPr>
      </w:pPr>
      <w:r w:rsidRPr="00317CFC">
        <w:rPr>
          <w:rFonts w:cstheme="minorHAnsi"/>
          <w:b/>
          <w:bCs/>
          <w:sz w:val="24"/>
          <w:szCs w:val="24"/>
        </w:rPr>
        <w:t xml:space="preserve">g) </w:t>
      </w:r>
      <w:r w:rsidR="009B03BA" w:rsidRPr="00317CFC">
        <w:rPr>
          <w:rFonts w:cstheme="minorHAnsi"/>
          <w:b/>
          <w:bCs/>
          <w:sz w:val="24"/>
          <w:szCs w:val="24"/>
        </w:rPr>
        <w:t>Réseaux sociaux</w:t>
      </w:r>
      <w:r w:rsidR="009B03BA" w:rsidRPr="00317CFC">
        <w:rPr>
          <w:rFonts w:cstheme="minorHAnsi"/>
          <w:sz w:val="24"/>
          <w:szCs w:val="24"/>
        </w:rPr>
        <w:t xml:space="preserve"> : L'Institut utilise également les plateformes de réseaux sociaux pour assurer un partage rapide d'informations. Sa page Facebook </w:t>
      </w:r>
      <w:r w:rsidR="001144A4">
        <w:rPr>
          <w:rFonts w:cstheme="minorHAnsi"/>
          <w:sz w:val="24"/>
          <w:szCs w:val="24"/>
        </w:rPr>
        <w:t>(</w:t>
      </w:r>
      <w:hyperlink r:id="rId6" w:history="1">
        <w:r w:rsidR="001144A4" w:rsidRPr="001144A4">
          <w:rPr>
            <w:rStyle w:val="Lienhypertexte"/>
            <w:rFonts w:cstheme="minorHAnsi"/>
            <w:sz w:val="24"/>
            <w:szCs w:val="24"/>
          </w:rPr>
          <w:t>lien</w:t>
        </w:r>
      </w:hyperlink>
      <w:r w:rsidR="001144A4">
        <w:rPr>
          <w:rFonts w:cstheme="minorHAnsi"/>
          <w:sz w:val="24"/>
          <w:szCs w:val="24"/>
        </w:rPr>
        <w:t xml:space="preserve">) </w:t>
      </w:r>
      <w:r w:rsidR="009B03BA" w:rsidRPr="00317CFC">
        <w:rPr>
          <w:rFonts w:cstheme="minorHAnsi"/>
          <w:sz w:val="24"/>
          <w:szCs w:val="24"/>
        </w:rPr>
        <w:t>est très active, regroupant les principales activités ainsi qu'une plateforme rapide de partage d'informations</w:t>
      </w:r>
      <w:r w:rsidR="001144A4">
        <w:rPr>
          <w:rFonts w:cstheme="minorHAnsi"/>
          <w:sz w:val="24"/>
          <w:szCs w:val="24"/>
        </w:rPr>
        <w:t xml:space="preserve">.  </w:t>
      </w:r>
    </w:p>
    <w:p w:rsidR="00317CFC" w:rsidRPr="00317CFC" w:rsidRDefault="00E55E99" w:rsidP="00317CFC">
      <w:pPr>
        <w:pStyle w:val="Titre2"/>
        <w:jc w:val="both"/>
        <w:rPr>
          <w:rFonts w:asciiTheme="minorHAnsi" w:hAnsiTheme="minorHAnsi" w:cstheme="minorHAnsi"/>
          <w:sz w:val="28"/>
          <w:szCs w:val="28"/>
        </w:rPr>
      </w:pPr>
      <w:r w:rsidRPr="00317CFC">
        <w:rPr>
          <w:rStyle w:val="Titre2Car"/>
          <w:rFonts w:asciiTheme="minorHAnsi" w:hAnsiTheme="minorHAnsi" w:cstheme="minorHAnsi"/>
          <w:b/>
          <w:bCs/>
          <w:sz w:val="28"/>
          <w:szCs w:val="28"/>
        </w:rPr>
        <w:t>Ressources m</w:t>
      </w:r>
      <w:r w:rsidR="004B7E3E" w:rsidRPr="00317CFC">
        <w:rPr>
          <w:rStyle w:val="Titre2Car"/>
          <w:rFonts w:asciiTheme="minorHAnsi" w:hAnsiTheme="minorHAnsi" w:cstheme="minorHAnsi"/>
          <w:b/>
          <w:bCs/>
          <w:sz w:val="28"/>
          <w:szCs w:val="28"/>
        </w:rPr>
        <w:t>atérielles</w:t>
      </w:r>
      <w:r w:rsidR="004B7E3E" w:rsidRPr="00317CFC">
        <w:rPr>
          <w:rFonts w:asciiTheme="minorHAnsi" w:hAnsiTheme="minorHAnsi" w:cstheme="minorHAnsi"/>
          <w:b w:val="0"/>
          <w:bCs w:val="0"/>
          <w:sz w:val="28"/>
          <w:szCs w:val="28"/>
        </w:rPr>
        <w:t> </w:t>
      </w:r>
      <w:r w:rsidR="004B7E3E" w:rsidRPr="00317CFC">
        <w:rPr>
          <w:rFonts w:asciiTheme="minorHAnsi" w:hAnsiTheme="minorHAnsi" w:cstheme="minorHAnsi"/>
          <w:sz w:val="28"/>
          <w:szCs w:val="28"/>
        </w:rPr>
        <w:t xml:space="preserve">: </w:t>
      </w:r>
    </w:p>
    <w:p w:rsidR="00E55E99" w:rsidRPr="00317CFC" w:rsidRDefault="00E55E99" w:rsidP="004A5798">
      <w:pPr>
        <w:pStyle w:val="Paragraphedeliste"/>
        <w:numPr>
          <w:ilvl w:val="0"/>
          <w:numId w:val="5"/>
        </w:numPr>
        <w:ind w:left="0" w:hanging="284"/>
        <w:jc w:val="both"/>
        <w:rPr>
          <w:rFonts w:cstheme="minorHAnsi"/>
          <w:sz w:val="24"/>
          <w:szCs w:val="24"/>
        </w:rPr>
      </w:pPr>
      <w:r w:rsidRPr="00317CFC">
        <w:rPr>
          <w:rFonts w:cstheme="minorHAnsi"/>
          <w:b/>
          <w:bCs/>
          <w:sz w:val="24"/>
          <w:szCs w:val="24"/>
        </w:rPr>
        <w:t>Laboratoire multimédia</w:t>
      </w:r>
      <w:r w:rsidRPr="00317CFC">
        <w:rPr>
          <w:rFonts w:cstheme="minorHAnsi"/>
          <w:sz w:val="24"/>
          <w:szCs w:val="24"/>
        </w:rPr>
        <w:t xml:space="preserve"> : Le </w:t>
      </w:r>
      <w:proofErr w:type="spellStart"/>
      <w:r w:rsidRPr="00317CFC">
        <w:rPr>
          <w:rFonts w:cstheme="minorHAnsi"/>
          <w:sz w:val="24"/>
          <w:szCs w:val="24"/>
        </w:rPr>
        <w:t>Supnum</w:t>
      </w:r>
      <w:proofErr w:type="spellEnd"/>
      <w:r w:rsidRPr="00317CFC">
        <w:rPr>
          <w:rFonts w:cstheme="minorHAnsi"/>
          <w:sz w:val="24"/>
          <w:szCs w:val="24"/>
        </w:rPr>
        <w:t xml:space="preserve"> met à la disposition des étudiants de la </w:t>
      </w:r>
      <w:bookmarkStart w:id="0" w:name="_GoBack"/>
      <w:bookmarkEnd w:id="0"/>
      <w:r w:rsidRPr="00317CFC">
        <w:rPr>
          <w:rFonts w:cstheme="minorHAnsi"/>
          <w:sz w:val="24"/>
          <w:szCs w:val="24"/>
        </w:rPr>
        <w:t xml:space="preserve">spécialité multimédia un laboratoire moderne et bien équipé, comprenant une large gamme de matériels dédiés aux technologies multimédias. Ce laboratoire est spécialement conçu pour offrir un environnement </w:t>
      </w:r>
      <w:r w:rsidR="004A5798">
        <w:rPr>
          <w:rFonts w:cstheme="minorHAnsi"/>
          <w:sz w:val="24"/>
          <w:szCs w:val="24"/>
        </w:rPr>
        <w:t>favorable</w:t>
      </w:r>
      <w:r w:rsidRPr="00317CFC">
        <w:rPr>
          <w:rFonts w:cstheme="minorHAnsi"/>
          <w:sz w:val="24"/>
          <w:szCs w:val="24"/>
        </w:rPr>
        <w:t xml:space="preserve"> à l'exploration et à la création dans le domaine du multimédia. Parmi les équipements disponibles, on compte des caméras de pointe et des ordinateurs équipés de logiciels spécialisés permettant le traitement efficace des sons et des vidéos.</w:t>
      </w:r>
    </w:p>
    <w:p w:rsidR="004B7E3E" w:rsidRPr="00317CFC" w:rsidRDefault="00E55E99" w:rsidP="00E55E99">
      <w:pPr>
        <w:jc w:val="both"/>
        <w:rPr>
          <w:rFonts w:cstheme="minorHAnsi"/>
          <w:sz w:val="24"/>
          <w:szCs w:val="24"/>
        </w:rPr>
      </w:pPr>
      <w:r w:rsidRPr="00317CFC">
        <w:rPr>
          <w:rFonts w:cstheme="minorHAnsi"/>
          <w:sz w:val="24"/>
          <w:szCs w:val="24"/>
        </w:rPr>
        <w:t xml:space="preserve">Ce lieu d'apprentissage avancé offre aux étudiants la possibilité de mettre en pratique les concepts théoriques appris en classe, favorisant ainsi une compréhension approfondie des différentes dimensions du multimédia. </w:t>
      </w:r>
    </w:p>
    <w:p w:rsidR="00317CFC" w:rsidRPr="00317CFC" w:rsidRDefault="00E55E99" w:rsidP="00317CFC">
      <w:pPr>
        <w:pStyle w:val="Paragraphedeliste"/>
        <w:numPr>
          <w:ilvl w:val="0"/>
          <w:numId w:val="5"/>
        </w:numPr>
        <w:ind w:left="0" w:hanging="284"/>
        <w:jc w:val="both"/>
        <w:rPr>
          <w:rFonts w:cstheme="minorHAnsi"/>
        </w:rPr>
      </w:pPr>
      <w:r w:rsidRPr="00317CFC">
        <w:rPr>
          <w:rFonts w:cstheme="minorHAnsi"/>
          <w:b/>
          <w:bCs/>
          <w:sz w:val="24"/>
          <w:szCs w:val="24"/>
        </w:rPr>
        <w:t>Laboratoire réseaux </w:t>
      </w:r>
      <w:r w:rsidRPr="00317CFC">
        <w:rPr>
          <w:rFonts w:cstheme="minorHAnsi"/>
          <w:sz w:val="24"/>
          <w:szCs w:val="24"/>
        </w:rPr>
        <w:t>:</w:t>
      </w:r>
      <w:r w:rsidR="004A5798">
        <w:rPr>
          <w:rFonts w:cstheme="minorHAnsi"/>
          <w:sz w:val="24"/>
          <w:szCs w:val="24"/>
        </w:rPr>
        <w:t xml:space="preserve"> L</w:t>
      </w:r>
      <w:r w:rsidR="00317CFC" w:rsidRPr="00317CFC">
        <w:rPr>
          <w:rFonts w:cstheme="minorHAnsi"/>
        </w:rPr>
        <w:t xml:space="preserve">e laboratoire réseaux du </w:t>
      </w:r>
      <w:proofErr w:type="spellStart"/>
      <w:r w:rsidR="00317CFC" w:rsidRPr="00317CFC">
        <w:rPr>
          <w:rFonts w:cstheme="minorHAnsi"/>
        </w:rPr>
        <w:t>Supnum</w:t>
      </w:r>
      <w:proofErr w:type="spellEnd"/>
      <w:r w:rsidR="00317CFC" w:rsidRPr="00317CFC">
        <w:rPr>
          <w:rFonts w:cstheme="minorHAnsi"/>
        </w:rPr>
        <w:t xml:space="preserve"> dispose de serveurs, de routeurs, de commutateurs et d'autres équipements spécialisés. Ces outils permettent aux étudiants de mettre en pratique les concepts théoriques liés à la conception, à la configuration et à la gestion des réseaux informatiques. Grâce à ces ressources, les étudiants ont l'opportunité de se familiariser avec les protocoles de communication, la sécurité des réseaux et d'autres aspects cruciaux de l'administration réseau.</w:t>
      </w:r>
    </w:p>
    <w:p w:rsidR="00824146" w:rsidRDefault="00824146" w:rsidP="00824146">
      <w:pPr>
        <w:pStyle w:val="Paragraphedeliste"/>
        <w:ind w:left="0"/>
        <w:jc w:val="both"/>
        <w:rPr>
          <w:rFonts w:cstheme="minorHAnsi"/>
          <w:sz w:val="24"/>
          <w:szCs w:val="24"/>
        </w:rPr>
      </w:pPr>
    </w:p>
    <w:p w:rsidR="004A5798" w:rsidRDefault="004A5798" w:rsidP="004A5798">
      <w:pPr>
        <w:pStyle w:val="Paragraphedeliste"/>
        <w:numPr>
          <w:ilvl w:val="0"/>
          <w:numId w:val="5"/>
        </w:numPr>
        <w:tabs>
          <w:tab w:val="left" w:pos="284"/>
        </w:tabs>
        <w:ind w:left="284" w:hanging="284"/>
        <w:jc w:val="both"/>
        <w:rPr>
          <w:rFonts w:cstheme="minorHAnsi"/>
        </w:rPr>
      </w:pPr>
      <w:r w:rsidRPr="004A5798">
        <w:rPr>
          <w:rFonts w:cstheme="minorHAnsi"/>
          <w:b/>
          <w:bCs/>
          <w:sz w:val="24"/>
          <w:szCs w:val="24"/>
        </w:rPr>
        <w:t>Connexion</w:t>
      </w:r>
      <w:r>
        <w:rPr>
          <w:rFonts w:cstheme="minorHAnsi"/>
          <w:b/>
          <w:bCs/>
          <w:sz w:val="24"/>
          <w:szCs w:val="24"/>
        </w:rPr>
        <w:t xml:space="preserve"> internet (fibre optique):  </w:t>
      </w:r>
      <w:r w:rsidRPr="004A5798">
        <w:rPr>
          <w:rFonts w:cstheme="minorHAnsi"/>
        </w:rPr>
        <w:t xml:space="preserve">L'Institut met à disposition une connexion internet de haute qualité. Grâce à l'infrastructure de fibre optique, nous offrons aux étudiants </w:t>
      </w:r>
      <w:r>
        <w:rPr>
          <w:rFonts w:cstheme="minorHAnsi"/>
        </w:rPr>
        <w:t xml:space="preserve">et aux personnels </w:t>
      </w:r>
      <w:r w:rsidRPr="004A5798">
        <w:rPr>
          <w:rFonts w:cstheme="minorHAnsi"/>
        </w:rPr>
        <w:t>un accès à Internet rapide et fiable. Cette technologie de pointe garantit des débits élevés, facilitant ainsi la navigation, le téléchargement de contenus et l'accès aux ressources en ligne de manière fluid</w:t>
      </w:r>
      <w:r>
        <w:rPr>
          <w:rFonts w:cstheme="minorHAnsi"/>
        </w:rPr>
        <w:t xml:space="preserve">e </w:t>
      </w:r>
    </w:p>
    <w:p w:rsidR="004A5798" w:rsidRPr="004A5798" w:rsidRDefault="004A5798" w:rsidP="004A5798">
      <w:pPr>
        <w:pStyle w:val="Paragraphedeliste"/>
        <w:rPr>
          <w:rFonts w:cstheme="minorHAnsi"/>
        </w:rPr>
      </w:pPr>
    </w:p>
    <w:p w:rsidR="004A5798" w:rsidRPr="004A5798" w:rsidRDefault="004A5798" w:rsidP="004A5798">
      <w:pPr>
        <w:pStyle w:val="Paragraphedeliste"/>
        <w:tabs>
          <w:tab w:val="left" w:pos="284"/>
        </w:tabs>
        <w:ind w:left="284"/>
        <w:jc w:val="both"/>
        <w:rPr>
          <w:rFonts w:cstheme="minorHAnsi"/>
        </w:rPr>
      </w:pPr>
      <w:r>
        <w:rPr>
          <w:rFonts w:cstheme="minorHAnsi"/>
        </w:rPr>
        <w:t>Grace à</w:t>
      </w:r>
      <w:r w:rsidRPr="004A5798">
        <w:rPr>
          <w:rFonts w:cstheme="minorHAnsi"/>
        </w:rPr>
        <w:t xml:space="preserve"> une connexion internet de haute qualité, l'Institut s'engage à créer un environnement </w:t>
      </w:r>
      <w:r>
        <w:rPr>
          <w:rFonts w:cstheme="minorHAnsi"/>
        </w:rPr>
        <w:t>favorable</w:t>
      </w:r>
      <w:r w:rsidRPr="004A5798">
        <w:rPr>
          <w:rFonts w:cstheme="minorHAnsi"/>
        </w:rPr>
        <w:t xml:space="preserve"> à l'apprentissage numérique et à soutenir les activités académiques qui nécessitent une connectivité fiable et performante</w:t>
      </w:r>
    </w:p>
    <w:p w:rsidR="00A5241D" w:rsidRPr="00317CFC" w:rsidRDefault="00A5241D" w:rsidP="00E55E99">
      <w:pPr>
        <w:jc w:val="both"/>
        <w:rPr>
          <w:rFonts w:cstheme="minorHAnsi"/>
          <w:sz w:val="24"/>
          <w:szCs w:val="24"/>
        </w:rPr>
      </w:pPr>
    </w:p>
    <w:sectPr w:rsidR="00A5241D" w:rsidRPr="00317CFC" w:rsidSect="00C471CD">
      <w:pgSz w:w="11906" w:h="16838"/>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7B5A"/>
    <w:multiLevelType w:val="hybridMultilevel"/>
    <w:tmpl w:val="3A728A06"/>
    <w:lvl w:ilvl="0" w:tplc="069CCD3C">
      <w:start w:val="1"/>
      <w:numFmt w:val="upperRoman"/>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97C3B"/>
    <w:multiLevelType w:val="hybridMultilevel"/>
    <w:tmpl w:val="CE06372E"/>
    <w:lvl w:ilvl="0" w:tplc="3990B966">
      <w:start w:val="1"/>
      <w:numFmt w:val="low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7E6701"/>
    <w:multiLevelType w:val="hybridMultilevel"/>
    <w:tmpl w:val="4C8869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5C27E8"/>
    <w:multiLevelType w:val="hybridMultilevel"/>
    <w:tmpl w:val="6E50703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D9B346F"/>
    <w:multiLevelType w:val="hybridMultilevel"/>
    <w:tmpl w:val="5D24C062"/>
    <w:lvl w:ilvl="0" w:tplc="E158A570">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1D"/>
    <w:rsid w:val="00006F21"/>
    <w:rsid w:val="00037BE0"/>
    <w:rsid w:val="000434E4"/>
    <w:rsid w:val="001144A4"/>
    <w:rsid w:val="00152EE9"/>
    <w:rsid w:val="00317CFC"/>
    <w:rsid w:val="00416A13"/>
    <w:rsid w:val="004A5798"/>
    <w:rsid w:val="004B7E3E"/>
    <w:rsid w:val="004C2B31"/>
    <w:rsid w:val="006B3228"/>
    <w:rsid w:val="006D3CE2"/>
    <w:rsid w:val="00720DFD"/>
    <w:rsid w:val="00824146"/>
    <w:rsid w:val="00824994"/>
    <w:rsid w:val="009065D7"/>
    <w:rsid w:val="00931550"/>
    <w:rsid w:val="009B03BA"/>
    <w:rsid w:val="009D3837"/>
    <w:rsid w:val="00A02B99"/>
    <w:rsid w:val="00A31E83"/>
    <w:rsid w:val="00A5241D"/>
    <w:rsid w:val="00A542A0"/>
    <w:rsid w:val="00C471CD"/>
    <w:rsid w:val="00C94A35"/>
    <w:rsid w:val="00D57AD8"/>
    <w:rsid w:val="00D63E6B"/>
    <w:rsid w:val="00DC731E"/>
    <w:rsid w:val="00E4537F"/>
    <w:rsid w:val="00E55E99"/>
    <w:rsid w:val="00EA12F8"/>
    <w:rsid w:val="00EA4A27"/>
    <w:rsid w:val="00F2173C"/>
    <w:rsid w:val="00F72651"/>
    <w:rsid w:val="00F86CFE"/>
    <w:rsid w:val="00F965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5E1A"/>
  <w15:chartTrackingRefBased/>
  <w15:docId w15:val="{35FFC218-7A0D-43DC-B3CC-8DA87734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4B7E3E"/>
    <w:pPr>
      <w:keepNext/>
      <w:keepLines/>
      <w:numPr>
        <w:numId w:val="2"/>
      </w:numPr>
      <w:spacing w:before="40" w:after="0"/>
      <w:outlineLvl w:val="1"/>
    </w:pPr>
    <w:rPr>
      <w:rFonts w:asciiTheme="majorHAnsi" w:eastAsiaTheme="majorEastAsia" w:hAnsiTheme="majorHAnsi" w:cstheme="majorBidi"/>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63E6B"/>
    <w:rPr>
      <w:color w:val="0563C1" w:themeColor="hyperlink"/>
      <w:u w:val="single"/>
    </w:rPr>
  </w:style>
  <w:style w:type="paragraph" w:styleId="Paragraphedeliste">
    <w:name w:val="List Paragraph"/>
    <w:basedOn w:val="Normal"/>
    <w:uiPriority w:val="34"/>
    <w:qFormat/>
    <w:rsid w:val="004B7E3E"/>
    <w:pPr>
      <w:ind w:left="720"/>
      <w:contextualSpacing/>
    </w:pPr>
  </w:style>
  <w:style w:type="character" w:customStyle="1" w:styleId="Titre2Car">
    <w:name w:val="Titre 2 Car"/>
    <w:basedOn w:val="Policepardfaut"/>
    <w:link w:val="Titre2"/>
    <w:uiPriority w:val="9"/>
    <w:rsid w:val="004B7E3E"/>
    <w:rPr>
      <w:rFonts w:asciiTheme="majorHAnsi" w:eastAsiaTheme="majorEastAsia" w:hAnsiTheme="majorHAnsi" w:cstheme="majorBidi"/>
      <w:b/>
      <w:bCs/>
      <w:sz w:val="26"/>
      <w:szCs w:val="26"/>
    </w:rPr>
  </w:style>
  <w:style w:type="paragraph" w:styleId="NormalWeb">
    <w:name w:val="Normal (Web)"/>
    <w:basedOn w:val="Normal"/>
    <w:uiPriority w:val="99"/>
    <w:semiHidden/>
    <w:unhideWhenUsed/>
    <w:rsid w:val="00317C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85977">
      <w:bodyDiv w:val="1"/>
      <w:marLeft w:val="0"/>
      <w:marRight w:val="0"/>
      <w:marTop w:val="0"/>
      <w:marBottom w:val="0"/>
      <w:divBdr>
        <w:top w:val="none" w:sz="0" w:space="0" w:color="auto"/>
        <w:left w:val="none" w:sz="0" w:space="0" w:color="auto"/>
        <w:bottom w:val="none" w:sz="0" w:space="0" w:color="auto"/>
        <w:right w:val="none" w:sz="0" w:space="0" w:color="auto"/>
      </w:divBdr>
    </w:div>
    <w:div w:id="277568242">
      <w:bodyDiv w:val="1"/>
      <w:marLeft w:val="0"/>
      <w:marRight w:val="0"/>
      <w:marTop w:val="0"/>
      <w:marBottom w:val="0"/>
      <w:divBdr>
        <w:top w:val="none" w:sz="0" w:space="0" w:color="auto"/>
        <w:left w:val="none" w:sz="0" w:space="0" w:color="auto"/>
        <w:bottom w:val="none" w:sz="0" w:space="0" w:color="auto"/>
        <w:right w:val="none" w:sz="0" w:space="0" w:color="auto"/>
      </w:divBdr>
    </w:div>
    <w:div w:id="440076709">
      <w:bodyDiv w:val="1"/>
      <w:marLeft w:val="0"/>
      <w:marRight w:val="0"/>
      <w:marTop w:val="0"/>
      <w:marBottom w:val="0"/>
      <w:divBdr>
        <w:top w:val="none" w:sz="0" w:space="0" w:color="auto"/>
        <w:left w:val="none" w:sz="0" w:space="0" w:color="auto"/>
        <w:bottom w:val="none" w:sz="0" w:space="0" w:color="auto"/>
        <w:right w:val="none" w:sz="0" w:space="0" w:color="auto"/>
      </w:divBdr>
    </w:div>
    <w:div w:id="695890617">
      <w:bodyDiv w:val="1"/>
      <w:marLeft w:val="0"/>
      <w:marRight w:val="0"/>
      <w:marTop w:val="0"/>
      <w:marBottom w:val="0"/>
      <w:divBdr>
        <w:top w:val="none" w:sz="0" w:space="0" w:color="auto"/>
        <w:left w:val="none" w:sz="0" w:space="0" w:color="auto"/>
        <w:bottom w:val="none" w:sz="0" w:space="0" w:color="auto"/>
        <w:right w:val="none" w:sz="0" w:space="0" w:color="auto"/>
      </w:divBdr>
    </w:div>
    <w:div w:id="1057893942">
      <w:bodyDiv w:val="1"/>
      <w:marLeft w:val="0"/>
      <w:marRight w:val="0"/>
      <w:marTop w:val="0"/>
      <w:marBottom w:val="0"/>
      <w:divBdr>
        <w:top w:val="none" w:sz="0" w:space="0" w:color="auto"/>
        <w:left w:val="none" w:sz="0" w:space="0" w:color="auto"/>
        <w:bottom w:val="none" w:sz="0" w:space="0" w:color="auto"/>
        <w:right w:val="none" w:sz="0" w:space="0" w:color="auto"/>
      </w:divBdr>
    </w:div>
    <w:div w:id="1292203282">
      <w:bodyDiv w:val="1"/>
      <w:marLeft w:val="0"/>
      <w:marRight w:val="0"/>
      <w:marTop w:val="0"/>
      <w:marBottom w:val="0"/>
      <w:divBdr>
        <w:top w:val="none" w:sz="0" w:space="0" w:color="auto"/>
        <w:left w:val="none" w:sz="0" w:space="0" w:color="auto"/>
        <w:bottom w:val="none" w:sz="0" w:space="0" w:color="auto"/>
        <w:right w:val="none" w:sz="0" w:space="0" w:color="auto"/>
      </w:divBdr>
    </w:div>
    <w:div w:id="146631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facebook.com/profile.php?id=100077826426475&amp;locale=fr_FR" TargetMode="External"/><Relationship Id="rId5" Type="http://schemas.openxmlformats.org/officeDocument/2006/relationships/hyperlink" Target="http://www.supnum.mr/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1189</Words>
  <Characters>6543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Univ-Tours.fr</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Haroune Meya</dc:creator>
  <cp:keywords/>
  <dc:description/>
  <cp:lastModifiedBy>Haroune Meya</cp:lastModifiedBy>
  <cp:revision>2</cp:revision>
  <dcterms:created xsi:type="dcterms:W3CDTF">2024-01-14T19:50:00Z</dcterms:created>
  <dcterms:modified xsi:type="dcterms:W3CDTF">2024-01-14T19:50:00Z</dcterms:modified>
</cp:coreProperties>
</file>