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6D42" w:rsidRDefault="00226D42" w:rsidP="00226D42">
      <w:pPr>
        <w:pStyle w:val="ListParagraph"/>
        <w:numPr>
          <w:ilvl w:val="0"/>
          <w:numId w:val="2"/>
        </w:numPr>
        <w:rPr>
          <w:rFonts w:ascii="Times New Roman" w:hAnsi="Times New Roman" w:cs="Times New Roman"/>
          <w:b/>
          <w:bCs/>
        </w:rPr>
      </w:pPr>
      <w:r w:rsidRPr="00226D42">
        <w:rPr>
          <w:rFonts w:ascii="Times New Roman" w:hAnsi="Times New Roman" w:cs="Times New Roman"/>
          <w:b/>
          <w:bCs/>
          <w:sz w:val="36"/>
          <w:szCs w:val="36"/>
        </w:rPr>
        <w:t>GST &amp; Financial Reconciliation Scenario</w:t>
      </w:r>
      <w:r w:rsidRPr="00226D42">
        <w:rPr>
          <w:rFonts w:ascii="Times New Roman" w:hAnsi="Times New Roman" w:cs="Times New Roman"/>
          <w:b/>
          <w:bCs/>
        </w:rPr>
        <w:t>:</w:t>
      </w:r>
    </w:p>
    <w:p w:rsidR="00226D42" w:rsidRDefault="00226D42" w:rsidP="00226D42">
      <w:pPr>
        <w:pStyle w:val="ListParagraph"/>
        <w:rPr>
          <w:rFonts w:ascii="Times New Roman" w:hAnsi="Times New Roman" w:cs="Times New Roman"/>
          <w:b/>
          <w:bCs/>
        </w:rPr>
      </w:pPr>
      <w:r>
        <w:rPr>
          <w:rFonts w:ascii="Times New Roman" w:hAnsi="Times New Roman" w:cs="Times New Roman"/>
          <w:b/>
          <w:bCs/>
        </w:rPr>
        <w:t xml:space="preserve">     </w:t>
      </w:r>
    </w:p>
    <w:p w:rsidR="00226D42" w:rsidRPr="00226D42" w:rsidRDefault="00226D42" w:rsidP="00226D42">
      <w:pPr>
        <w:pStyle w:val="ListParagraph"/>
        <w:numPr>
          <w:ilvl w:val="1"/>
          <w:numId w:val="2"/>
        </w:numPr>
        <w:rPr>
          <w:rFonts w:ascii="Times New Roman" w:hAnsi="Times New Roman" w:cs="Times New Roman"/>
          <w:b/>
          <w:bCs/>
        </w:rPr>
      </w:pPr>
      <w:r>
        <w:t>Two Possible Reasons for Turnover Mismatch</w:t>
      </w:r>
    </w:p>
    <w:p w:rsidR="00226D42" w:rsidRDefault="00226D42" w:rsidP="00226D42">
      <w:pPr>
        <w:pStyle w:val="ListParagraph"/>
        <w:ind w:left="2160"/>
      </w:pPr>
      <w:r>
        <w:t>1</w:t>
      </w:r>
      <w:r>
        <w:rPr>
          <w:rFonts w:hAnsi="Symbol"/>
        </w:rPr>
        <w:t>.</w:t>
      </w:r>
      <w:r>
        <w:t xml:space="preserve"> </w:t>
      </w:r>
      <w:r>
        <w:rPr>
          <w:rStyle w:val="Strong"/>
        </w:rPr>
        <w:t>Timing Difference</w:t>
      </w:r>
      <w:r>
        <w:t xml:space="preserve"> – Some export invoices may have been recorded in books in Q2 but not yet filed in GSTR-1.</w:t>
      </w:r>
    </w:p>
    <w:p w:rsidR="00226D42" w:rsidRPr="00226D42" w:rsidRDefault="00226D42" w:rsidP="00226D42">
      <w:pPr>
        <w:ind w:left="2160"/>
        <w:rPr>
          <w:rFonts w:ascii="Times New Roman" w:hAnsi="Times New Roman" w:cs="Times New Roman"/>
          <w:b/>
          <w:bCs/>
        </w:rPr>
      </w:pPr>
      <w:r>
        <w:t xml:space="preserve">2.  </w:t>
      </w:r>
      <w:r>
        <w:rPr>
          <w:rStyle w:val="Strong"/>
        </w:rPr>
        <w:t>Data Entry / Reporting Errors</w:t>
      </w:r>
      <w:r>
        <w:t xml:space="preserve"> – Mismatch could arise due to incorrect invoice reporting, duplicate entries, or omission in GSTR-1.</w:t>
      </w:r>
    </w:p>
    <w:p w:rsidR="00226D42" w:rsidRDefault="00226D42" w:rsidP="00226D42">
      <w:pPr>
        <w:ind w:left="720"/>
      </w:pPr>
      <w:r>
        <w:rPr>
          <w:rFonts w:ascii="Times New Roman" w:hAnsi="Times New Roman" w:cs="Times New Roman"/>
          <w:b/>
          <w:bCs/>
        </w:rPr>
        <w:t xml:space="preserve">        b.</w:t>
      </w:r>
      <w:r w:rsidRPr="00226D42">
        <w:t xml:space="preserve"> </w:t>
      </w:r>
      <w:r w:rsidRPr="003009EF">
        <w:rPr>
          <w:sz w:val="24"/>
          <w:szCs w:val="24"/>
        </w:rPr>
        <w:t>Compute Balance Refund Receivable</w:t>
      </w:r>
    </w:p>
    <w:p w:rsidR="00226D42" w:rsidRPr="00226D42" w:rsidRDefault="00226D42" w:rsidP="00226D42">
      <w:pPr>
        <w:pStyle w:val="NormalWeb"/>
        <w:ind w:left="1440" w:firstLine="720"/>
      </w:pPr>
      <w:r w:rsidRPr="00226D42">
        <w:rPr>
          <w:b/>
          <w:bCs/>
        </w:rPr>
        <w:t>Step 1: Compute Total IGST Credit Eligible</w:t>
      </w:r>
      <w:r w:rsidR="003009EF">
        <w:rPr>
          <w:b/>
          <w:bCs/>
        </w:rPr>
        <w:tab/>
      </w:r>
      <w:r w:rsidRPr="003009EF">
        <w:rPr>
          <w:rFonts w:asciiTheme="majorHAnsi" w:hAnsiTheme="majorHAnsi" w:cstheme="majorHAnsi"/>
        </w:rPr>
        <w:t>Total IGST Credit=IGST Paid on Inputs+Eligible ITC on Expenses=8,10,000+90,000=9,00,000\text{Total IGST Credit} = \text{IGST Paid on Inputs} + \text{Eligible ITC on Expenses} = 8,10,000 + 90,000 = 9,00,000Total IGST Credit=IGST Paid on Inputs+Eligible ITC on Expenses=8,10,000+90,000=9,00,000</w:t>
      </w:r>
      <w:r w:rsidRPr="00226D42">
        <w:t xml:space="preserve"> </w:t>
      </w:r>
    </w:p>
    <w:p w:rsidR="00226D42" w:rsidRPr="00226D42" w:rsidRDefault="00226D42" w:rsidP="00226D42">
      <w:pPr>
        <w:spacing w:before="100" w:beforeAutospacing="1" w:after="100" w:afterAutospacing="1" w:line="240" w:lineRule="auto"/>
        <w:ind w:left="1440" w:firstLine="720"/>
        <w:rPr>
          <w:rFonts w:ascii="Times New Roman" w:eastAsia="Times New Roman" w:hAnsi="Times New Roman" w:cs="Times New Roman"/>
          <w:sz w:val="24"/>
          <w:szCs w:val="24"/>
          <w:lang w:eastAsia="en-IN"/>
        </w:rPr>
      </w:pPr>
      <w:r w:rsidRPr="00226D42">
        <w:rPr>
          <w:rFonts w:ascii="Times New Roman" w:eastAsia="Times New Roman" w:hAnsi="Times New Roman" w:cs="Times New Roman"/>
          <w:b/>
          <w:bCs/>
          <w:sz w:val="24"/>
          <w:szCs w:val="24"/>
          <w:lang w:eastAsia="en-IN"/>
        </w:rPr>
        <w:t>Step 2: Compute Refund Receivable</w:t>
      </w:r>
    </w:p>
    <w:p w:rsidR="00226D42" w:rsidRPr="00226D42" w:rsidRDefault="00226D42" w:rsidP="00226D42">
      <w:pPr>
        <w:spacing w:after="0" w:line="240" w:lineRule="auto"/>
        <w:rPr>
          <w:rFonts w:asciiTheme="majorHAnsi" w:eastAsia="Times New Roman" w:hAnsiTheme="majorHAnsi" w:cstheme="majorHAnsi"/>
          <w:sz w:val="24"/>
          <w:szCs w:val="24"/>
          <w:lang w:eastAsia="en-IN"/>
        </w:rPr>
      </w:pPr>
      <w:r w:rsidRPr="003009EF">
        <w:rPr>
          <w:rFonts w:asciiTheme="majorHAnsi" w:eastAsia="Times New Roman" w:hAnsiTheme="majorHAnsi" w:cstheme="majorHAnsi"/>
          <w:sz w:val="24"/>
          <w:szCs w:val="24"/>
          <w:lang w:eastAsia="en-IN"/>
        </w:rPr>
        <w:t>Refund Receivable=Total IGST Credit−IGST Refund Received=9,00,000−7,00,000=2,00,000\text{Refund Receivable} = \text{Total IGST Credit} - \text{IGST Refund Received} = 9,00,000 - 7,00,000 = 2,00,000Refund Receivable=Total IGST Credit−IGST Refund Received=9,00,000−7,00,000=2,00,000</w:t>
      </w:r>
      <w:r w:rsidRPr="00226D42">
        <w:rPr>
          <w:rFonts w:asciiTheme="majorHAnsi" w:eastAsia="Times New Roman" w:hAnsiTheme="majorHAnsi" w:cstheme="majorHAnsi"/>
          <w:sz w:val="24"/>
          <w:szCs w:val="24"/>
          <w:lang w:eastAsia="en-IN"/>
        </w:rPr>
        <w:t xml:space="preserve"> </w:t>
      </w:r>
    </w:p>
    <w:p w:rsidR="00226D42" w:rsidRDefault="00226D42" w:rsidP="00226D42">
      <w:pPr>
        <w:spacing w:before="100" w:beforeAutospacing="1" w:after="100" w:afterAutospacing="1" w:line="240" w:lineRule="auto"/>
        <w:ind w:left="1440" w:firstLine="720"/>
        <w:rPr>
          <w:rFonts w:ascii="Times New Roman" w:eastAsia="Times New Roman" w:hAnsi="Times New Roman" w:cs="Times New Roman"/>
          <w:b/>
          <w:bCs/>
          <w:sz w:val="24"/>
          <w:szCs w:val="24"/>
          <w:lang w:eastAsia="en-IN"/>
        </w:rPr>
      </w:pPr>
      <w:r w:rsidRPr="00226D42">
        <w:rPr>
          <w:rFonts w:ascii="Times New Roman" w:eastAsia="Times New Roman" w:hAnsi="Times New Roman" w:cs="Times New Roman"/>
          <w:b/>
          <w:bCs/>
          <w:sz w:val="24"/>
          <w:szCs w:val="24"/>
          <w:lang w:eastAsia="en-IN"/>
        </w:rPr>
        <w:t>Balance Refund Receivable = ₹2</w:t>
      </w:r>
      <w:proofErr w:type="gramStart"/>
      <w:r w:rsidRPr="00226D42">
        <w:rPr>
          <w:rFonts w:ascii="Times New Roman" w:eastAsia="Times New Roman" w:hAnsi="Times New Roman" w:cs="Times New Roman"/>
          <w:b/>
          <w:bCs/>
          <w:sz w:val="24"/>
          <w:szCs w:val="24"/>
          <w:lang w:eastAsia="en-IN"/>
        </w:rPr>
        <w:t>,00,000</w:t>
      </w:r>
      <w:proofErr w:type="gramEnd"/>
    </w:p>
    <w:p w:rsidR="00226D42" w:rsidRPr="00226D42" w:rsidRDefault="00226D42" w:rsidP="00226D42">
      <w:r>
        <w:rPr>
          <w:bCs/>
          <w:sz w:val="24"/>
          <w:szCs w:val="24"/>
        </w:rPr>
        <w:tab/>
      </w:r>
      <w:r w:rsidRPr="00226D42">
        <w:rPr>
          <w:bCs/>
          <w:sz w:val="24"/>
          <w:szCs w:val="24"/>
        </w:rPr>
        <w:t xml:space="preserve">    </w:t>
      </w:r>
      <w:r w:rsidRPr="00226D42">
        <w:rPr>
          <w:b/>
        </w:rPr>
        <w:t>C</w:t>
      </w:r>
      <w:r>
        <w:t>.</w:t>
      </w:r>
      <w:r w:rsidRPr="00226D42">
        <w:t xml:space="preserve"> Line Summary Email to Management</w:t>
      </w:r>
    </w:p>
    <w:p w:rsidR="00226D42" w:rsidRDefault="00226D42" w:rsidP="00226D42">
      <w:pPr>
        <w:spacing w:beforeAutospacing="1" w:after="100" w:afterAutospacing="1" w:line="240" w:lineRule="auto"/>
        <w:ind w:left="1440"/>
        <w:rPr>
          <w:rFonts w:ascii="Times New Roman" w:eastAsia="Times New Roman" w:hAnsi="Times New Roman" w:cs="Times New Roman"/>
          <w:sz w:val="24"/>
          <w:szCs w:val="24"/>
          <w:lang w:eastAsia="en-IN"/>
        </w:rPr>
      </w:pPr>
      <w:r w:rsidRPr="00226D42">
        <w:rPr>
          <w:rFonts w:asciiTheme="majorHAnsi" w:eastAsia="Times New Roman" w:hAnsiTheme="majorHAnsi" w:cstheme="majorHAnsi"/>
          <w:sz w:val="24"/>
          <w:szCs w:val="24"/>
          <w:lang w:eastAsia="en-IN"/>
        </w:rPr>
        <w:t>Subject: Export Turnover &amp; IGST Refund Status – Q2 FY 24–25</w:t>
      </w:r>
      <w:r w:rsidRPr="00226D42">
        <w:rPr>
          <w:rFonts w:asciiTheme="majorHAnsi" w:eastAsia="Times New Roman" w:hAnsiTheme="majorHAnsi" w:cstheme="majorHAnsi"/>
          <w:sz w:val="24"/>
          <w:szCs w:val="24"/>
          <w:lang w:eastAsia="en-IN"/>
        </w:rPr>
        <w:br/>
        <w:t>Dear Team</w:t>
      </w:r>
      <w:proofErr w:type="gramStart"/>
      <w:r w:rsidRPr="00226D42">
        <w:rPr>
          <w:rFonts w:asciiTheme="majorHAnsi" w:eastAsia="Times New Roman" w:hAnsiTheme="majorHAnsi" w:cstheme="majorHAnsi"/>
          <w:sz w:val="24"/>
          <w:szCs w:val="24"/>
          <w:lang w:eastAsia="en-IN"/>
        </w:rPr>
        <w:t>,</w:t>
      </w:r>
      <w:proofErr w:type="gramEnd"/>
      <w:r w:rsidRPr="00226D42">
        <w:rPr>
          <w:rFonts w:asciiTheme="majorHAnsi" w:eastAsia="Times New Roman" w:hAnsiTheme="majorHAnsi" w:cstheme="majorHAnsi"/>
          <w:sz w:val="24"/>
          <w:szCs w:val="24"/>
          <w:lang w:eastAsia="en-IN"/>
        </w:rPr>
        <w:br/>
        <w:t>We observed a ₹1,50,000 mismatch between books and GSTR-1 export turnover, likely due to timing differences or reporting errors.</w:t>
      </w:r>
      <w:r w:rsidRPr="00226D42">
        <w:rPr>
          <w:rFonts w:asciiTheme="majorHAnsi" w:eastAsia="Times New Roman" w:hAnsiTheme="majorHAnsi" w:cstheme="majorHAnsi"/>
          <w:sz w:val="24"/>
          <w:szCs w:val="24"/>
          <w:lang w:eastAsia="en-IN"/>
        </w:rPr>
        <w:br/>
        <w:t>IGST refund of ₹7</w:t>
      </w:r>
      <w:proofErr w:type="gramStart"/>
      <w:r w:rsidRPr="00226D42">
        <w:rPr>
          <w:rFonts w:asciiTheme="majorHAnsi" w:eastAsia="Times New Roman" w:hAnsiTheme="majorHAnsi" w:cstheme="majorHAnsi"/>
          <w:sz w:val="24"/>
          <w:szCs w:val="24"/>
          <w:lang w:eastAsia="en-IN"/>
        </w:rPr>
        <w:t>,00,000</w:t>
      </w:r>
      <w:proofErr w:type="gramEnd"/>
      <w:r w:rsidRPr="00226D42">
        <w:rPr>
          <w:rFonts w:asciiTheme="majorHAnsi" w:eastAsia="Times New Roman" w:hAnsiTheme="majorHAnsi" w:cstheme="majorHAnsi"/>
          <w:sz w:val="24"/>
          <w:szCs w:val="24"/>
          <w:lang w:eastAsia="en-IN"/>
        </w:rPr>
        <w:t xml:space="preserve"> has been received; an additional ₹2,00,000 is pending. We recommend reconciling invoices monthly to avoid future discrepancies</w:t>
      </w:r>
      <w:r w:rsidRPr="00226D42">
        <w:rPr>
          <w:rFonts w:ascii="Times New Roman" w:eastAsia="Times New Roman" w:hAnsi="Times New Roman" w:cs="Times New Roman"/>
          <w:sz w:val="24"/>
          <w:szCs w:val="24"/>
          <w:lang w:eastAsia="en-IN"/>
        </w:rPr>
        <w:t>.</w:t>
      </w:r>
    </w:p>
    <w:p w:rsidR="00226D42" w:rsidRDefault="00226D42" w:rsidP="00226D42">
      <w:pPr>
        <w:ind w:left="720"/>
      </w:pPr>
      <w:r>
        <w:rPr>
          <w:rStyle w:val="Strong"/>
          <w:b w:val="0"/>
          <w:bCs w:val="0"/>
        </w:rPr>
        <w:t xml:space="preserve"> </w:t>
      </w:r>
      <w:r w:rsidRPr="00226D42">
        <w:rPr>
          <w:rStyle w:val="Strong"/>
          <w:bCs w:val="0"/>
        </w:rPr>
        <w:t>D</w:t>
      </w:r>
      <w:r>
        <w:rPr>
          <w:rStyle w:val="Strong"/>
          <w:b w:val="0"/>
          <w:bCs w:val="0"/>
        </w:rPr>
        <w:t>.</w:t>
      </w:r>
      <w:r>
        <w:rPr>
          <w:rStyle w:val="Strong"/>
          <w:b w:val="0"/>
          <w:bCs w:val="0"/>
        </w:rPr>
        <w:t xml:space="preserve"> One Monthly Reconciliation Method</w:t>
      </w:r>
    </w:p>
    <w:p w:rsidR="00226D42" w:rsidRPr="003009EF" w:rsidRDefault="00226D42" w:rsidP="00226D42">
      <w:pPr>
        <w:pStyle w:val="NormalWeb"/>
        <w:numPr>
          <w:ilvl w:val="0"/>
          <w:numId w:val="8"/>
        </w:numPr>
        <w:rPr>
          <w:rFonts w:asciiTheme="majorHAnsi" w:hAnsiTheme="majorHAnsi" w:cstheme="majorHAnsi"/>
        </w:rPr>
      </w:pPr>
      <w:r w:rsidRPr="003009EF">
        <w:rPr>
          <w:rStyle w:val="Strong"/>
          <w:rFonts w:asciiTheme="majorHAnsi" w:hAnsiTheme="majorHAnsi" w:cstheme="majorHAnsi"/>
        </w:rPr>
        <w:t>Monthly Books vs GSTR-1 Reconciliation</w:t>
      </w:r>
      <w:r w:rsidRPr="003009EF">
        <w:rPr>
          <w:rFonts w:asciiTheme="majorHAnsi" w:hAnsiTheme="majorHAnsi" w:cstheme="majorHAnsi"/>
        </w:rPr>
        <w:t>: Compare all export invoices recorded in accounting books with GSTR-1 filings each month, ensuring no invoice is missed or misreported.</w:t>
      </w:r>
    </w:p>
    <w:p w:rsidR="00226D42" w:rsidRDefault="00226D42" w:rsidP="00226D42">
      <w:pPr>
        <w:spacing w:beforeAutospacing="1" w:after="100" w:afterAutospacing="1" w:line="240" w:lineRule="auto"/>
        <w:ind w:left="2160"/>
        <w:rPr>
          <w:rFonts w:ascii="Times New Roman" w:eastAsia="Times New Roman" w:hAnsi="Times New Roman" w:cs="Times New Roman"/>
          <w:sz w:val="24"/>
          <w:szCs w:val="24"/>
          <w:lang w:eastAsia="en-IN"/>
        </w:rPr>
      </w:pPr>
    </w:p>
    <w:p w:rsidR="00226D42" w:rsidRDefault="00226D42" w:rsidP="00226D42">
      <w:pPr>
        <w:pStyle w:val="ListParagraph"/>
        <w:numPr>
          <w:ilvl w:val="0"/>
          <w:numId w:val="2"/>
        </w:numPr>
        <w:rPr>
          <w:rFonts w:ascii="Times New Roman" w:hAnsi="Times New Roman" w:cs="Times New Roman"/>
          <w:b/>
          <w:bCs/>
          <w:sz w:val="36"/>
          <w:szCs w:val="36"/>
        </w:rPr>
      </w:pPr>
      <w:r w:rsidRPr="00226D42">
        <w:rPr>
          <w:rFonts w:ascii="Times New Roman" w:hAnsi="Times New Roman" w:cs="Times New Roman"/>
          <w:b/>
          <w:bCs/>
          <w:sz w:val="36"/>
          <w:szCs w:val="36"/>
        </w:rPr>
        <w:t>Export Incentive Evaluation</w:t>
      </w:r>
    </w:p>
    <w:p w:rsidR="003009EF" w:rsidRDefault="003009EF" w:rsidP="003009EF">
      <w:pPr>
        <w:pStyle w:val="Heading3"/>
        <w:numPr>
          <w:ilvl w:val="0"/>
          <w:numId w:val="12"/>
        </w:numPr>
        <w:rPr>
          <w:rStyle w:val="Strong"/>
          <w:b/>
          <w:bCs/>
          <w:sz w:val="24"/>
          <w:szCs w:val="24"/>
        </w:rPr>
      </w:pPr>
      <w:r w:rsidRPr="003009EF">
        <w:rPr>
          <w:rStyle w:val="Strong"/>
          <w:b/>
          <w:bCs/>
          <w:sz w:val="24"/>
          <w:szCs w:val="24"/>
        </w:rPr>
        <w:t>Compute Incentives</w:t>
      </w:r>
    </w:p>
    <w:p w:rsidR="003009EF" w:rsidRPr="003009EF" w:rsidRDefault="003009EF" w:rsidP="003009EF">
      <w:pPr>
        <w:pStyle w:val="Heading3"/>
        <w:ind w:left="720"/>
        <w:rPr>
          <w:sz w:val="24"/>
          <w:szCs w:val="24"/>
        </w:rPr>
      </w:pPr>
      <w:proofErr w:type="spellStart"/>
      <w:r>
        <w:rPr>
          <w:rStyle w:val="Strong"/>
        </w:rPr>
        <w:t>RoDTEP</w:t>
      </w:r>
      <w:proofErr w:type="spellEnd"/>
      <w:r>
        <w:rPr>
          <w:rStyle w:val="Strong"/>
        </w:rPr>
        <w:t xml:space="preserve"> Incentive</w:t>
      </w:r>
    </w:p>
    <w:p w:rsidR="003009EF" w:rsidRDefault="003009EF" w:rsidP="003009EF">
      <w:proofErr w:type="spellStart"/>
      <w:r>
        <w:rPr>
          <w:rStyle w:val="katex-mathml"/>
        </w:rPr>
        <w:t>RoDTEP</w:t>
      </w:r>
      <w:proofErr w:type="spellEnd"/>
      <w:r>
        <w:rPr>
          <w:rStyle w:val="katex-mathml"/>
        </w:rPr>
        <w:t>=40</w:t>
      </w:r>
      <w:proofErr w:type="gramStart"/>
      <w:r>
        <w:rPr>
          <w:rStyle w:val="katex-mathml"/>
        </w:rPr>
        <w:t>,00,000</w:t>
      </w:r>
      <w:proofErr w:type="gramEnd"/>
      <w:r>
        <w:rPr>
          <w:rStyle w:val="katex-mathml"/>
        </w:rPr>
        <w:t>×1%=₹40,000\text{</w:t>
      </w:r>
      <w:proofErr w:type="spellStart"/>
      <w:r>
        <w:rPr>
          <w:rStyle w:val="katex-mathml"/>
        </w:rPr>
        <w:t>RoDTEP</w:t>
      </w:r>
      <w:proofErr w:type="spellEnd"/>
      <w:r>
        <w:rPr>
          <w:rStyle w:val="katex-mathml"/>
        </w:rPr>
        <w:t>} = 40,00,000 \times 1\% = ₹40,000</w:t>
      </w:r>
      <w:r>
        <w:rPr>
          <w:rStyle w:val="mord"/>
        </w:rPr>
        <w:t>RoDTEP</w:t>
      </w:r>
      <w:r>
        <w:rPr>
          <w:rStyle w:val="mrel"/>
        </w:rPr>
        <w:t>=</w:t>
      </w:r>
      <w:r>
        <w:rPr>
          <w:rStyle w:val="mord"/>
        </w:rPr>
        <w:t>40</w:t>
      </w:r>
      <w:r>
        <w:rPr>
          <w:rStyle w:val="mpunct"/>
        </w:rPr>
        <w:t>,</w:t>
      </w:r>
      <w:r>
        <w:rPr>
          <w:rStyle w:val="mord"/>
        </w:rPr>
        <w:t>00</w:t>
      </w:r>
      <w:r>
        <w:rPr>
          <w:rStyle w:val="mpunct"/>
        </w:rPr>
        <w:t>,</w:t>
      </w:r>
      <w:r>
        <w:rPr>
          <w:rStyle w:val="mord"/>
        </w:rPr>
        <w:t>000</w:t>
      </w:r>
      <w:r>
        <w:rPr>
          <w:rStyle w:val="mbin"/>
        </w:rPr>
        <w:t>×</w:t>
      </w:r>
      <w:r>
        <w:rPr>
          <w:rStyle w:val="mord"/>
        </w:rPr>
        <w:t>1%</w:t>
      </w:r>
      <w:r>
        <w:rPr>
          <w:rStyle w:val="mrel"/>
        </w:rPr>
        <w:t>=</w:t>
      </w:r>
      <w:r>
        <w:rPr>
          <w:rStyle w:val="mord"/>
        </w:rPr>
        <w:t>₹40</w:t>
      </w:r>
      <w:r>
        <w:rPr>
          <w:rStyle w:val="mpunct"/>
        </w:rPr>
        <w:t>,</w:t>
      </w:r>
      <w:r>
        <w:rPr>
          <w:rStyle w:val="mord"/>
        </w:rPr>
        <w:t>000</w:t>
      </w:r>
      <w:r>
        <w:t xml:space="preserve"> </w:t>
      </w:r>
    </w:p>
    <w:p w:rsidR="003009EF" w:rsidRDefault="003009EF" w:rsidP="003009EF"/>
    <w:p w:rsidR="003009EF" w:rsidRDefault="003009EF" w:rsidP="003009EF"/>
    <w:p w:rsidR="003009EF" w:rsidRDefault="003009EF" w:rsidP="003009EF">
      <w:pPr>
        <w:pStyle w:val="NormalWeb"/>
        <w:ind w:left="360" w:firstLine="360"/>
      </w:pPr>
      <w:r>
        <w:rPr>
          <w:rStyle w:val="Strong"/>
        </w:rPr>
        <w:lastRenderedPageBreak/>
        <w:t xml:space="preserve">B. </w:t>
      </w:r>
      <w:r>
        <w:rPr>
          <w:rStyle w:val="Strong"/>
        </w:rPr>
        <w:t>Duty Drawback Incentive</w:t>
      </w:r>
    </w:p>
    <w:p w:rsidR="003009EF" w:rsidRDefault="003009EF" w:rsidP="003009EF">
      <w:pPr>
        <w:ind w:left="2160"/>
        <w:rPr>
          <w:rStyle w:val="mord"/>
        </w:rPr>
      </w:pPr>
      <w:r>
        <w:rPr>
          <w:rStyle w:val="katex-mathml"/>
        </w:rPr>
        <w:t>Duty Drawback=40</w:t>
      </w:r>
      <w:proofErr w:type="gramStart"/>
      <w:r>
        <w:rPr>
          <w:rStyle w:val="katex-mathml"/>
        </w:rPr>
        <w:t>,00,000</w:t>
      </w:r>
      <w:proofErr w:type="gramEnd"/>
      <w:r>
        <w:rPr>
          <w:rStyle w:val="katex-mathml"/>
        </w:rPr>
        <w:t>×1.7%=₹68,000\text{Duty Drawback} = 40,00,000 \times 1.7\% = ₹68,000</w:t>
      </w:r>
      <w:r>
        <w:rPr>
          <w:rStyle w:val="mord"/>
        </w:rPr>
        <w:t>Duty Drawback</w:t>
      </w:r>
      <w:r>
        <w:rPr>
          <w:rStyle w:val="mrel"/>
        </w:rPr>
        <w:t>=</w:t>
      </w:r>
      <w:r>
        <w:rPr>
          <w:rStyle w:val="mord"/>
        </w:rPr>
        <w:t>40</w:t>
      </w:r>
      <w:r>
        <w:rPr>
          <w:rStyle w:val="mpunct"/>
        </w:rPr>
        <w:t>,</w:t>
      </w:r>
      <w:r>
        <w:rPr>
          <w:rStyle w:val="mord"/>
        </w:rPr>
        <w:t>00</w:t>
      </w:r>
      <w:r>
        <w:rPr>
          <w:rStyle w:val="mpunct"/>
        </w:rPr>
        <w:t>,</w:t>
      </w:r>
      <w:r>
        <w:rPr>
          <w:rStyle w:val="mord"/>
        </w:rPr>
        <w:t>000</w:t>
      </w:r>
      <w:r>
        <w:rPr>
          <w:rStyle w:val="mbin"/>
        </w:rPr>
        <w:t>×</w:t>
      </w:r>
      <w:r>
        <w:rPr>
          <w:rStyle w:val="mord"/>
        </w:rPr>
        <w:t>1.7%</w:t>
      </w:r>
      <w:r>
        <w:rPr>
          <w:rStyle w:val="mrel"/>
        </w:rPr>
        <w:t>=</w:t>
      </w:r>
      <w:r>
        <w:rPr>
          <w:rStyle w:val="mord"/>
        </w:rPr>
        <w:t>₹68</w:t>
      </w:r>
      <w:r>
        <w:rPr>
          <w:rStyle w:val="mpunct"/>
        </w:rPr>
        <w:t>,</w:t>
      </w:r>
      <w:r>
        <w:rPr>
          <w:rStyle w:val="mord"/>
        </w:rPr>
        <w:t>000</w:t>
      </w:r>
    </w:p>
    <w:p w:rsidR="003009EF" w:rsidRPr="003009EF" w:rsidRDefault="003009EF" w:rsidP="003009E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3009EF">
        <w:rPr>
          <w:rFonts w:ascii="Times New Roman" w:eastAsia="Times New Roman" w:hAnsi="Times New Roman" w:cs="Times New Roman"/>
          <w:b/>
          <w:bCs/>
          <w:sz w:val="24"/>
          <w:szCs w:val="24"/>
          <w:lang w:eastAsia="en-IN"/>
        </w:rPr>
        <w:t>Recommendation:</w:t>
      </w:r>
    </w:p>
    <w:p w:rsidR="003009EF" w:rsidRPr="003009EF" w:rsidRDefault="003009EF" w:rsidP="003009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sz w:val="24"/>
          <w:szCs w:val="24"/>
          <w:lang w:eastAsia="en-IN"/>
        </w:rPr>
        <w:t>Duty Drawback yields a higher benefit (₹68,000 vs ₹40,000).</w:t>
      </w:r>
    </w:p>
    <w:p w:rsidR="003009EF" w:rsidRPr="003009EF" w:rsidRDefault="003009EF" w:rsidP="003009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sz w:val="24"/>
          <w:szCs w:val="24"/>
          <w:lang w:eastAsia="en-IN"/>
        </w:rPr>
        <w:t xml:space="preserve">Exporters </w:t>
      </w:r>
      <w:r w:rsidRPr="003009EF">
        <w:rPr>
          <w:rFonts w:ascii="Times New Roman" w:eastAsia="Times New Roman" w:hAnsi="Times New Roman" w:cs="Times New Roman"/>
          <w:b/>
          <w:bCs/>
          <w:sz w:val="24"/>
          <w:szCs w:val="24"/>
          <w:lang w:eastAsia="en-IN"/>
        </w:rPr>
        <w:t>cannot claim both schemes simultaneously on the same export</w:t>
      </w:r>
      <w:r w:rsidRPr="003009EF">
        <w:rPr>
          <w:rFonts w:ascii="Times New Roman" w:eastAsia="Times New Roman" w:hAnsi="Times New Roman" w:cs="Times New Roman"/>
          <w:sz w:val="24"/>
          <w:szCs w:val="24"/>
          <w:lang w:eastAsia="en-IN"/>
        </w:rPr>
        <w:t>.</w:t>
      </w:r>
    </w:p>
    <w:p w:rsidR="003009EF" w:rsidRDefault="003009EF" w:rsidP="003009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sz w:val="24"/>
          <w:szCs w:val="24"/>
          <w:lang w:eastAsia="en-IN"/>
        </w:rPr>
        <w:t xml:space="preserve">Optimal approach: Choose </w:t>
      </w:r>
      <w:r w:rsidRPr="003009EF">
        <w:rPr>
          <w:rFonts w:ascii="Times New Roman" w:eastAsia="Times New Roman" w:hAnsi="Times New Roman" w:cs="Times New Roman"/>
          <w:b/>
          <w:bCs/>
          <w:sz w:val="24"/>
          <w:szCs w:val="24"/>
          <w:lang w:eastAsia="en-IN"/>
        </w:rPr>
        <w:t>Duty Drawback</w:t>
      </w:r>
      <w:r w:rsidRPr="003009EF">
        <w:rPr>
          <w:rFonts w:ascii="Times New Roman" w:eastAsia="Times New Roman" w:hAnsi="Times New Roman" w:cs="Times New Roman"/>
          <w:sz w:val="24"/>
          <w:szCs w:val="24"/>
          <w:lang w:eastAsia="en-IN"/>
        </w:rPr>
        <w:t xml:space="preserve"> if the objective is maximum immediate cash benefit, but check if </w:t>
      </w:r>
      <w:proofErr w:type="spellStart"/>
      <w:r w:rsidRPr="003009EF">
        <w:rPr>
          <w:rFonts w:ascii="Times New Roman" w:eastAsia="Times New Roman" w:hAnsi="Times New Roman" w:cs="Times New Roman"/>
          <w:sz w:val="24"/>
          <w:szCs w:val="24"/>
          <w:lang w:eastAsia="en-IN"/>
        </w:rPr>
        <w:t>RoDTEP</w:t>
      </w:r>
      <w:proofErr w:type="spellEnd"/>
      <w:r w:rsidRPr="003009EF">
        <w:rPr>
          <w:rFonts w:ascii="Times New Roman" w:eastAsia="Times New Roman" w:hAnsi="Times New Roman" w:cs="Times New Roman"/>
          <w:sz w:val="24"/>
          <w:szCs w:val="24"/>
          <w:lang w:eastAsia="en-IN"/>
        </w:rPr>
        <w:t xml:space="preserve"> provides additional input tax credits that might be more strategic for your product</w:t>
      </w:r>
    </w:p>
    <w:p w:rsidR="003009EF" w:rsidRPr="003009EF" w:rsidRDefault="003009EF" w:rsidP="003009EF">
      <w:pPr>
        <w:pStyle w:val="Heading3"/>
        <w:ind w:firstLine="720"/>
        <w:rPr>
          <w:sz w:val="24"/>
          <w:szCs w:val="24"/>
        </w:rPr>
      </w:pPr>
      <w:r>
        <w:rPr>
          <w:rStyle w:val="Strong"/>
          <w:b/>
          <w:bCs/>
          <w:sz w:val="24"/>
          <w:szCs w:val="24"/>
        </w:rPr>
        <w:t xml:space="preserve">C. </w:t>
      </w:r>
      <w:r w:rsidRPr="003009EF">
        <w:rPr>
          <w:rStyle w:val="Strong"/>
          <w:b/>
          <w:bCs/>
          <w:sz w:val="24"/>
          <w:szCs w:val="24"/>
        </w:rPr>
        <w:t>Official Portal/Document for Eligibility</w:t>
      </w:r>
    </w:p>
    <w:p w:rsidR="003009EF" w:rsidRDefault="003009EF" w:rsidP="003009EF">
      <w:pPr>
        <w:pStyle w:val="NormalWeb"/>
        <w:numPr>
          <w:ilvl w:val="0"/>
          <w:numId w:val="13"/>
        </w:numPr>
      </w:pPr>
      <w:r>
        <w:rPr>
          <w:rStyle w:val="Strong"/>
        </w:rPr>
        <w:t xml:space="preserve">DGFT </w:t>
      </w:r>
      <w:proofErr w:type="spellStart"/>
      <w:r>
        <w:rPr>
          <w:rStyle w:val="Strong"/>
        </w:rPr>
        <w:t>RoDTEP</w:t>
      </w:r>
      <w:proofErr w:type="spellEnd"/>
      <w:r>
        <w:rPr>
          <w:rStyle w:val="Strong"/>
        </w:rPr>
        <w:t xml:space="preserve"> portal</w:t>
      </w:r>
      <w:r>
        <w:t xml:space="preserve">: </w:t>
      </w:r>
      <w:hyperlink r:id="rId5" w:tgtFrame="_new" w:history="1">
        <w:r>
          <w:rPr>
            <w:rStyle w:val="Hyperlink"/>
          </w:rPr>
          <w:t>https://www.dgft.gov.in</w:t>
        </w:r>
      </w:hyperlink>
      <w:r>
        <w:t xml:space="preserve"> – check product-wise eligibility, applicable rates, and scheme guidelines before filing claims.</w:t>
      </w:r>
    </w:p>
    <w:p w:rsidR="003009EF" w:rsidRDefault="003009EF" w:rsidP="003009EF">
      <w:pPr>
        <w:spacing w:before="100" w:beforeAutospacing="1" w:after="100" w:afterAutospacing="1" w:line="240" w:lineRule="auto"/>
        <w:rPr>
          <w:rFonts w:ascii="Times New Roman" w:eastAsia="Times New Roman" w:hAnsi="Times New Roman" w:cs="Times New Roman"/>
          <w:sz w:val="24"/>
          <w:szCs w:val="24"/>
          <w:lang w:eastAsia="en-IN"/>
        </w:rPr>
      </w:pPr>
    </w:p>
    <w:p w:rsidR="00094CB6" w:rsidRPr="00094CB6" w:rsidRDefault="00094CB6" w:rsidP="00094CB6">
      <w:pPr>
        <w:rPr>
          <w:rFonts w:ascii="Times New Roman" w:hAnsi="Times New Roman" w:cs="Times New Roman"/>
          <w:b/>
          <w:bCs/>
          <w:sz w:val="36"/>
          <w:szCs w:val="36"/>
        </w:rPr>
      </w:pPr>
      <w:r w:rsidRPr="00094CB6">
        <w:rPr>
          <w:rFonts w:ascii="Times New Roman" w:eastAsia="Times New Roman" w:hAnsi="Times New Roman" w:cs="Times New Roman"/>
          <w:sz w:val="36"/>
          <w:szCs w:val="36"/>
          <w:lang w:eastAsia="en-IN"/>
        </w:rPr>
        <w:t>3.</w:t>
      </w:r>
      <w:r w:rsidRPr="00094CB6">
        <w:rPr>
          <w:rFonts w:ascii="Times New Roman" w:hAnsi="Times New Roman" w:cs="Times New Roman"/>
          <w:b/>
          <w:bCs/>
          <w:sz w:val="36"/>
          <w:szCs w:val="36"/>
        </w:rPr>
        <w:t xml:space="preserve"> </w:t>
      </w:r>
      <w:r w:rsidRPr="00094CB6">
        <w:rPr>
          <w:rFonts w:ascii="Times New Roman" w:hAnsi="Times New Roman" w:cs="Times New Roman"/>
          <w:b/>
          <w:bCs/>
          <w:sz w:val="36"/>
          <w:szCs w:val="36"/>
        </w:rPr>
        <w:t>Internal Audit &amp; Risk Assessment</w:t>
      </w:r>
    </w:p>
    <w:p w:rsidR="00094CB6" w:rsidRPr="003009EF" w:rsidRDefault="00094CB6" w:rsidP="003009EF">
      <w:pPr>
        <w:spacing w:before="100" w:beforeAutospacing="1" w:after="100" w:afterAutospacing="1" w:line="240" w:lineRule="auto"/>
        <w:rPr>
          <w:rFonts w:ascii="Times New Roman" w:eastAsia="Times New Roman" w:hAnsi="Times New Roman" w:cs="Times New Roman"/>
          <w:sz w:val="24"/>
          <w:szCs w:val="24"/>
          <w:lang w:eastAsia="en-IN"/>
        </w:rPr>
      </w:pPr>
    </w:p>
    <w:p w:rsidR="003009EF" w:rsidRPr="003009EF" w:rsidRDefault="003009EF" w:rsidP="00094CB6">
      <w:pPr>
        <w:shd w:val="clear" w:color="auto" w:fill="F2F2F2" w:themeFill="background1" w:themeFillShade="F2"/>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A) Audit Findings &amp; Risk Categorization</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552"/>
        <w:gridCol w:w="4174"/>
        <w:gridCol w:w="5564"/>
      </w:tblGrid>
      <w:tr w:rsidR="003009EF" w:rsidRPr="003009EF" w:rsidTr="003009EF">
        <w:trPr>
          <w:tblHeader/>
          <w:tblCellSpacing w:w="15" w:type="dxa"/>
        </w:trPr>
        <w:tc>
          <w:tcPr>
            <w:tcW w:w="0" w:type="auto"/>
            <w:vAlign w:val="center"/>
            <w:hideMark/>
          </w:tcPr>
          <w:p w:rsidR="003009EF" w:rsidRPr="003009EF" w:rsidRDefault="003009EF" w:rsidP="00094CB6">
            <w:pPr>
              <w:shd w:val="clear" w:color="auto" w:fill="F2F2F2" w:themeFill="background1" w:themeFillShade="F2"/>
              <w:spacing w:after="0" w:line="240" w:lineRule="auto"/>
              <w:jc w:val="center"/>
              <w:rPr>
                <w:rFonts w:ascii="Times New Roman" w:eastAsia="Times New Roman" w:hAnsi="Times New Roman" w:cs="Times New Roman"/>
                <w:b/>
                <w:bCs/>
                <w:sz w:val="24"/>
                <w:szCs w:val="24"/>
                <w:lang w:eastAsia="en-IN"/>
              </w:rPr>
            </w:pPr>
            <w:r w:rsidRPr="003009EF">
              <w:rPr>
                <w:rFonts w:ascii="Times New Roman" w:eastAsia="Times New Roman" w:hAnsi="Times New Roman" w:cs="Times New Roman"/>
                <w:b/>
                <w:bCs/>
                <w:sz w:val="24"/>
                <w:szCs w:val="24"/>
                <w:lang w:eastAsia="en-IN"/>
              </w:rPr>
              <w:t>S. No</w:t>
            </w:r>
          </w:p>
        </w:tc>
        <w:tc>
          <w:tcPr>
            <w:tcW w:w="0" w:type="auto"/>
            <w:vAlign w:val="center"/>
            <w:hideMark/>
          </w:tcPr>
          <w:p w:rsidR="003009EF" w:rsidRPr="003009EF" w:rsidRDefault="003009EF" w:rsidP="00094CB6">
            <w:pPr>
              <w:shd w:val="clear" w:color="auto" w:fill="F2F2F2" w:themeFill="background1" w:themeFillShade="F2"/>
              <w:spacing w:after="0" w:line="240" w:lineRule="auto"/>
              <w:jc w:val="center"/>
              <w:rPr>
                <w:rFonts w:ascii="Times New Roman" w:eastAsia="Times New Roman" w:hAnsi="Times New Roman" w:cs="Times New Roman"/>
                <w:b/>
                <w:bCs/>
                <w:sz w:val="24"/>
                <w:szCs w:val="24"/>
                <w:lang w:eastAsia="en-IN"/>
              </w:rPr>
            </w:pPr>
            <w:r w:rsidRPr="003009EF">
              <w:rPr>
                <w:rFonts w:ascii="Times New Roman" w:eastAsia="Times New Roman" w:hAnsi="Times New Roman" w:cs="Times New Roman"/>
                <w:b/>
                <w:bCs/>
                <w:sz w:val="24"/>
                <w:szCs w:val="24"/>
                <w:lang w:eastAsia="en-IN"/>
              </w:rPr>
              <w:t>Finding</w:t>
            </w:r>
          </w:p>
        </w:tc>
        <w:tc>
          <w:tcPr>
            <w:tcW w:w="0" w:type="auto"/>
            <w:vAlign w:val="center"/>
            <w:hideMark/>
          </w:tcPr>
          <w:p w:rsidR="003009EF" w:rsidRPr="003009EF" w:rsidRDefault="003009EF" w:rsidP="00094CB6">
            <w:pPr>
              <w:shd w:val="clear" w:color="auto" w:fill="F2F2F2" w:themeFill="background1" w:themeFillShade="F2"/>
              <w:spacing w:after="0" w:line="240" w:lineRule="auto"/>
              <w:jc w:val="center"/>
              <w:rPr>
                <w:rFonts w:ascii="Times New Roman" w:eastAsia="Times New Roman" w:hAnsi="Times New Roman" w:cs="Times New Roman"/>
                <w:b/>
                <w:bCs/>
                <w:sz w:val="24"/>
                <w:szCs w:val="24"/>
                <w:lang w:eastAsia="en-IN"/>
              </w:rPr>
            </w:pPr>
            <w:r w:rsidRPr="003009EF">
              <w:rPr>
                <w:rFonts w:ascii="Times New Roman" w:eastAsia="Times New Roman" w:hAnsi="Times New Roman" w:cs="Times New Roman"/>
                <w:b/>
                <w:bCs/>
                <w:sz w:val="24"/>
                <w:szCs w:val="24"/>
                <w:lang w:eastAsia="en-IN"/>
              </w:rPr>
              <w:t>Risk Level</w:t>
            </w:r>
          </w:p>
        </w:tc>
      </w:tr>
      <w:tr w:rsidR="003009EF" w:rsidRPr="003009EF" w:rsidTr="003009EF">
        <w:trPr>
          <w:tblCellSpacing w:w="15" w:type="dxa"/>
        </w:trPr>
        <w:tc>
          <w:tcPr>
            <w:tcW w:w="0" w:type="auto"/>
            <w:vAlign w:val="center"/>
            <w:hideMark/>
          </w:tcPr>
          <w:p w:rsidR="003009EF" w:rsidRPr="003009EF" w:rsidRDefault="003009EF" w:rsidP="00094CB6">
            <w:pP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sz w:val="24"/>
                <w:szCs w:val="24"/>
                <w:lang w:eastAsia="en-IN"/>
              </w:rPr>
              <w:t>1</w:t>
            </w:r>
          </w:p>
        </w:tc>
        <w:tc>
          <w:tcPr>
            <w:tcW w:w="0" w:type="auto"/>
            <w:vAlign w:val="center"/>
            <w:hideMark/>
          </w:tcPr>
          <w:p w:rsidR="003009EF" w:rsidRPr="003009EF" w:rsidRDefault="003009EF" w:rsidP="00094CB6">
            <w:pP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sz w:val="24"/>
                <w:szCs w:val="24"/>
                <w:lang w:eastAsia="en-IN"/>
              </w:rPr>
              <w:t>Petty cash expenses of ₹2,75,000 not supported by bills</w:t>
            </w:r>
          </w:p>
        </w:tc>
        <w:tc>
          <w:tcPr>
            <w:tcW w:w="0" w:type="auto"/>
            <w:vAlign w:val="center"/>
            <w:hideMark/>
          </w:tcPr>
          <w:p w:rsidR="003009EF" w:rsidRPr="003009EF" w:rsidRDefault="003009EF" w:rsidP="00094CB6">
            <w:pP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b/>
                <w:bCs/>
                <w:sz w:val="24"/>
                <w:szCs w:val="24"/>
                <w:lang w:eastAsia="en-IN"/>
              </w:rPr>
              <w:t>High</w:t>
            </w:r>
            <w:r w:rsidRPr="003009EF">
              <w:rPr>
                <w:rFonts w:ascii="Times New Roman" w:eastAsia="Times New Roman" w:hAnsi="Times New Roman" w:cs="Times New Roman"/>
                <w:sz w:val="24"/>
                <w:szCs w:val="24"/>
                <w:lang w:eastAsia="en-IN"/>
              </w:rPr>
              <w:t xml:space="preserve"> – Large amount without documentation increases fraud/misuse risk</w:t>
            </w:r>
          </w:p>
        </w:tc>
      </w:tr>
      <w:tr w:rsidR="003009EF" w:rsidRPr="003009EF" w:rsidTr="003009EF">
        <w:trPr>
          <w:tblCellSpacing w:w="15" w:type="dxa"/>
        </w:trPr>
        <w:tc>
          <w:tcPr>
            <w:tcW w:w="0" w:type="auto"/>
            <w:vAlign w:val="center"/>
            <w:hideMark/>
          </w:tcPr>
          <w:p w:rsidR="003009EF" w:rsidRPr="003009EF" w:rsidRDefault="003009EF" w:rsidP="00094CB6">
            <w:pP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sz w:val="24"/>
                <w:szCs w:val="24"/>
                <w:lang w:eastAsia="en-IN"/>
              </w:rPr>
              <w:t>2</w:t>
            </w:r>
          </w:p>
        </w:tc>
        <w:tc>
          <w:tcPr>
            <w:tcW w:w="0" w:type="auto"/>
            <w:vAlign w:val="center"/>
            <w:hideMark/>
          </w:tcPr>
          <w:p w:rsidR="003009EF" w:rsidRPr="003009EF" w:rsidRDefault="003009EF" w:rsidP="00094CB6">
            <w:pP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sz w:val="24"/>
                <w:szCs w:val="24"/>
                <w:lang w:eastAsia="en-IN"/>
              </w:rPr>
              <w:t>IGST refund delayed for three months</w:t>
            </w:r>
          </w:p>
        </w:tc>
        <w:tc>
          <w:tcPr>
            <w:tcW w:w="0" w:type="auto"/>
            <w:vAlign w:val="center"/>
            <w:hideMark/>
          </w:tcPr>
          <w:p w:rsidR="003009EF" w:rsidRPr="003009EF" w:rsidRDefault="003009EF" w:rsidP="00094CB6">
            <w:pP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b/>
                <w:bCs/>
                <w:sz w:val="24"/>
                <w:szCs w:val="24"/>
                <w:lang w:eastAsia="en-IN"/>
              </w:rPr>
              <w:t>Medium</w:t>
            </w:r>
            <w:r w:rsidRPr="003009EF">
              <w:rPr>
                <w:rFonts w:ascii="Times New Roman" w:eastAsia="Times New Roman" w:hAnsi="Times New Roman" w:cs="Times New Roman"/>
                <w:sz w:val="24"/>
                <w:szCs w:val="24"/>
                <w:lang w:eastAsia="en-IN"/>
              </w:rPr>
              <w:t xml:space="preserve"> – Impacts cash flow but not regulatory compliance immediately</w:t>
            </w:r>
          </w:p>
        </w:tc>
      </w:tr>
      <w:tr w:rsidR="003009EF" w:rsidRPr="003009EF" w:rsidTr="003009EF">
        <w:trPr>
          <w:tblCellSpacing w:w="15" w:type="dxa"/>
        </w:trPr>
        <w:tc>
          <w:tcPr>
            <w:tcW w:w="0" w:type="auto"/>
            <w:vAlign w:val="center"/>
            <w:hideMark/>
          </w:tcPr>
          <w:p w:rsidR="003009EF" w:rsidRPr="003009EF" w:rsidRDefault="003009EF" w:rsidP="00094CB6">
            <w:pP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sz w:val="24"/>
                <w:szCs w:val="24"/>
                <w:lang w:eastAsia="en-IN"/>
              </w:rPr>
              <w:t>3</w:t>
            </w:r>
          </w:p>
        </w:tc>
        <w:tc>
          <w:tcPr>
            <w:tcW w:w="0" w:type="auto"/>
            <w:vAlign w:val="center"/>
            <w:hideMark/>
          </w:tcPr>
          <w:p w:rsidR="003009EF" w:rsidRPr="003009EF" w:rsidRDefault="003009EF" w:rsidP="00094CB6">
            <w:pP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sz w:val="24"/>
                <w:szCs w:val="24"/>
                <w:lang w:eastAsia="en-IN"/>
              </w:rPr>
              <w:t>TDS deducted but not deposited on time</w:t>
            </w:r>
          </w:p>
        </w:tc>
        <w:tc>
          <w:tcPr>
            <w:tcW w:w="0" w:type="auto"/>
            <w:vAlign w:val="center"/>
            <w:hideMark/>
          </w:tcPr>
          <w:p w:rsidR="003009EF" w:rsidRPr="003009EF" w:rsidRDefault="003009EF" w:rsidP="00094CB6">
            <w:pP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3009EF">
              <w:rPr>
                <w:rFonts w:ascii="Times New Roman" w:eastAsia="Times New Roman" w:hAnsi="Times New Roman" w:cs="Times New Roman"/>
                <w:b/>
                <w:bCs/>
                <w:sz w:val="24"/>
                <w:szCs w:val="24"/>
                <w:lang w:eastAsia="en-IN"/>
              </w:rPr>
              <w:t>High</w:t>
            </w:r>
            <w:r w:rsidRPr="003009EF">
              <w:rPr>
                <w:rFonts w:ascii="Times New Roman" w:eastAsia="Times New Roman" w:hAnsi="Times New Roman" w:cs="Times New Roman"/>
                <w:sz w:val="24"/>
                <w:szCs w:val="24"/>
                <w:lang w:eastAsia="en-IN"/>
              </w:rPr>
              <w:t xml:space="preserve"> – Non-compliance can attract penalties and interest</w:t>
            </w:r>
          </w:p>
        </w:tc>
      </w:tr>
    </w:tbl>
    <w:p w:rsidR="003009EF" w:rsidRPr="003009EF" w:rsidRDefault="003009EF" w:rsidP="00094CB6">
      <w:pPr>
        <w:shd w:val="clear" w:color="auto" w:fill="F2F2F2" w:themeFill="background1" w:themeFillShade="F2"/>
        <w:rPr>
          <w:rFonts w:ascii="Times New Roman" w:hAnsi="Times New Roman" w:cs="Times New Roman"/>
          <w:b/>
          <w:bCs/>
          <w:sz w:val="36"/>
          <w:szCs w:val="36"/>
        </w:rPr>
      </w:pPr>
    </w:p>
    <w:p w:rsidR="00226D42" w:rsidRPr="00226D42" w:rsidRDefault="00226D42" w:rsidP="00226D42">
      <w:pPr>
        <w:spacing w:beforeAutospacing="1" w:after="100" w:afterAutospacing="1" w:line="240" w:lineRule="auto"/>
        <w:ind w:left="2160"/>
        <w:rPr>
          <w:rFonts w:ascii="Times New Roman" w:eastAsia="Times New Roman" w:hAnsi="Times New Roman" w:cs="Times New Roman"/>
          <w:sz w:val="24"/>
          <w:szCs w:val="24"/>
          <w:lang w:eastAsia="en-IN"/>
        </w:rPr>
      </w:pPr>
    </w:p>
    <w:p w:rsidR="00094CB6" w:rsidRPr="00094CB6" w:rsidRDefault="00094CB6" w:rsidP="00094CB6">
      <w:pPr>
        <w:pBdr>
          <w:bar w:val="single" w:sz="4" w:color="auto"/>
        </w:pBdr>
        <w:shd w:val="clear" w:color="auto" w:fill="D9D9D9" w:themeFill="background1" w:themeFillShade="D9"/>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CB6">
        <w:rPr>
          <w:rFonts w:ascii="Times New Roman" w:eastAsia="Times New Roman" w:hAnsi="Times New Roman" w:cs="Times New Roman"/>
          <w:b/>
          <w:bCs/>
          <w:sz w:val="27"/>
          <w:szCs w:val="27"/>
          <w:lang w:eastAsia="en-IN"/>
        </w:rPr>
        <w:t>B) Corrective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8302"/>
      </w:tblGrid>
      <w:tr w:rsidR="00094CB6" w:rsidRPr="00094CB6" w:rsidTr="00094CB6">
        <w:trPr>
          <w:tblHeader/>
          <w:tblCellSpacing w:w="15" w:type="dxa"/>
        </w:trPr>
        <w:tc>
          <w:tcPr>
            <w:tcW w:w="0" w:type="auto"/>
            <w:vAlign w:val="center"/>
            <w:hideMark/>
          </w:tcPr>
          <w:p w:rsidR="00094CB6" w:rsidRPr="00094CB6" w:rsidRDefault="00094CB6" w:rsidP="00094CB6">
            <w:pPr>
              <w:pBdr>
                <w:bar w:val="single" w:sz="4" w:color="auto"/>
              </w:pBdr>
              <w:shd w:val="clear" w:color="auto" w:fill="D9D9D9" w:themeFill="background1" w:themeFillShade="D9"/>
              <w:spacing w:after="0" w:line="240" w:lineRule="auto"/>
              <w:jc w:val="center"/>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Finding</w:t>
            </w:r>
          </w:p>
        </w:tc>
        <w:tc>
          <w:tcPr>
            <w:tcW w:w="0" w:type="auto"/>
            <w:vAlign w:val="center"/>
            <w:hideMark/>
          </w:tcPr>
          <w:p w:rsidR="00094CB6" w:rsidRPr="00094CB6" w:rsidRDefault="00094CB6" w:rsidP="00094CB6">
            <w:pPr>
              <w:pBdr>
                <w:bar w:val="single" w:sz="4" w:color="auto"/>
              </w:pBdr>
              <w:shd w:val="clear" w:color="auto" w:fill="D9D9D9" w:themeFill="background1" w:themeFillShade="D9"/>
              <w:spacing w:after="0" w:line="240" w:lineRule="auto"/>
              <w:jc w:val="center"/>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Corrective Action</w:t>
            </w:r>
          </w:p>
        </w:tc>
      </w:tr>
      <w:tr w:rsidR="00094CB6" w:rsidRPr="00094CB6" w:rsidTr="00094CB6">
        <w:trPr>
          <w:tblCellSpacing w:w="15" w:type="dxa"/>
        </w:trPr>
        <w:tc>
          <w:tcPr>
            <w:tcW w:w="0" w:type="auto"/>
            <w:vAlign w:val="center"/>
            <w:hideMark/>
          </w:tcPr>
          <w:p w:rsidR="00094CB6" w:rsidRPr="00094CB6" w:rsidRDefault="00094CB6" w:rsidP="00094CB6">
            <w:pPr>
              <w:pBdr>
                <w:bar w:val="single" w:sz="4" w:color="auto"/>
              </w:pBdr>
              <w:shd w:val="clear" w:color="auto" w:fill="D9D9D9" w:themeFill="background1" w:themeFillShade="D9"/>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Petty cash without bills</w:t>
            </w:r>
          </w:p>
        </w:tc>
        <w:tc>
          <w:tcPr>
            <w:tcW w:w="0" w:type="auto"/>
            <w:vAlign w:val="center"/>
            <w:hideMark/>
          </w:tcPr>
          <w:p w:rsidR="00094CB6" w:rsidRPr="00094CB6" w:rsidRDefault="00094CB6" w:rsidP="00094CB6">
            <w:pPr>
              <w:pBdr>
                <w:bar w:val="single" w:sz="4" w:color="auto"/>
              </w:pBdr>
              <w:shd w:val="clear" w:color="auto" w:fill="D9D9D9" w:themeFill="background1" w:themeFillShade="D9"/>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Implement strict petty cash policy requiring receipts; maintain detailed log and monthly reconciliation</w:t>
            </w:r>
          </w:p>
        </w:tc>
      </w:tr>
      <w:tr w:rsidR="00094CB6" w:rsidRPr="00094CB6" w:rsidTr="00094CB6">
        <w:trPr>
          <w:tblCellSpacing w:w="15" w:type="dxa"/>
        </w:trPr>
        <w:tc>
          <w:tcPr>
            <w:tcW w:w="0" w:type="auto"/>
            <w:vAlign w:val="center"/>
            <w:hideMark/>
          </w:tcPr>
          <w:p w:rsidR="00094CB6" w:rsidRPr="00094CB6" w:rsidRDefault="00094CB6" w:rsidP="00094CB6">
            <w:pPr>
              <w:pBdr>
                <w:bar w:val="single" w:sz="4" w:color="auto"/>
              </w:pBdr>
              <w:shd w:val="clear" w:color="auto" w:fill="D9D9D9" w:themeFill="background1" w:themeFillShade="D9"/>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IGST refund delayed</w:t>
            </w:r>
          </w:p>
        </w:tc>
        <w:tc>
          <w:tcPr>
            <w:tcW w:w="0" w:type="auto"/>
            <w:vAlign w:val="center"/>
            <w:hideMark/>
          </w:tcPr>
          <w:p w:rsidR="00094CB6" w:rsidRPr="00094CB6" w:rsidRDefault="00094CB6" w:rsidP="00094CB6">
            <w:pPr>
              <w:pBdr>
                <w:bar w:val="single" w:sz="4" w:color="auto"/>
              </w:pBdr>
              <w:shd w:val="clear" w:color="auto" w:fill="D9D9D9" w:themeFill="background1" w:themeFillShade="D9"/>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Track refunds monthly; follow up with GST portal/customs; maintain refund tracker for timely claims</w:t>
            </w:r>
          </w:p>
        </w:tc>
      </w:tr>
      <w:tr w:rsidR="00094CB6" w:rsidRPr="00094CB6" w:rsidTr="00094CB6">
        <w:trPr>
          <w:tblCellSpacing w:w="15" w:type="dxa"/>
        </w:trPr>
        <w:tc>
          <w:tcPr>
            <w:tcW w:w="0" w:type="auto"/>
            <w:vAlign w:val="center"/>
            <w:hideMark/>
          </w:tcPr>
          <w:p w:rsidR="00094CB6" w:rsidRPr="00094CB6" w:rsidRDefault="00094CB6" w:rsidP="00094CB6">
            <w:pPr>
              <w:pBdr>
                <w:bar w:val="single" w:sz="4" w:color="auto"/>
              </w:pBdr>
              <w:shd w:val="clear" w:color="auto" w:fill="D9D9D9" w:themeFill="background1" w:themeFillShade="D9"/>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TDS not deposited</w:t>
            </w:r>
          </w:p>
        </w:tc>
        <w:tc>
          <w:tcPr>
            <w:tcW w:w="0" w:type="auto"/>
            <w:vAlign w:val="center"/>
            <w:hideMark/>
          </w:tcPr>
          <w:p w:rsidR="00094CB6" w:rsidRPr="00094CB6" w:rsidRDefault="00094CB6" w:rsidP="00094CB6">
            <w:pPr>
              <w:pBdr>
                <w:bar w:val="single" w:sz="4" w:color="auto"/>
              </w:pBdr>
              <w:shd w:val="clear" w:color="auto" w:fill="D9D9D9" w:themeFill="background1" w:themeFillShade="D9"/>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Set automated reminders for TDS payment; integrate TDS module in accounting software; reconcile monthly</w:t>
            </w:r>
          </w:p>
        </w:tc>
      </w:tr>
    </w:tbl>
    <w:p w:rsidR="00094CB6" w:rsidRPr="00226D42" w:rsidRDefault="00094CB6" w:rsidP="00094CB6">
      <w:pPr>
        <w:shd w:val="clear" w:color="auto" w:fill="D9D9D9" w:themeFill="background1" w:themeFillShade="D9"/>
        <w:spacing w:before="100" w:beforeAutospacing="1" w:after="100" w:afterAutospacing="1" w:line="240" w:lineRule="auto"/>
        <w:rPr>
          <w:rFonts w:ascii="Times New Roman" w:eastAsia="Times New Roman" w:hAnsi="Times New Roman" w:cs="Times New Roman"/>
          <w:sz w:val="24"/>
          <w:szCs w:val="24"/>
          <w:lang w:eastAsia="en-IN"/>
        </w:rPr>
      </w:pPr>
    </w:p>
    <w:p w:rsidR="00094CB6" w:rsidRDefault="00094CB6" w:rsidP="00094CB6">
      <w:pPr>
        <w:pStyle w:val="Heading3"/>
        <w:rPr>
          <w:rStyle w:val="Strong"/>
          <w:b/>
          <w:bCs/>
        </w:rPr>
      </w:pPr>
    </w:p>
    <w:p w:rsidR="00094CB6" w:rsidRDefault="00094CB6" w:rsidP="00094CB6">
      <w:pPr>
        <w:pStyle w:val="Heading3"/>
        <w:rPr>
          <w:rStyle w:val="Strong"/>
          <w:b/>
          <w:bCs/>
        </w:rPr>
      </w:pPr>
    </w:p>
    <w:p w:rsidR="00094CB6" w:rsidRDefault="00094CB6" w:rsidP="00094CB6">
      <w:pPr>
        <w:pStyle w:val="Heading3"/>
      </w:pPr>
      <w:r>
        <w:rPr>
          <w:rStyle w:val="Strong"/>
          <w:b/>
          <w:bCs/>
        </w:rPr>
        <w:lastRenderedPageBreak/>
        <w:t xml:space="preserve">C) Explanation </w:t>
      </w:r>
    </w:p>
    <w:p w:rsidR="00094CB6" w:rsidRDefault="00094CB6" w:rsidP="00094CB6">
      <w:pPr>
        <w:pStyle w:val="NormalWeb"/>
      </w:pPr>
      <w:r>
        <w:t xml:space="preserve">Audit findings highlight gaps in financial control, compliance, and process efficiency. By addressing unsupported expenses, </w:t>
      </w:r>
      <w:proofErr w:type="spellStart"/>
      <w:r>
        <w:t>Silverline</w:t>
      </w:r>
      <w:proofErr w:type="spellEnd"/>
      <w:r>
        <w:t xml:space="preserve"> Electronics can reduce misuse of funds and maintain accurate records. Timely tracking of IGST refunds ensures optimized cash flow, improving working capital management. Ensuring TDS is deposited on time avoids penalties and strengthens regulatory compliance. Overall, systematically reviewing audit observations allows export consulting setups to streamline financial processes, enhance accountability, implement preventive controls, and make informed operational decisions—ultimately boosting efficiency, transparency, and profitability.</w:t>
      </w:r>
    </w:p>
    <w:p w:rsidR="00226D42" w:rsidRPr="00226D42" w:rsidRDefault="00226D42" w:rsidP="00226D42">
      <w:pPr>
        <w:ind w:left="720"/>
        <w:rPr>
          <w:rFonts w:ascii="Times New Roman" w:hAnsi="Times New Roman" w:cs="Times New Roman"/>
          <w:b/>
          <w:bCs/>
        </w:rPr>
      </w:pPr>
    </w:p>
    <w:p w:rsidR="00226D42" w:rsidRPr="00226D42" w:rsidRDefault="00226D42" w:rsidP="00226D42">
      <w:pPr>
        <w:pStyle w:val="ListParagraph"/>
        <w:ind w:left="1440"/>
        <w:rPr>
          <w:rFonts w:ascii="Times New Roman" w:hAnsi="Times New Roman" w:cs="Times New Roman"/>
          <w:b/>
          <w:bCs/>
        </w:rPr>
      </w:pPr>
    </w:p>
    <w:p w:rsidR="00094CB6" w:rsidRPr="00094CB6" w:rsidRDefault="00094CB6" w:rsidP="00094CB6">
      <w:pPr>
        <w:rPr>
          <w:rFonts w:ascii="Times New Roman" w:hAnsi="Times New Roman" w:cs="Times New Roman"/>
          <w:b/>
          <w:bCs/>
          <w:sz w:val="36"/>
          <w:szCs w:val="36"/>
        </w:rPr>
      </w:pPr>
      <w:proofErr w:type="gramStart"/>
      <w:r w:rsidRPr="00094CB6">
        <w:rPr>
          <w:rFonts w:ascii="Times New Roman" w:hAnsi="Times New Roman" w:cs="Times New Roman"/>
          <w:b/>
          <w:bCs/>
          <w:sz w:val="36"/>
          <w:szCs w:val="36"/>
        </w:rPr>
        <w:t>4.</w:t>
      </w:r>
      <w:r w:rsidRPr="00094CB6">
        <w:rPr>
          <w:rFonts w:ascii="Times New Roman" w:hAnsi="Times New Roman" w:cs="Times New Roman"/>
          <w:b/>
          <w:bCs/>
          <w:sz w:val="36"/>
          <w:szCs w:val="36"/>
        </w:rPr>
        <w:t>Operations</w:t>
      </w:r>
      <w:proofErr w:type="gramEnd"/>
      <w:r w:rsidRPr="00094CB6">
        <w:rPr>
          <w:rFonts w:ascii="Times New Roman" w:hAnsi="Times New Roman" w:cs="Times New Roman"/>
          <w:b/>
          <w:bCs/>
          <w:sz w:val="36"/>
          <w:szCs w:val="36"/>
        </w:rPr>
        <w:t xml:space="preserve"> &amp; Consulting Efficiency</w:t>
      </w:r>
    </w:p>
    <w:p w:rsidR="00094CB6" w:rsidRPr="00094CB6" w:rsidRDefault="00094CB6" w:rsidP="00094CB6">
      <w:pPr>
        <w:pStyle w:val="Heading3"/>
        <w:ind w:firstLine="720"/>
        <w:rPr>
          <w:sz w:val="24"/>
          <w:szCs w:val="24"/>
        </w:rPr>
      </w:pPr>
      <w:r w:rsidRPr="00094CB6">
        <w:rPr>
          <w:sz w:val="24"/>
          <w:szCs w:val="24"/>
        </w:rPr>
        <w:t>A) Weekly Operations Tracker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2110"/>
        <w:gridCol w:w="967"/>
        <w:gridCol w:w="1138"/>
        <w:gridCol w:w="2303"/>
        <w:gridCol w:w="2601"/>
      </w:tblGrid>
      <w:tr w:rsidR="00094CB6" w:rsidRPr="00094CB6" w:rsidTr="00094CB6">
        <w:trPr>
          <w:tblHeader/>
          <w:tblCellSpacing w:w="15" w:type="dxa"/>
        </w:trPr>
        <w:tc>
          <w:tcPr>
            <w:tcW w:w="0" w:type="auto"/>
            <w:vAlign w:val="center"/>
            <w:hideMark/>
          </w:tcPr>
          <w:p w:rsidR="00094CB6" w:rsidRPr="00094CB6" w:rsidRDefault="00094CB6" w:rsidP="00094CB6">
            <w:pPr>
              <w:spacing w:after="0" w:line="240" w:lineRule="auto"/>
              <w:jc w:val="center"/>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Client Name</w:t>
            </w:r>
          </w:p>
        </w:tc>
        <w:tc>
          <w:tcPr>
            <w:tcW w:w="0" w:type="auto"/>
            <w:vAlign w:val="center"/>
            <w:hideMark/>
          </w:tcPr>
          <w:p w:rsidR="00094CB6" w:rsidRPr="00094CB6" w:rsidRDefault="00094CB6" w:rsidP="00094CB6">
            <w:pPr>
              <w:spacing w:after="0" w:line="240" w:lineRule="auto"/>
              <w:jc w:val="center"/>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Task</w:t>
            </w:r>
          </w:p>
        </w:tc>
        <w:tc>
          <w:tcPr>
            <w:tcW w:w="0" w:type="auto"/>
            <w:vAlign w:val="center"/>
            <w:hideMark/>
          </w:tcPr>
          <w:p w:rsidR="00094CB6" w:rsidRPr="00094CB6" w:rsidRDefault="00094CB6" w:rsidP="00094CB6">
            <w:pPr>
              <w:spacing w:after="0" w:line="240" w:lineRule="auto"/>
              <w:jc w:val="center"/>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Deadline</w:t>
            </w:r>
          </w:p>
        </w:tc>
        <w:tc>
          <w:tcPr>
            <w:tcW w:w="0" w:type="auto"/>
            <w:vAlign w:val="center"/>
            <w:hideMark/>
          </w:tcPr>
          <w:p w:rsidR="00094CB6" w:rsidRPr="00094CB6" w:rsidRDefault="00094CB6" w:rsidP="00094CB6">
            <w:pPr>
              <w:spacing w:after="0" w:line="240" w:lineRule="auto"/>
              <w:jc w:val="center"/>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Status</w:t>
            </w:r>
          </w:p>
        </w:tc>
        <w:tc>
          <w:tcPr>
            <w:tcW w:w="0" w:type="auto"/>
            <w:vAlign w:val="center"/>
            <w:hideMark/>
          </w:tcPr>
          <w:p w:rsidR="00094CB6" w:rsidRPr="00094CB6" w:rsidRDefault="00094CB6" w:rsidP="00094CB6">
            <w:pPr>
              <w:spacing w:after="0" w:line="240" w:lineRule="auto"/>
              <w:jc w:val="center"/>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Remarks</w:t>
            </w:r>
          </w:p>
        </w:tc>
        <w:tc>
          <w:tcPr>
            <w:tcW w:w="0" w:type="auto"/>
            <w:vAlign w:val="center"/>
            <w:hideMark/>
          </w:tcPr>
          <w:p w:rsidR="00094CB6" w:rsidRPr="00094CB6" w:rsidRDefault="00094CB6" w:rsidP="00094CB6">
            <w:pPr>
              <w:spacing w:after="0" w:line="240" w:lineRule="auto"/>
              <w:jc w:val="center"/>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Next Action</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Client A</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GST Filing</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25-Nov</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In Progress</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Awaiting invoices</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Follow up with finance team</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Client B</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Export Documentation</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26-Nov</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Pending</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Bill of Lading not received</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Request B/L from shipping agent</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Client C</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proofErr w:type="spellStart"/>
            <w:r w:rsidRPr="00094CB6">
              <w:rPr>
                <w:rFonts w:ascii="Times New Roman" w:eastAsia="Times New Roman" w:hAnsi="Times New Roman" w:cs="Times New Roman"/>
                <w:sz w:val="24"/>
                <w:szCs w:val="24"/>
                <w:lang w:eastAsia="en-IN"/>
              </w:rPr>
              <w:t>RoDTEP</w:t>
            </w:r>
            <w:proofErr w:type="spellEnd"/>
            <w:r w:rsidRPr="00094CB6">
              <w:rPr>
                <w:rFonts w:ascii="Times New Roman" w:eastAsia="Times New Roman" w:hAnsi="Times New Roman" w:cs="Times New Roman"/>
                <w:sz w:val="24"/>
                <w:szCs w:val="24"/>
                <w:lang w:eastAsia="en-IN"/>
              </w:rPr>
              <w:t xml:space="preserve"> Claim</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28-Nov</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Completed</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Filed on DGFT portal</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Monitor ledger credit</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Client D</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Audit Coordination</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27-Nov</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In Progress</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Internal audit scheduled</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Prepare audit checklist</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Client E</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Duty Drawback Filing</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29-Nov</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Pending</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Input duty proofs missing</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Collect invoices from client</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Client F</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GST Refund Follow-up</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30-Nov</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In Progress</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Refund delayed by 2 months</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Escalate with GST office</w:t>
            </w:r>
          </w:p>
        </w:tc>
      </w:tr>
    </w:tbl>
    <w:p w:rsidR="0063576D" w:rsidRDefault="0063576D"/>
    <w:p w:rsidR="00094CB6" w:rsidRDefault="00094CB6"/>
    <w:p w:rsidR="00094CB6" w:rsidRPr="00094CB6" w:rsidRDefault="00094CB6" w:rsidP="00094CB6">
      <w:pPr>
        <w:pStyle w:val="Heading3"/>
        <w:ind w:firstLine="360"/>
        <w:rPr>
          <w:sz w:val="24"/>
          <w:szCs w:val="24"/>
        </w:rPr>
      </w:pPr>
      <w:r w:rsidRPr="00094CB6">
        <w:rPr>
          <w:rStyle w:val="Strong"/>
          <w:b/>
          <w:bCs/>
          <w:sz w:val="24"/>
          <w:szCs w:val="24"/>
        </w:rPr>
        <w:t>B) Suggested Performance Metrics (KPIs)</w:t>
      </w:r>
    </w:p>
    <w:p w:rsidR="00094CB6" w:rsidRDefault="00094CB6" w:rsidP="00094CB6">
      <w:pPr>
        <w:pStyle w:val="NormalWeb"/>
        <w:numPr>
          <w:ilvl w:val="0"/>
          <w:numId w:val="15"/>
        </w:numPr>
      </w:pPr>
      <w:r>
        <w:rPr>
          <w:rStyle w:val="Strong"/>
        </w:rPr>
        <w:t>On-Time Task Completion Rate (%)</w:t>
      </w:r>
      <w:r>
        <w:t xml:space="preserve"> – Percentage of tasks completed by their deadlines.</w:t>
      </w:r>
    </w:p>
    <w:p w:rsidR="00094CB6" w:rsidRDefault="00094CB6" w:rsidP="00094CB6">
      <w:pPr>
        <w:pStyle w:val="NormalWeb"/>
        <w:numPr>
          <w:ilvl w:val="0"/>
          <w:numId w:val="15"/>
        </w:numPr>
      </w:pPr>
      <w:r>
        <w:rPr>
          <w:rStyle w:val="Strong"/>
        </w:rPr>
        <w:t>Follow-Up Reduction Rate</w:t>
      </w:r>
      <w:r>
        <w:t xml:space="preserve"> – Number of tasks requiring repeated reminders vs total tasks.</w:t>
      </w:r>
    </w:p>
    <w:p w:rsidR="00094CB6" w:rsidRDefault="00094CB6" w:rsidP="00094CB6">
      <w:pPr>
        <w:pStyle w:val="NormalWeb"/>
        <w:numPr>
          <w:ilvl w:val="0"/>
          <w:numId w:val="15"/>
        </w:numPr>
      </w:pPr>
      <w:r>
        <w:rPr>
          <w:rStyle w:val="Strong"/>
        </w:rPr>
        <w:t>Client Satisfaction Score</w:t>
      </w:r>
      <w:r>
        <w:t xml:space="preserve"> – Feedback rating from clients on timeliness and quality of services.</w:t>
      </w:r>
    </w:p>
    <w:p w:rsidR="00094CB6" w:rsidRPr="00094CB6" w:rsidRDefault="00094CB6" w:rsidP="00094CB6">
      <w:pPr>
        <w:pStyle w:val="Heading3"/>
        <w:ind w:firstLine="360"/>
        <w:rPr>
          <w:sz w:val="24"/>
          <w:szCs w:val="24"/>
        </w:rPr>
      </w:pPr>
      <w:r w:rsidRPr="00094CB6">
        <w:rPr>
          <w:rStyle w:val="Strong"/>
          <w:b/>
          <w:bCs/>
          <w:sz w:val="24"/>
          <w:szCs w:val="24"/>
        </w:rPr>
        <w:t>C) Process Improvement Idea</w:t>
      </w:r>
    </w:p>
    <w:p w:rsidR="00094CB6" w:rsidRDefault="00094CB6" w:rsidP="00094CB6">
      <w:pPr>
        <w:pStyle w:val="NormalWeb"/>
        <w:numPr>
          <w:ilvl w:val="0"/>
          <w:numId w:val="16"/>
        </w:numPr>
      </w:pPr>
      <w:r>
        <w:rPr>
          <w:rStyle w:val="Strong"/>
        </w:rPr>
        <w:t>Implement a centralized task management system</w:t>
      </w:r>
      <w:r>
        <w:t xml:space="preserve"> (e.g., Trello, Asana, or MS Teams Planner) integrated with email reminders. This ensures that each team member sees task deadlines, updates status in real-time, and reduces manual follow-ups and inter-team delays. Automation can trigger alerts for pending actions, approvals, and escalations.</w:t>
      </w:r>
    </w:p>
    <w:p w:rsidR="00094CB6" w:rsidRDefault="00094CB6" w:rsidP="00094CB6">
      <w:pPr>
        <w:pStyle w:val="NormalWeb"/>
      </w:pPr>
    </w:p>
    <w:p w:rsidR="00094CB6" w:rsidRDefault="00094CB6" w:rsidP="00094CB6">
      <w:pPr>
        <w:pStyle w:val="NormalWeb"/>
      </w:pPr>
    </w:p>
    <w:p w:rsidR="00094CB6" w:rsidRDefault="00094CB6" w:rsidP="00094CB6">
      <w:pPr>
        <w:pStyle w:val="NormalWeb"/>
      </w:pPr>
    </w:p>
    <w:p w:rsidR="00094CB6" w:rsidRPr="00094CB6" w:rsidRDefault="00094CB6" w:rsidP="00094CB6">
      <w:pPr>
        <w:rPr>
          <w:rFonts w:ascii="Times New Roman" w:hAnsi="Times New Roman" w:cs="Times New Roman"/>
          <w:b/>
          <w:bCs/>
          <w:sz w:val="36"/>
          <w:szCs w:val="36"/>
        </w:rPr>
      </w:pPr>
      <w:r w:rsidRPr="00094CB6">
        <w:rPr>
          <w:sz w:val="36"/>
          <w:szCs w:val="36"/>
        </w:rPr>
        <w:lastRenderedPageBreak/>
        <w:t>5.</w:t>
      </w:r>
      <w:r w:rsidRPr="00094CB6">
        <w:rPr>
          <w:rFonts w:ascii="Times New Roman" w:hAnsi="Times New Roman" w:cs="Times New Roman"/>
          <w:b/>
          <w:bCs/>
          <w:sz w:val="36"/>
          <w:szCs w:val="36"/>
        </w:rPr>
        <w:t xml:space="preserve"> </w:t>
      </w:r>
      <w:r w:rsidRPr="00094CB6">
        <w:rPr>
          <w:rFonts w:ascii="Times New Roman" w:hAnsi="Times New Roman" w:cs="Times New Roman"/>
          <w:b/>
          <w:bCs/>
          <w:sz w:val="36"/>
          <w:szCs w:val="36"/>
        </w:rPr>
        <w:t>Compliance &amp; Advisory</w:t>
      </w:r>
    </w:p>
    <w:p w:rsidR="00094CB6" w:rsidRDefault="00094CB6" w:rsidP="00094CB6">
      <w:pPr>
        <w:pStyle w:val="Heading3"/>
      </w:pPr>
      <w:r>
        <w:tab/>
      </w:r>
      <w:r>
        <w:rPr>
          <w:rStyle w:val="Strong"/>
          <w:b/>
          <w:bCs/>
        </w:rPr>
        <w:t>Calculate Total Penalty</w:t>
      </w:r>
    </w:p>
    <w:p w:rsidR="00094CB6" w:rsidRDefault="00094CB6" w:rsidP="00094CB6">
      <w:pPr>
        <w:pStyle w:val="NormalWeb"/>
        <w:numPr>
          <w:ilvl w:val="0"/>
          <w:numId w:val="17"/>
        </w:numPr>
      </w:pPr>
      <w:r>
        <w:rPr>
          <w:rStyle w:val="Strong"/>
        </w:rPr>
        <w:t>MCA Penalty</w:t>
      </w:r>
    </w:p>
    <w:p w:rsidR="00094CB6" w:rsidRDefault="00094CB6" w:rsidP="00094CB6">
      <w:pPr>
        <w:pStyle w:val="NormalWeb"/>
        <w:numPr>
          <w:ilvl w:val="0"/>
          <w:numId w:val="18"/>
        </w:numPr>
      </w:pPr>
      <w:r>
        <w:t xml:space="preserve">Two forms missed: </w:t>
      </w:r>
      <w:r>
        <w:rPr>
          <w:rStyle w:val="Strong"/>
        </w:rPr>
        <w:t>AOC-4</w:t>
      </w:r>
      <w:r>
        <w:t xml:space="preserve"> and </w:t>
      </w:r>
      <w:r>
        <w:rPr>
          <w:rStyle w:val="Strong"/>
        </w:rPr>
        <w:t>MGT-7</w:t>
      </w:r>
    </w:p>
    <w:p w:rsidR="00094CB6" w:rsidRDefault="00094CB6" w:rsidP="00094CB6">
      <w:pPr>
        <w:pStyle w:val="NormalWeb"/>
        <w:numPr>
          <w:ilvl w:val="0"/>
          <w:numId w:val="18"/>
        </w:numPr>
      </w:pPr>
      <w:r>
        <w:t>Penalty per form: ₹100/day</w:t>
      </w:r>
    </w:p>
    <w:p w:rsidR="00094CB6" w:rsidRDefault="00094CB6" w:rsidP="00094CB6">
      <w:pPr>
        <w:pStyle w:val="NormalWeb"/>
        <w:numPr>
          <w:ilvl w:val="0"/>
          <w:numId w:val="18"/>
        </w:numPr>
      </w:pPr>
      <w:r>
        <w:t>Assuming delay = 1 day (since daily penalty applies until filing, exact days can vary)</w:t>
      </w:r>
    </w:p>
    <w:p w:rsidR="00094CB6" w:rsidRDefault="00094CB6" w:rsidP="00094CB6">
      <w:pPr>
        <w:rPr>
          <w:rStyle w:val="mord"/>
        </w:rPr>
      </w:pPr>
      <w:r>
        <w:rPr>
          <w:rStyle w:val="katex-mathml"/>
        </w:rPr>
        <w:t>MCA Penalty=2 forms×100 per day×1 day=₹200\</w:t>
      </w:r>
      <w:proofErr w:type="gramStart"/>
      <w:r>
        <w:rPr>
          <w:rStyle w:val="katex-mathml"/>
        </w:rPr>
        <w:t>text{</w:t>
      </w:r>
      <w:proofErr w:type="gramEnd"/>
      <w:r>
        <w:rPr>
          <w:rStyle w:val="katex-mathml"/>
        </w:rPr>
        <w:t>MCA Penalty} = 2 \text{ forms} \times 100 \text{ per day} \times 1 \text{ day} = ₹200</w:t>
      </w:r>
      <w:r>
        <w:rPr>
          <w:rStyle w:val="mord"/>
        </w:rPr>
        <w:t>MCA Penalty</w:t>
      </w:r>
      <w:r>
        <w:rPr>
          <w:rStyle w:val="mrel"/>
        </w:rPr>
        <w:t>=</w:t>
      </w:r>
      <w:r>
        <w:rPr>
          <w:rStyle w:val="mord"/>
        </w:rPr>
        <w:t>2 forms</w:t>
      </w:r>
      <w:r>
        <w:rPr>
          <w:rStyle w:val="mbin"/>
        </w:rPr>
        <w:t>×</w:t>
      </w:r>
      <w:r>
        <w:rPr>
          <w:rStyle w:val="mord"/>
        </w:rPr>
        <w:t>100 per day</w:t>
      </w:r>
      <w:r>
        <w:rPr>
          <w:rStyle w:val="mbin"/>
        </w:rPr>
        <w:t>×</w:t>
      </w:r>
      <w:r>
        <w:rPr>
          <w:rStyle w:val="mord"/>
        </w:rPr>
        <w:t>1 day</w:t>
      </w:r>
      <w:r>
        <w:rPr>
          <w:rStyle w:val="mrel"/>
        </w:rPr>
        <w:t>=</w:t>
      </w:r>
      <w:r>
        <w:rPr>
          <w:rStyle w:val="mord"/>
        </w:rPr>
        <w:t>₹200</w:t>
      </w:r>
    </w:p>
    <w:p w:rsidR="00094CB6" w:rsidRPr="00094CB6" w:rsidRDefault="00094CB6" w:rsidP="00094CB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b/>
          <w:bCs/>
          <w:sz w:val="24"/>
          <w:szCs w:val="24"/>
          <w:lang w:eastAsia="en-IN"/>
        </w:rPr>
        <w:t>GST Penalty</w:t>
      </w:r>
    </w:p>
    <w:p w:rsidR="00094CB6" w:rsidRPr="00094CB6" w:rsidRDefault="00094CB6" w:rsidP="00094CB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Delay = 15 days</w:t>
      </w:r>
    </w:p>
    <w:p w:rsidR="00094CB6" w:rsidRPr="00094CB6" w:rsidRDefault="00094CB6" w:rsidP="00094CB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Penalty per day: CGST ₹50 + SGST ₹50 = ₹100/day</w:t>
      </w:r>
    </w:p>
    <w:p w:rsidR="00094CB6" w:rsidRDefault="00094CB6" w:rsidP="00094CB6">
      <w:pPr>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GST Penalty=100×15=₹1,500\</w:t>
      </w:r>
      <w:proofErr w:type="gramStart"/>
      <w:r w:rsidRPr="00094CB6">
        <w:rPr>
          <w:rFonts w:ascii="Times New Roman" w:eastAsia="Times New Roman" w:hAnsi="Times New Roman" w:cs="Times New Roman"/>
          <w:sz w:val="24"/>
          <w:szCs w:val="24"/>
          <w:lang w:eastAsia="en-IN"/>
        </w:rPr>
        <w:t>text{</w:t>
      </w:r>
      <w:proofErr w:type="gramEnd"/>
      <w:r w:rsidRPr="00094CB6">
        <w:rPr>
          <w:rFonts w:ascii="Times New Roman" w:eastAsia="Times New Roman" w:hAnsi="Times New Roman" w:cs="Times New Roman"/>
          <w:sz w:val="24"/>
          <w:szCs w:val="24"/>
          <w:lang w:eastAsia="en-IN"/>
        </w:rPr>
        <w:t>GST Penalty} = 100 \times 15 = ₹1,500GST Penalty=100×15=₹1,500</w:t>
      </w:r>
    </w:p>
    <w:p w:rsidR="00094CB6" w:rsidRPr="00094CB6" w:rsidRDefault="00094CB6" w:rsidP="00094CB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b/>
          <w:bCs/>
          <w:sz w:val="24"/>
          <w:szCs w:val="24"/>
          <w:lang w:eastAsia="en-IN"/>
        </w:rPr>
        <w:t>Total Penalty</w:t>
      </w:r>
    </w:p>
    <w:p w:rsidR="00094CB6" w:rsidRDefault="00094CB6" w:rsidP="00094CB6">
      <w:pPr>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Total Penalty=MCA Penalty+GST Penalty=200+1,500=₹1,700\</w:t>
      </w:r>
      <w:proofErr w:type="gramStart"/>
      <w:r w:rsidRPr="00094CB6">
        <w:rPr>
          <w:rFonts w:ascii="Times New Roman" w:eastAsia="Times New Roman" w:hAnsi="Times New Roman" w:cs="Times New Roman"/>
          <w:sz w:val="24"/>
          <w:szCs w:val="24"/>
          <w:lang w:eastAsia="en-IN"/>
        </w:rPr>
        <w:t>text{</w:t>
      </w:r>
      <w:proofErr w:type="gramEnd"/>
      <w:r w:rsidRPr="00094CB6">
        <w:rPr>
          <w:rFonts w:ascii="Times New Roman" w:eastAsia="Times New Roman" w:hAnsi="Times New Roman" w:cs="Times New Roman"/>
          <w:sz w:val="24"/>
          <w:szCs w:val="24"/>
          <w:lang w:eastAsia="en-IN"/>
        </w:rPr>
        <w:t>Total Penalty} = \text{MCA Penalty} + \text{GST Penalty} = 200 + 1,500 = ₹1,700Total Penalty=MCA </w:t>
      </w:r>
      <w:proofErr w:type="spellStart"/>
      <w:r w:rsidRPr="00094CB6">
        <w:rPr>
          <w:rFonts w:ascii="Times New Roman" w:eastAsia="Times New Roman" w:hAnsi="Times New Roman" w:cs="Times New Roman"/>
          <w:sz w:val="24"/>
          <w:szCs w:val="24"/>
          <w:lang w:eastAsia="en-IN"/>
        </w:rPr>
        <w:t>Penalty+GST</w:t>
      </w:r>
      <w:proofErr w:type="spellEnd"/>
      <w:r w:rsidRPr="00094CB6">
        <w:rPr>
          <w:rFonts w:ascii="Times New Roman" w:eastAsia="Times New Roman" w:hAnsi="Times New Roman" w:cs="Times New Roman"/>
          <w:sz w:val="24"/>
          <w:szCs w:val="24"/>
          <w:lang w:eastAsia="en-IN"/>
        </w:rPr>
        <w:t> Penalty=200+1,500=₹1,700</w:t>
      </w:r>
    </w:p>
    <w:p w:rsidR="00094CB6" w:rsidRDefault="00094CB6" w:rsidP="00094CB6">
      <w:pPr>
        <w:ind w:left="720" w:firstLine="720"/>
        <w:rPr>
          <w:rStyle w:val="Strong"/>
          <w:sz w:val="32"/>
          <w:szCs w:val="32"/>
        </w:rPr>
      </w:pPr>
      <w:r w:rsidRPr="00094CB6">
        <w:rPr>
          <w:rStyle w:val="Strong"/>
          <w:sz w:val="32"/>
          <w:szCs w:val="32"/>
        </w:rPr>
        <w:t>Total Penalty Payable = ₹1,700</w:t>
      </w:r>
    </w:p>
    <w:p w:rsidR="00094CB6" w:rsidRDefault="00094CB6" w:rsidP="00094CB6">
      <w:pPr>
        <w:ind w:left="720" w:firstLine="720"/>
        <w:rPr>
          <w:rStyle w:val="Strong"/>
          <w:sz w:val="32"/>
          <w:szCs w:val="32"/>
        </w:rPr>
      </w:pPr>
    </w:p>
    <w:p w:rsidR="00094CB6" w:rsidRDefault="00094CB6" w:rsidP="00094CB6">
      <w:pPr>
        <w:pStyle w:val="Heading3"/>
        <w:ind w:firstLine="720"/>
      </w:pPr>
      <w:r>
        <w:rPr>
          <w:rStyle w:val="Strong"/>
          <w:b/>
          <w:bCs/>
        </w:rPr>
        <w:t>B) Advisory Note (4–5 lines)</w:t>
      </w:r>
    </w:p>
    <w:p w:rsidR="00094CB6" w:rsidRDefault="00094CB6" w:rsidP="00094CB6">
      <w:pPr>
        <w:pStyle w:val="NormalWeb"/>
      </w:pPr>
      <w:r>
        <w:t>Delays in statutory filings negatively impact the company’s compliance rating and can attract increased scrutiny from regulatory authorities. Persistent non-compliance can also harm the company’s reputation with stakeholders, banks, and auditors. Timely filing ensures avoidance of penalties, strengthens credibility, and improves operational transparency. It is essential to adopt proactive compliance practices to maintain trust and minimize financial and legal risks.</w:t>
      </w:r>
    </w:p>
    <w:p w:rsidR="00094CB6" w:rsidRDefault="00094CB6" w:rsidP="00094CB6">
      <w:pPr>
        <w:pStyle w:val="Heading3"/>
        <w:ind w:firstLine="720"/>
      </w:pPr>
      <w:r>
        <w:rPr>
          <w:rStyle w:val="Strong"/>
          <w:b/>
          <w:bCs/>
        </w:rPr>
        <w:t>C) Suggested Digital Method/Tool</w:t>
      </w:r>
    </w:p>
    <w:p w:rsidR="00094CB6" w:rsidRDefault="00094CB6" w:rsidP="00094CB6">
      <w:pPr>
        <w:pStyle w:val="NormalWeb"/>
      </w:pPr>
      <w:r>
        <w:rPr>
          <w:rStyle w:val="Strong"/>
        </w:rPr>
        <w:t>Use a compliance management software</w:t>
      </w:r>
      <w:r>
        <w:t xml:space="preserve"> such as </w:t>
      </w:r>
      <w:proofErr w:type="spellStart"/>
      <w:r>
        <w:rPr>
          <w:rStyle w:val="Strong"/>
        </w:rPr>
        <w:t>Cleartax</w:t>
      </w:r>
      <w:proofErr w:type="spellEnd"/>
      <w:r>
        <w:rPr>
          <w:rStyle w:val="Strong"/>
        </w:rPr>
        <w:t xml:space="preserve">, </w:t>
      </w:r>
      <w:proofErr w:type="spellStart"/>
      <w:r>
        <w:rPr>
          <w:rStyle w:val="Strong"/>
        </w:rPr>
        <w:t>Zoho</w:t>
      </w:r>
      <w:proofErr w:type="spellEnd"/>
      <w:r>
        <w:rPr>
          <w:rStyle w:val="Strong"/>
        </w:rPr>
        <w:t xml:space="preserve"> Books, or Microsoft Planner</w:t>
      </w:r>
      <w:r>
        <w:t xml:space="preserve"> to maintain an internal statutory calendar with automated reminders for all MCA and GST filing deadlines.</w:t>
      </w:r>
    </w:p>
    <w:p w:rsidR="00094CB6" w:rsidRDefault="00094CB6" w:rsidP="00094CB6">
      <w:pPr>
        <w:pStyle w:val="NormalWeb"/>
      </w:pPr>
    </w:p>
    <w:p w:rsidR="00094CB6" w:rsidRDefault="00094CB6" w:rsidP="00094CB6">
      <w:pPr>
        <w:pStyle w:val="NormalWeb"/>
      </w:pPr>
    </w:p>
    <w:p w:rsidR="00094CB6" w:rsidRDefault="00094CB6" w:rsidP="00094CB6">
      <w:pPr>
        <w:pStyle w:val="NormalWeb"/>
      </w:pPr>
    </w:p>
    <w:p w:rsidR="00094CB6" w:rsidRDefault="00094CB6" w:rsidP="00094CB6">
      <w:pPr>
        <w:pStyle w:val="NormalWeb"/>
      </w:pPr>
    </w:p>
    <w:p w:rsidR="00094CB6" w:rsidRDefault="00094CB6" w:rsidP="00094CB6">
      <w:pPr>
        <w:pStyle w:val="NormalWeb"/>
      </w:pPr>
    </w:p>
    <w:p w:rsidR="00094CB6" w:rsidRDefault="00094CB6" w:rsidP="00094CB6">
      <w:pPr>
        <w:pStyle w:val="NormalWeb"/>
      </w:pPr>
    </w:p>
    <w:p w:rsidR="00094CB6" w:rsidRPr="00094CB6" w:rsidRDefault="00094CB6" w:rsidP="00094CB6">
      <w:pPr>
        <w:rPr>
          <w:rFonts w:ascii="Times New Roman" w:hAnsi="Times New Roman" w:cs="Times New Roman"/>
          <w:b/>
          <w:bCs/>
          <w:sz w:val="36"/>
          <w:szCs w:val="36"/>
        </w:rPr>
      </w:pPr>
      <w:proofErr w:type="gramStart"/>
      <w:r w:rsidRPr="00094CB6">
        <w:rPr>
          <w:rFonts w:ascii="Times New Roman" w:hAnsi="Times New Roman" w:cs="Times New Roman"/>
          <w:b/>
          <w:bCs/>
          <w:sz w:val="36"/>
          <w:szCs w:val="36"/>
        </w:rPr>
        <w:lastRenderedPageBreak/>
        <w:t>6.</w:t>
      </w:r>
      <w:r w:rsidRPr="00094CB6">
        <w:rPr>
          <w:rFonts w:ascii="Times New Roman" w:hAnsi="Times New Roman" w:cs="Times New Roman"/>
          <w:b/>
          <w:bCs/>
          <w:sz w:val="36"/>
          <w:szCs w:val="36"/>
        </w:rPr>
        <w:t>Strategic</w:t>
      </w:r>
      <w:proofErr w:type="gramEnd"/>
      <w:r w:rsidRPr="00094CB6">
        <w:rPr>
          <w:rFonts w:ascii="Times New Roman" w:hAnsi="Times New Roman" w:cs="Times New Roman"/>
          <w:b/>
          <w:bCs/>
          <w:sz w:val="36"/>
          <w:szCs w:val="36"/>
        </w:rPr>
        <w:t xml:space="preserve"> Consulting Question</w:t>
      </w:r>
    </w:p>
    <w:p w:rsidR="00094CB6" w:rsidRPr="00094CB6" w:rsidRDefault="00094CB6" w:rsidP="00094CB6">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094CB6">
        <w:rPr>
          <w:rFonts w:ascii="Times New Roman" w:eastAsia="Times New Roman" w:hAnsi="Times New Roman" w:cs="Times New Roman"/>
          <w:b/>
          <w:bCs/>
          <w:sz w:val="24"/>
          <w:szCs w:val="24"/>
          <w:lang w:eastAsia="en-IN"/>
        </w:rPr>
        <w:t>Consulting Note: Smart Export Compliance &amp; Incentive Optimization Program</w:t>
      </w:r>
    </w:p>
    <w:p w:rsidR="00094CB6" w:rsidRPr="00094CB6" w:rsidRDefault="00094CB6" w:rsidP="00094CB6">
      <w:pPr>
        <w:spacing w:before="100" w:beforeAutospacing="1" w:after="100" w:afterAutospacing="1" w:line="240" w:lineRule="auto"/>
        <w:ind w:firstLine="720"/>
        <w:rPr>
          <w:rFonts w:ascii="Times New Roman" w:eastAsia="Times New Roman" w:hAnsi="Times New Roman" w:cs="Times New Roman"/>
          <w:sz w:val="24"/>
          <w:szCs w:val="24"/>
          <w:lang w:eastAsia="en-IN"/>
        </w:rPr>
      </w:pPr>
      <w:r w:rsidRPr="00094CB6">
        <w:rPr>
          <w:rFonts w:ascii="Times New Roman" w:eastAsia="Times New Roman" w:hAnsi="Times New Roman" w:cs="Times New Roman"/>
          <w:b/>
          <w:bCs/>
          <w:sz w:val="24"/>
          <w:szCs w:val="24"/>
          <w:lang w:eastAsia="en-IN"/>
        </w:rPr>
        <w:t>Objective</w:t>
      </w:r>
      <w:proofErr w:type="gramStart"/>
      <w:r w:rsidRPr="00094CB6">
        <w:rPr>
          <w:rFonts w:ascii="Times New Roman" w:eastAsia="Times New Roman" w:hAnsi="Times New Roman" w:cs="Times New Roman"/>
          <w:b/>
          <w:bCs/>
          <w:sz w:val="24"/>
          <w:szCs w:val="24"/>
          <w:lang w:eastAsia="en-IN"/>
        </w:rPr>
        <w:t>:</w:t>
      </w:r>
      <w:proofErr w:type="gramEnd"/>
      <w:r w:rsidRPr="00094CB6">
        <w:rPr>
          <w:rFonts w:ascii="Times New Roman" w:eastAsia="Times New Roman" w:hAnsi="Times New Roman" w:cs="Times New Roman"/>
          <w:sz w:val="24"/>
          <w:szCs w:val="24"/>
          <w:lang w:eastAsia="en-IN"/>
        </w:rPr>
        <w:br/>
        <w:t xml:space="preserve">The “Smart Export Compliance &amp; Incentive Optimization Program” aims to help SME exporters streamline export processes, optimize government incentives like </w:t>
      </w:r>
      <w:proofErr w:type="spellStart"/>
      <w:r w:rsidRPr="00094CB6">
        <w:rPr>
          <w:rFonts w:ascii="Times New Roman" w:eastAsia="Times New Roman" w:hAnsi="Times New Roman" w:cs="Times New Roman"/>
          <w:sz w:val="24"/>
          <w:szCs w:val="24"/>
          <w:lang w:eastAsia="en-IN"/>
        </w:rPr>
        <w:t>RoDTEP</w:t>
      </w:r>
      <w:proofErr w:type="spellEnd"/>
      <w:r w:rsidRPr="00094CB6">
        <w:rPr>
          <w:rFonts w:ascii="Times New Roman" w:eastAsia="Times New Roman" w:hAnsi="Times New Roman" w:cs="Times New Roman"/>
          <w:sz w:val="24"/>
          <w:szCs w:val="24"/>
          <w:lang w:eastAsia="en-IN"/>
        </w:rPr>
        <w:t xml:space="preserve"> and Duty Drawback, and ensure timely compliance with MCA, GST, and DGFT regulations. The program’s goal is to reduce delays, minimize penalties, and enhance operational efficiency for export-oriented businesses.</w:t>
      </w:r>
    </w:p>
    <w:p w:rsidR="00094CB6" w:rsidRPr="00094CB6" w:rsidRDefault="00094CB6" w:rsidP="00094CB6">
      <w:pPr>
        <w:spacing w:before="100" w:beforeAutospacing="1" w:after="100" w:afterAutospacing="1" w:line="240" w:lineRule="auto"/>
        <w:ind w:firstLine="360"/>
        <w:rPr>
          <w:rFonts w:ascii="Times New Roman" w:eastAsia="Times New Roman" w:hAnsi="Times New Roman" w:cs="Times New Roman"/>
          <w:sz w:val="24"/>
          <w:szCs w:val="24"/>
          <w:lang w:eastAsia="en-IN"/>
        </w:rPr>
      </w:pPr>
      <w:r w:rsidRPr="00094CB6">
        <w:rPr>
          <w:rFonts w:ascii="Times New Roman" w:eastAsia="Times New Roman" w:hAnsi="Times New Roman" w:cs="Times New Roman"/>
          <w:b/>
          <w:bCs/>
          <w:sz w:val="24"/>
          <w:szCs w:val="24"/>
          <w:lang w:eastAsia="en-IN"/>
        </w:rPr>
        <w:t>Process Overview:</w:t>
      </w:r>
    </w:p>
    <w:p w:rsidR="00094CB6" w:rsidRPr="00094CB6" w:rsidRDefault="00094CB6" w:rsidP="00094CB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b/>
          <w:bCs/>
          <w:sz w:val="24"/>
          <w:szCs w:val="24"/>
          <w:lang w:eastAsia="en-IN"/>
        </w:rPr>
        <w:t>Comprehensive Export Audits:</w:t>
      </w:r>
      <w:r w:rsidRPr="00094CB6">
        <w:rPr>
          <w:rFonts w:ascii="Times New Roman" w:eastAsia="Times New Roman" w:hAnsi="Times New Roman" w:cs="Times New Roman"/>
          <w:sz w:val="24"/>
          <w:szCs w:val="24"/>
          <w:lang w:eastAsia="en-IN"/>
        </w:rPr>
        <w:t xml:space="preserve"> Conduct monthly audits of export transactions, documentation, and financial records to identify gaps in GST filings, subsidy claims, and statutory compliance.</w:t>
      </w:r>
    </w:p>
    <w:p w:rsidR="00094CB6" w:rsidRPr="00094CB6" w:rsidRDefault="00094CB6" w:rsidP="00094CB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b/>
          <w:bCs/>
          <w:sz w:val="24"/>
          <w:szCs w:val="24"/>
          <w:lang w:eastAsia="en-IN"/>
        </w:rPr>
        <w:t>Digital Tracking &amp; Alerts:</w:t>
      </w:r>
      <w:r w:rsidRPr="00094CB6">
        <w:rPr>
          <w:rFonts w:ascii="Times New Roman" w:eastAsia="Times New Roman" w:hAnsi="Times New Roman" w:cs="Times New Roman"/>
          <w:sz w:val="24"/>
          <w:szCs w:val="24"/>
          <w:lang w:eastAsia="en-IN"/>
        </w:rPr>
        <w:t xml:space="preserve"> Implement a centralized digital platform to monitor deadlines for filings (MCA forms, GSTR-3B, refund claims) and automate reminders for clients and internal teams.</w:t>
      </w:r>
    </w:p>
    <w:p w:rsidR="00094CB6" w:rsidRPr="00094CB6" w:rsidRDefault="00094CB6" w:rsidP="00094CB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b/>
          <w:bCs/>
          <w:sz w:val="24"/>
          <w:szCs w:val="24"/>
          <w:lang w:eastAsia="en-IN"/>
        </w:rPr>
        <w:t>Periodic Compliance &amp; Incentive Reviews:</w:t>
      </w:r>
      <w:r w:rsidRPr="00094CB6">
        <w:rPr>
          <w:rFonts w:ascii="Times New Roman" w:eastAsia="Times New Roman" w:hAnsi="Times New Roman" w:cs="Times New Roman"/>
          <w:sz w:val="24"/>
          <w:szCs w:val="24"/>
          <w:lang w:eastAsia="en-IN"/>
        </w:rPr>
        <w:t xml:space="preserve"> Review export incentive claims and statutory compliance quarterly, provide actionable insights, and prepare businesses for certifications like Authorized Economic Operator (AEO) to enhance credibility and benefit access.</w:t>
      </w:r>
    </w:p>
    <w:p w:rsidR="00094CB6" w:rsidRPr="00094CB6" w:rsidRDefault="00094CB6" w:rsidP="00094CB6">
      <w:pPr>
        <w:spacing w:before="100" w:beforeAutospacing="1" w:after="100" w:afterAutospacing="1" w:line="240" w:lineRule="auto"/>
        <w:ind w:firstLine="360"/>
        <w:rPr>
          <w:rFonts w:ascii="Times New Roman" w:eastAsia="Times New Roman" w:hAnsi="Times New Roman" w:cs="Times New Roman"/>
          <w:sz w:val="24"/>
          <w:szCs w:val="24"/>
          <w:lang w:eastAsia="en-IN"/>
        </w:rPr>
      </w:pPr>
      <w:r w:rsidRPr="00094CB6">
        <w:rPr>
          <w:rFonts w:ascii="Times New Roman" w:eastAsia="Times New Roman" w:hAnsi="Times New Roman" w:cs="Times New Roman"/>
          <w:b/>
          <w:bCs/>
          <w:sz w:val="24"/>
          <w:szCs w:val="24"/>
          <w:lang w:eastAsia="en-IN"/>
        </w:rPr>
        <w:t>Expected Outcome</w:t>
      </w:r>
      <w:proofErr w:type="gramStart"/>
      <w:r w:rsidRPr="00094CB6">
        <w:rPr>
          <w:rFonts w:ascii="Times New Roman" w:eastAsia="Times New Roman" w:hAnsi="Times New Roman" w:cs="Times New Roman"/>
          <w:b/>
          <w:bCs/>
          <w:sz w:val="24"/>
          <w:szCs w:val="24"/>
          <w:lang w:eastAsia="en-IN"/>
        </w:rPr>
        <w:t>:</w:t>
      </w:r>
      <w:proofErr w:type="gramEnd"/>
      <w:r w:rsidRPr="00094CB6">
        <w:rPr>
          <w:rFonts w:ascii="Times New Roman" w:eastAsia="Times New Roman" w:hAnsi="Times New Roman" w:cs="Times New Roman"/>
          <w:sz w:val="24"/>
          <w:szCs w:val="24"/>
          <w:lang w:eastAsia="en-IN"/>
        </w:rPr>
        <w:br/>
        <w:t>Clients can expect faster processing of GST refunds and export incentive claims, reduction in penalties due to missed deadlines, and improved accuracy in statutory reporting. The program ensures stronger compliance readiness, enhanced transparency in financial records, and optimized benefit realization under government schemes. Overall, SME exporters gain operational efficiency, risk mitigation, and increased profitability by leveraging structured audits, digital monitoring, and proactive advisory support.</w:t>
      </w:r>
    </w:p>
    <w:p w:rsidR="00094CB6" w:rsidRDefault="00094CB6" w:rsidP="00094CB6">
      <w:pPr>
        <w:ind w:left="720" w:firstLine="720"/>
        <w:rPr>
          <w:sz w:val="32"/>
          <w:szCs w:val="32"/>
        </w:rPr>
      </w:pPr>
    </w:p>
    <w:p w:rsidR="00094CB6" w:rsidRDefault="00094CB6" w:rsidP="00094CB6">
      <w:pPr>
        <w:ind w:left="720" w:firstLine="720"/>
        <w:rPr>
          <w:sz w:val="32"/>
          <w:szCs w:val="32"/>
        </w:rPr>
      </w:pPr>
    </w:p>
    <w:p w:rsidR="00094CB6" w:rsidRPr="00094CB6" w:rsidRDefault="00094CB6" w:rsidP="00094CB6">
      <w:pPr>
        <w:rPr>
          <w:rFonts w:ascii="Times New Roman" w:hAnsi="Times New Roman" w:cs="Times New Roman"/>
          <w:b/>
          <w:bCs/>
          <w:sz w:val="36"/>
          <w:szCs w:val="36"/>
        </w:rPr>
      </w:pPr>
      <w:proofErr w:type="gramStart"/>
      <w:r w:rsidRPr="00094CB6">
        <w:rPr>
          <w:rFonts w:ascii="Times New Roman" w:hAnsi="Times New Roman" w:cs="Times New Roman"/>
          <w:b/>
          <w:bCs/>
          <w:sz w:val="36"/>
          <w:szCs w:val="36"/>
        </w:rPr>
        <w:t>7.</w:t>
      </w:r>
      <w:r w:rsidRPr="00094CB6">
        <w:rPr>
          <w:rFonts w:ascii="Times New Roman" w:hAnsi="Times New Roman" w:cs="Times New Roman"/>
          <w:b/>
          <w:bCs/>
          <w:sz w:val="36"/>
          <w:szCs w:val="36"/>
        </w:rPr>
        <w:t>AEO</w:t>
      </w:r>
      <w:proofErr w:type="gramEnd"/>
      <w:r w:rsidRPr="00094CB6">
        <w:rPr>
          <w:rFonts w:ascii="Times New Roman" w:hAnsi="Times New Roman" w:cs="Times New Roman"/>
          <w:b/>
          <w:bCs/>
          <w:sz w:val="36"/>
          <w:szCs w:val="36"/>
        </w:rPr>
        <w:t xml:space="preserve"> Certification – Operational Understanding</w:t>
      </w:r>
    </w:p>
    <w:p w:rsidR="00094CB6" w:rsidRPr="00094CB6" w:rsidRDefault="00094CB6" w:rsidP="00094C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4CB6">
        <w:rPr>
          <w:rFonts w:ascii="Times New Roman" w:eastAsia="Times New Roman" w:hAnsi="Times New Roman" w:cs="Times New Roman"/>
          <w:b/>
          <w:bCs/>
          <w:sz w:val="27"/>
          <w:szCs w:val="27"/>
          <w:lang w:eastAsia="en-IN"/>
        </w:rPr>
        <w:t>A) Basic Process Flow for AEO Certification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7945"/>
      </w:tblGrid>
      <w:tr w:rsidR="00094CB6" w:rsidRPr="00094CB6" w:rsidTr="00094CB6">
        <w:trPr>
          <w:tblHeader/>
          <w:tblCellSpacing w:w="15" w:type="dxa"/>
        </w:trPr>
        <w:tc>
          <w:tcPr>
            <w:tcW w:w="0" w:type="auto"/>
            <w:vAlign w:val="center"/>
            <w:hideMark/>
          </w:tcPr>
          <w:p w:rsidR="00094CB6" w:rsidRPr="00094CB6" w:rsidRDefault="00094CB6" w:rsidP="00094CB6">
            <w:pPr>
              <w:spacing w:after="0" w:line="240" w:lineRule="auto"/>
              <w:jc w:val="center"/>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Step</w:t>
            </w:r>
          </w:p>
        </w:tc>
        <w:tc>
          <w:tcPr>
            <w:tcW w:w="0" w:type="auto"/>
            <w:vAlign w:val="center"/>
            <w:hideMark/>
          </w:tcPr>
          <w:p w:rsidR="00094CB6" w:rsidRPr="00094CB6" w:rsidRDefault="00094CB6" w:rsidP="00094CB6">
            <w:pPr>
              <w:spacing w:after="0" w:line="240" w:lineRule="auto"/>
              <w:jc w:val="center"/>
              <w:rPr>
                <w:rFonts w:ascii="Times New Roman" w:eastAsia="Times New Roman" w:hAnsi="Times New Roman" w:cs="Times New Roman"/>
                <w:b/>
                <w:bCs/>
                <w:sz w:val="24"/>
                <w:szCs w:val="24"/>
                <w:lang w:eastAsia="en-IN"/>
              </w:rPr>
            </w:pPr>
            <w:r w:rsidRPr="00094CB6">
              <w:rPr>
                <w:rFonts w:ascii="Times New Roman" w:eastAsia="Times New Roman" w:hAnsi="Times New Roman" w:cs="Times New Roman"/>
                <w:b/>
                <w:bCs/>
                <w:sz w:val="24"/>
                <w:szCs w:val="24"/>
                <w:lang w:eastAsia="en-IN"/>
              </w:rPr>
              <w:t>Description</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1. Requirement Collection</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Gather client details, business profile, export-import history, compliance records, and logistics processes.</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2. Document Preparation</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Compile all statutory, financial, and operational documents as per DGFT guidelines.</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3. DGFT Submission</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Submit the completed AEO application along with supporting documents via the DGFT portal.</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4. Verification &amp; Assessment</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DGFT verifies records, conducts on-site checks, and evaluates compliance, security, and operational standards.</w:t>
            </w:r>
          </w:p>
        </w:tc>
      </w:tr>
      <w:tr w:rsidR="00094CB6" w:rsidRPr="00094CB6" w:rsidTr="00094CB6">
        <w:trPr>
          <w:tblCellSpacing w:w="15" w:type="dxa"/>
        </w:trPr>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5. Certification Delivery</w:t>
            </w:r>
          </w:p>
        </w:tc>
        <w:tc>
          <w:tcPr>
            <w:tcW w:w="0" w:type="auto"/>
            <w:vAlign w:val="center"/>
            <w:hideMark/>
          </w:tcPr>
          <w:p w:rsidR="00094CB6" w:rsidRPr="00094CB6" w:rsidRDefault="00094CB6" w:rsidP="00094CB6">
            <w:pPr>
              <w:spacing w:after="0" w:line="240" w:lineRule="auto"/>
              <w:rPr>
                <w:rFonts w:ascii="Times New Roman" w:eastAsia="Times New Roman" w:hAnsi="Times New Roman" w:cs="Times New Roman"/>
                <w:sz w:val="24"/>
                <w:szCs w:val="24"/>
                <w:lang w:eastAsia="en-IN"/>
              </w:rPr>
            </w:pPr>
            <w:r w:rsidRPr="00094CB6">
              <w:rPr>
                <w:rFonts w:ascii="Times New Roman" w:eastAsia="Times New Roman" w:hAnsi="Times New Roman" w:cs="Times New Roman"/>
                <w:sz w:val="24"/>
                <w:szCs w:val="24"/>
                <w:lang w:eastAsia="en-IN"/>
              </w:rPr>
              <w:t>Upon successful assessment, AEO certification is granted, and client receives acknowledgment/credentials.</w:t>
            </w:r>
          </w:p>
        </w:tc>
      </w:tr>
    </w:tbl>
    <w:p w:rsidR="00094CB6" w:rsidRDefault="00094CB6" w:rsidP="00094CB6">
      <w:pPr>
        <w:ind w:left="720" w:firstLine="720"/>
        <w:rPr>
          <w:sz w:val="32"/>
          <w:szCs w:val="32"/>
        </w:rPr>
      </w:pPr>
    </w:p>
    <w:p w:rsidR="00094CB6" w:rsidRDefault="00094CB6" w:rsidP="00094CB6">
      <w:pPr>
        <w:ind w:left="720" w:firstLine="720"/>
        <w:rPr>
          <w:sz w:val="32"/>
          <w:szCs w:val="32"/>
        </w:rPr>
      </w:pPr>
    </w:p>
    <w:p w:rsidR="00094CB6" w:rsidRDefault="00094CB6" w:rsidP="00094CB6">
      <w:pPr>
        <w:pStyle w:val="Heading3"/>
        <w:ind w:firstLine="720"/>
      </w:pPr>
      <w:bookmarkStart w:id="0" w:name="_GoBack"/>
      <w:bookmarkEnd w:id="0"/>
      <w:r>
        <w:rPr>
          <w:rStyle w:val="Strong"/>
          <w:b/>
          <w:bCs/>
        </w:rPr>
        <w:lastRenderedPageBreak/>
        <w:t>B) 5 Key Documents Required for AEO Application</w:t>
      </w:r>
    </w:p>
    <w:p w:rsidR="00094CB6" w:rsidRDefault="00094CB6" w:rsidP="00094CB6">
      <w:pPr>
        <w:pStyle w:val="NormalWeb"/>
        <w:numPr>
          <w:ilvl w:val="0"/>
          <w:numId w:val="24"/>
        </w:numPr>
      </w:pPr>
      <w:r>
        <w:t>IEC (Import Export Code) certificate.</w:t>
      </w:r>
    </w:p>
    <w:p w:rsidR="00094CB6" w:rsidRDefault="00094CB6" w:rsidP="00094CB6">
      <w:pPr>
        <w:pStyle w:val="NormalWeb"/>
        <w:numPr>
          <w:ilvl w:val="0"/>
          <w:numId w:val="24"/>
        </w:numPr>
      </w:pPr>
      <w:r>
        <w:t>GST registration certificate.</w:t>
      </w:r>
    </w:p>
    <w:p w:rsidR="00094CB6" w:rsidRDefault="00094CB6" w:rsidP="00094CB6">
      <w:pPr>
        <w:pStyle w:val="NormalWeb"/>
        <w:numPr>
          <w:ilvl w:val="0"/>
          <w:numId w:val="24"/>
        </w:numPr>
      </w:pPr>
      <w:r>
        <w:t>Annual audited financial statements (last 2–3 years).</w:t>
      </w:r>
    </w:p>
    <w:p w:rsidR="00094CB6" w:rsidRDefault="00094CB6" w:rsidP="00094CB6">
      <w:pPr>
        <w:pStyle w:val="NormalWeb"/>
        <w:numPr>
          <w:ilvl w:val="0"/>
          <w:numId w:val="24"/>
        </w:numPr>
      </w:pPr>
      <w:r>
        <w:t>Export-import transaction records (customs shipping bills, invoices).</w:t>
      </w:r>
    </w:p>
    <w:p w:rsidR="00094CB6" w:rsidRDefault="00094CB6" w:rsidP="00094CB6">
      <w:pPr>
        <w:pStyle w:val="NormalWeb"/>
        <w:numPr>
          <w:ilvl w:val="0"/>
          <w:numId w:val="24"/>
        </w:numPr>
      </w:pPr>
      <w:r>
        <w:t>Internal compliance and security manuals (supply chain security procedures).</w:t>
      </w:r>
    </w:p>
    <w:p w:rsidR="00094CB6" w:rsidRDefault="00094CB6" w:rsidP="00094CB6">
      <w:pPr>
        <w:pStyle w:val="NormalWeb"/>
      </w:pPr>
      <w:r>
        <w:t>Additional documents may include proof of timely filing of statutory forms (GSTR, MCA filings), risk assessment reports, and employee training records.</w:t>
      </w:r>
    </w:p>
    <w:p w:rsidR="00094CB6" w:rsidRDefault="00094CB6" w:rsidP="00094CB6">
      <w:pPr>
        <w:pStyle w:val="Heading3"/>
        <w:ind w:left="720" w:firstLine="720"/>
      </w:pPr>
      <w:r>
        <w:rPr>
          <w:rStyle w:val="Strong"/>
          <w:b/>
          <w:bCs/>
        </w:rPr>
        <w:t>C) Sample Client Email Draft</w:t>
      </w:r>
    </w:p>
    <w:p w:rsidR="00094CB6" w:rsidRDefault="00094CB6" w:rsidP="00094CB6">
      <w:pPr>
        <w:pStyle w:val="NormalWeb"/>
      </w:pPr>
      <w:r>
        <w:rPr>
          <w:rStyle w:val="Strong"/>
        </w:rPr>
        <w:t>Subject:</w:t>
      </w:r>
      <w:r>
        <w:t xml:space="preserve"> Initiating AEO Certification Process</w:t>
      </w:r>
    </w:p>
    <w:p w:rsidR="00094CB6" w:rsidRDefault="00094CB6" w:rsidP="00094CB6">
      <w:pPr>
        <w:pStyle w:val="NormalWeb"/>
      </w:pPr>
      <w:r>
        <w:t>Dear [Client Name],</w:t>
      </w:r>
    </w:p>
    <w:p w:rsidR="00094CB6" w:rsidRDefault="00094CB6" w:rsidP="00094CB6">
      <w:pPr>
        <w:pStyle w:val="NormalWeb"/>
      </w:pPr>
      <w:r>
        <w:t xml:space="preserve">We recommend applying for </w:t>
      </w:r>
      <w:r>
        <w:rPr>
          <w:rStyle w:val="Strong"/>
        </w:rPr>
        <w:t>Authorized Economic Operator (AEO) certification</w:t>
      </w:r>
      <w:r>
        <w:t xml:space="preserve"> to enhance your export credibility, reduce logistics delays, and improve customs clearance efficiency.</w:t>
      </w:r>
      <w:r>
        <w:br/>
        <w:t>To proceed, we request the following details: IEC certificate, GST registration, audited financials, export-import records, and internal compliance documentation.</w:t>
      </w:r>
      <w:r>
        <w:br/>
        <w:t>Providing these documents promptly will enable us to prepare and submit your AEO application efficiently.</w:t>
      </w:r>
      <w:r>
        <w:br/>
        <w:t>Please share the required details at your earliest convenience so we can initiate the process.</w:t>
      </w:r>
    </w:p>
    <w:p w:rsidR="00094CB6" w:rsidRDefault="00094CB6" w:rsidP="00094CB6">
      <w:pPr>
        <w:pStyle w:val="NormalWeb"/>
      </w:pPr>
      <w:r>
        <w:t>Best regards</w:t>
      </w:r>
      <w:proofErr w:type="gramStart"/>
      <w:r>
        <w:t>,</w:t>
      </w:r>
      <w:proofErr w:type="gramEnd"/>
      <w:r>
        <w:br/>
        <w:t>[Your Name]</w:t>
      </w:r>
      <w:r>
        <w:br/>
        <w:t>[Your Designation]</w:t>
      </w:r>
      <w:r>
        <w:br/>
        <w:t>Glazing Genius LLP</w:t>
      </w:r>
    </w:p>
    <w:p w:rsidR="00094CB6" w:rsidRPr="00094CB6" w:rsidRDefault="00094CB6" w:rsidP="00094CB6">
      <w:pPr>
        <w:ind w:left="720" w:firstLine="720"/>
        <w:rPr>
          <w:sz w:val="32"/>
          <w:szCs w:val="32"/>
        </w:rPr>
      </w:pPr>
    </w:p>
    <w:sectPr w:rsidR="00094CB6" w:rsidRPr="00094CB6" w:rsidSect="00D3519E">
      <w:type w:val="continuous"/>
      <w:pgSz w:w="11910" w:h="16840"/>
      <w:pgMar w:top="880" w:right="1040" w:bottom="280" w:left="58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60192"/>
    <w:multiLevelType w:val="multilevel"/>
    <w:tmpl w:val="E2FA3B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DE6B67"/>
    <w:multiLevelType w:val="multilevel"/>
    <w:tmpl w:val="1F6A99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0232DC"/>
    <w:multiLevelType w:val="hybridMultilevel"/>
    <w:tmpl w:val="AF18B8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7243394"/>
    <w:multiLevelType w:val="multilevel"/>
    <w:tmpl w:val="05FE21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80DD0"/>
    <w:multiLevelType w:val="hybridMultilevel"/>
    <w:tmpl w:val="7D0C9322"/>
    <w:lvl w:ilvl="0" w:tplc="40C635D6">
      <w:start w:val="1"/>
      <w:numFmt w:val="decimal"/>
      <w:lvlText w:val="%1."/>
      <w:lvlJc w:val="left"/>
      <w:pPr>
        <w:ind w:left="720" w:hanging="360"/>
      </w:pPr>
      <w:rPr>
        <w:rFonts w:asciiTheme="minorHAnsi" w:hAnsiTheme="minorHAnsi" w:cstheme="minorBidi" w:hint="default"/>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821A03"/>
    <w:multiLevelType w:val="multilevel"/>
    <w:tmpl w:val="56A095A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149A7D16"/>
    <w:multiLevelType w:val="multilevel"/>
    <w:tmpl w:val="FB463DD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4EC592D"/>
    <w:multiLevelType w:val="multilevel"/>
    <w:tmpl w:val="94EA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25E83"/>
    <w:multiLevelType w:val="hybridMultilevel"/>
    <w:tmpl w:val="2B48BCA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231F1F95"/>
    <w:multiLevelType w:val="multilevel"/>
    <w:tmpl w:val="BCA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317B4"/>
    <w:multiLevelType w:val="multilevel"/>
    <w:tmpl w:val="1F2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97B2E"/>
    <w:multiLevelType w:val="hybridMultilevel"/>
    <w:tmpl w:val="D74899E4"/>
    <w:lvl w:ilvl="0" w:tplc="40C635D6">
      <w:start w:val="1"/>
      <w:numFmt w:val="decimal"/>
      <w:lvlText w:val="%1."/>
      <w:lvlJc w:val="left"/>
      <w:pPr>
        <w:ind w:left="720" w:hanging="360"/>
      </w:pPr>
      <w:rPr>
        <w:rFonts w:asciiTheme="minorHAnsi" w:hAnsiTheme="minorHAnsi" w:cstheme="min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695EAD"/>
    <w:multiLevelType w:val="hybridMultilevel"/>
    <w:tmpl w:val="6840C7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0F4AD2"/>
    <w:multiLevelType w:val="multilevel"/>
    <w:tmpl w:val="601205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121857"/>
    <w:multiLevelType w:val="hybridMultilevel"/>
    <w:tmpl w:val="EA94EDD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71D6779"/>
    <w:multiLevelType w:val="hybridMultilevel"/>
    <w:tmpl w:val="9EF6D6F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488567FC"/>
    <w:multiLevelType w:val="multilevel"/>
    <w:tmpl w:val="D58A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6665FF"/>
    <w:multiLevelType w:val="hybridMultilevel"/>
    <w:tmpl w:val="8446EAD0"/>
    <w:lvl w:ilvl="0" w:tplc="2C96CC4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5917382"/>
    <w:multiLevelType w:val="multilevel"/>
    <w:tmpl w:val="1862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81DF4"/>
    <w:multiLevelType w:val="multilevel"/>
    <w:tmpl w:val="9664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AD6737"/>
    <w:multiLevelType w:val="multilevel"/>
    <w:tmpl w:val="C61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B780A"/>
    <w:multiLevelType w:val="multilevel"/>
    <w:tmpl w:val="BFDAB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7D3814"/>
    <w:multiLevelType w:val="hybridMultilevel"/>
    <w:tmpl w:val="242027F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3" w15:restartNumberingAfterBreak="0">
    <w:nsid w:val="7E612FE1"/>
    <w:multiLevelType w:val="multilevel"/>
    <w:tmpl w:val="3042C2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4"/>
  </w:num>
  <w:num w:numId="3">
    <w:abstractNumId w:val="8"/>
  </w:num>
  <w:num w:numId="4">
    <w:abstractNumId w:val="2"/>
  </w:num>
  <w:num w:numId="5">
    <w:abstractNumId w:val="11"/>
  </w:num>
  <w:num w:numId="6">
    <w:abstractNumId w:val="22"/>
  </w:num>
  <w:num w:numId="7">
    <w:abstractNumId w:val="15"/>
  </w:num>
  <w:num w:numId="8">
    <w:abstractNumId w:val="5"/>
  </w:num>
  <w:num w:numId="9">
    <w:abstractNumId w:val="7"/>
  </w:num>
  <w:num w:numId="10">
    <w:abstractNumId w:val="23"/>
  </w:num>
  <w:num w:numId="11">
    <w:abstractNumId w:val="1"/>
  </w:num>
  <w:num w:numId="12">
    <w:abstractNumId w:val="17"/>
  </w:num>
  <w:num w:numId="13">
    <w:abstractNumId w:val="0"/>
  </w:num>
  <w:num w:numId="14">
    <w:abstractNumId w:val="14"/>
  </w:num>
  <w:num w:numId="15">
    <w:abstractNumId w:val="21"/>
  </w:num>
  <w:num w:numId="16">
    <w:abstractNumId w:val="20"/>
  </w:num>
  <w:num w:numId="17">
    <w:abstractNumId w:val="19"/>
  </w:num>
  <w:num w:numId="18">
    <w:abstractNumId w:val="9"/>
  </w:num>
  <w:num w:numId="19">
    <w:abstractNumId w:val="13"/>
  </w:num>
  <w:num w:numId="20">
    <w:abstractNumId w:val="10"/>
  </w:num>
  <w:num w:numId="21">
    <w:abstractNumId w:val="3"/>
  </w:num>
  <w:num w:numId="22">
    <w:abstractNumId w:val="18"/>
  </w:num>
  <w:num w:numId="23">
    <w:abstractNumId w:val="6"/>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D42"/>
    <w:rsid w:val="00094CB6"/>
    <w:rsid w:val="00226D42"/>
    <w:rsid w:val="003009EF"/>
    <w:rsid w:val="0063576D"/>
    <w:rsid w:val="00D35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BAE0"/>
  <w15:chartTrackingRefBased/>
  <w15:docId w15:val="{6576EACB-BE76-4927-9BB8-009A6836D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26D4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D42"/>
    <w:pPr>
      <w:spacing w:line="278" w:lineRule="auto"/>
      <w:ind w:left="720"/>
      <w:contextualSpacing/>
    </w:pPr>
    <w:rPr>
      <w:kern w:val="2"/>
      <w:sz w:val="24"/>
      <w:szCs w:val="24"/>
      <w14:ligatures w14:val="standardContextual"/>
    </w:rPr>
  </w:style>
  <w:style w:type="paragraph" w:styleId="NormalWeb">
    <w:name w:val="Normal (Web)"/>
    <w:basedOn w:val="Normal"/>
    <w:uiPriority w:val="99"/>
    <w:unhideWhenUsed/>
    <w:rsid w:val="00226D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26D42"/>
    <w:rPr>
      <w:b/>
      <w:bCs/>
    </w:rPr>
  </w:style>
  <w:style w:type="character" w:customStyle="1" w:styleId="katex-mathml">
    <w:name w:val="katex-mathml"/>
    <w:basedOn w:val="DefaultParagraphFont"/>
    <w:rsid w:val="00226D42"/>
  </w:style>
  <w:style w:type="character" w:customStyle="1" w:styleId="mord">
    <w:name w:val="mord"/>
    <w:basedOn w:val="DefaultParagraphFont"/>
    <w:rsid w:val="00226D42"/>
  </w:style>
  <w:style w:type="character" w:customStyle="1" w:styleId="mrel">
    <w:name w:val="mrel"/>
    <w:basedOn w:val="DefaultParagraphFont"/>
    <w:rsid w:val="00226D42"/>
  </w:style>
  <w:style w:type="character" w:customStyle="1" w:styleId="mbin">
    <w:name w:val="mbin"/>
    <w:basedOn w:val="DefaultParagraphFont"/>
    <w:rsid w:val="00226D42"/>
  </w:style>
  <w:style w:type="character" w:customStyle="1" w:styleId="mpunct">
    <w:name w:val="mpunct"/>
    <w:basedOn w:val="DefaultParagraphFont"/>
    <w:rsid w:val="00226D42"/>
  </w:style>
  <w:style w:type="character" w:customStyle="1" w:styleId="Heading3Char">
    <w:name w:val="Heading 3 Char"/>
    <w:basedOn w:val="DefaultParagraphFont"/>
    <w:link w:val="Heading3"/>
    <w:uiPriority w:val="9"/>
    <w:rsid w:val="00226D42"/>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3009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8230">
      <w:bodyDiv w:val="1"/>
      <w:marLeft w:val="0"/>
      <w:marRight w:val="0"/>
      <w:marTop w:val="0"/>
      <w:marBottom w:val="0"/>
      <w:divBdr>
        <w:top w:val="none" w:sz="0" w:space="0" w:color="auto"/>
        <w:left w:val="none" w:sz="0" w:space="0" w:color="auto"/>
        <w:bottom w:val="none" w:sz="0" w:space="0" w:color="auto"/>
        <w:right w:val="none" w:sz="0" w:space="0" w:color="auto"/>
      </w:divBdr>
    </w:div>
    <w:div w:id="76634683">
      <w:bodyDiv w:val="1"/>
      <w:marLeft w:val="0"/>
      <w:marRight w:val="0"/>
      <w:marTop w:val="0"/>
      <w:marBottom w:val="0"/>
      <w:divBdr>
        <w:top w:val="none" w:sz="0" w:space="0" w:color="auto"/>
        <w:left w:val="none" w:sz="0" w:space="0" w:color="auto"/>
        <w:bottom w:val="none" w:sz="0" w:space="0" w:color="auto"/>
        <w:right w:val="none" w:sz="0" w:space="0" w:color="auto"/>
      </w:divBdr>
      <w:divsChild>
        <w:div w:id="1872836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24201">
      <w:bodyDiv w:val="1"/>
      <w:marLeft w:val="0"/>
      <w:marRight w:val="0"/>
      <w:marTop w:val="0"/>
      <w:marBottom w:val="0"/>
      <w:divBdr>
        <w:top w:val="none" w:sz="0" w:space="0" w:color="auto"/>
        <w:left w:val="none" w:sz="0" w:space="0" w:color="auto"/>
        <w:bottom w:val="none" w:sz="0" w:space="0" w:color="auto"/>
        <w:right w:val="none" w:sz="0" w:space="0" w:color="auto"/>
      </w:divBdr>
      <w:divsChild>
        <w:div w:id="1035540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964876">
      <w:bodyDiv w:val="1"/>
      <w:marLeft w:val="0"/>
      <w:marRight w:val="0"/>
      <w:marTop w:val="0"/>
      <w:marBottom w:val="0"/>
      <w:divBdr>
        <w:top w:val="none" w:sz="0" w:space="0" w:color="auto"/>
        <w:left w:val="none" w:sz="0" w:space="0" w:color="auto"/>
        <w:bottom w:val="none" w:sz="0" w:space="0" w:color="auto"/>
        <w:right w:val="none" w:sz="0" w:space="0" w:color="auto"/>
      </w:divBdr>
    </w:div>
    <w:div w:id="227765833">
      <w:bodyDiv w:val="1"/>
      <w:marLeft w:val="0"/>
      <w:marRight w:val="0"/>
      <w:marTop w:val="0"/>
      <w:marBottom w:val="0"/>
      <w:divBdr>
        <w:top w:val="none" w:sz="0" w:space="0" w:color="auto"/>
        <w:left w:val="none" w:sz="0" w:space="0" w:color="auto"/>
        <w:bottom w:val="none" w:sz="0" w:space="0" w:color="auto"/>
        <w:right w:val="none" w:sz="0" w:space="0" w:color="auto"/>
      </w:divBdr>
    </w:div>
    <w:div w:id="407967301">
      <w:bodyDiv w:val="1"/>
      <w:marLeft w:val="0"/>
      <w:marRight w:val="0"/>
      <w:marTop w:val="0"/>
      <w:marBottom w:val="0"/>
      <w:divBdr>
        <w:top w:val="none" w:sz="0" w:space="0" w:color="auto"/>
        <w:left w:val="none" w:sz="0" w:space="0" w:color="auto"/>
        <w:bottom w:val="none" w:sz="0" w:space="0" w:color="auto"/>
        <w:right w:val="none" w:sz="0" w:space="0" w:color="auto"/>
      </w:divBdr>
      <w:divsChild>
        <w:div w:id="331418298">
          <w:marLeft w:val="0"/>
          <w:marRight w:val="0"/>
          <w:marTop w:val="0"/>
          <w:marBottom w:val="0"/>
          <w:divBdr>
            <w:top w:val="none" w:sz="0" w:space="0" w:color="auto"/>
            <w:left w:val="none" w:sz="0" w:space="0" w:color="auto"/>
            <w:bottom w:val="none" w:sz="0" w:space="0" w:color="auto"/>
            <w:right w:val="none" w:sz="0" w:space="0" w:color="auto"/>
          </w:divBdr>
          <w:divsChild>
            <w:div w:id="162006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53071">
      <w:bodyDiv w:val="1"/>
      <w:marLeft w:val="0"/>
      <w:marRight w:val="0"/>
      <w:marTop w:val="0"/>
      <w:marBottom w:val="0"/>
      <w:divBdr>
        <w:top w:val="none" w:sz="0" w:space="0" w:color="auto"/>
        <w:left w:val="none" w:sz="0" w:space="0" w:color="auto"/>
        <w:bottom w:val="none" w:sz="0" w:space="0" w:color="auto"/>
        <w:right w:val="none" w:sz="0" w:space="0" w:color="auto"/>
      </w:divBdr>
    </w:div>
    <w:div w:id="760687821">
      <w:bodyDiv w:val="1"/>
      <w:marLeft w:val="0"/>
      <w:marRight w:val="0"/>
      <w:marTop w:val="0"/>
      <w:marBottom w:val="0"/>
      <w:divBdr>
        <w:top w:val="none" w:sz="0" w:space="0" w:color="auto"/>
        <w:left w:val="none" w:sz="0" w:space="0" w:color="auto"/>
        <w:bottom w:val="none" w:sz="0" w:space="0" w:color="auto"/>
        <w:right w:val="none" w:sz="0" w:space="0" w:color="auto"/>
      </w:divBdr>
      <w:divsChild>
        <w:div w:id="1482187684">
          <w:marLeft w:val="0"/>
          <w:marRight w:val="0"/>
          <w:marTop w:val="0"/>
          <w:marBottom w:val="0"/>
          <w:divBdr>
            <w:top w:val="none" w:sz="0" w:space="0" w:color="auto"/>
            <w:left w:val="none" w:sz="0" w:space="0" w:color="auto"/>
            <w:bottom w:val="none" w:sz="0" w:space="0" w:color="auto"/>
            <w:right w:val="none" w:sz="0" w:space="0" w:color="auto"/>
          </w:divBdr>
          <w:divsChild>
            <w:div w:id="3908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7137">
      <w:bodyDiv w:val="1"/>
      <w:marLeft w:val="0"/>
      <w:marRight w:val="0"/>
      <w:marTop w:val="0"/>
      <w:marBottom w:val="0"/>
      <w:divBdr>
        <w:top w:val="none" w:sz="0" w:space="0" w:color="auto"/>
        <w:left w:val="none" w:sz="0" w:space="0" w:color="auto"/>
        <w:bottom w:val="none" w:sz="0" w:space="0" w:color="auto"/>
        <w:right w:val="none" w:sz="0" w:space="0" w:color="auto"/>
      </w:divBdr>
    </w:div>
    <w:div w:id="979188463">
      <w:bodyDiv w:val="1"/>
      <w:marLeft w:val="0"/>
      <w:marRight w:val="0"/>
      <w:marTop w:val="0"/>
      <w:marBottom w:val="0"/>
      <w:divBdr>
        <w:top w:val="none" w:sz="0" w:space="0" w:color="auto"/>
        <w:left w:val="none" w:sz="0" w:space="0" w:color="auto"/>
        <w:bottom w:val="none" w:sz="0" w:space="0" w:color="auto"/>
        <w:right w:val="none" w:sz="0" w:space="0" w:color="auto"/>
      </w:divBdr>
    </w:div>
    <w:div w:id="986469222">
      <w:bodyDiv w:val="1"/>
      <w:marLeft w:val="0"/>
      <w:marRight w:val="0"/>
      <w:marTop w:val="0"/>
      <w:marBottom w:val="0"/>
      <w:divBdr>
        <w:top w:val="none" w:sz="0" w:space="0" w:color="auto"/>
        <w:left w:val="none" w:sz="0" w:space="0" w:color="auto"/>
        <w:bottom w:val="none" w:sz="0" w:space="0" w:color="auto"/>
        <w:right w:val="none" w:sz="0" w:space="0" w:color="auto"/>
      </w:divBdr>
      <w:divsChild>
        <w:div w:id="1280723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211572">
      <w:bodyDiv w:val="1"/>
      <w:marLeft w:val="0"/>
      <w:marRight w:val="0"/>
      <w:marTop w:val="0"/>
      <w:marBottom w:val="0"/>
      <w:divBdr>
        <w:top w:val="none" w:sz="0" w:space="0" w:color="auto"/>
        <w:left w:val="none" w:sz="0" w:space="0" w:color="auto"/>
        <w:bottom w:val="none" w:sz="0" w:space="0" w:color="auto"/>
        <w:right w:val="none" w:sz="0" w:space="0" w:color="auto"/>
      </w:divBdr>
    </w:div>
    <w:div w:id="1672296899">
      <w:bodyDiv w:val="1"/>
      <w:marLeft w:val="0"/>
      <w:marRight w:val="0"/>
      <w:marTop w:val="0"/>
      <w:marBottom w:val="0"/>
      <w:divBdr>
        <w:top w:val="none" w:sz="0" w:space="0" w:color="auto"/>
        <w:left w:val="none" w:sz="0" w:space="0" w:color="auto"/>
        <w:bottom w:val="none" w:sz="0" w:space="0" w:color="auto"/>
        <w:right w:val="none" w:sz="0" w:space="0" w:color="auto"/>
      </w:divBdr>
    </w:div>
    <w:div w:id="1688828910">
      <w:bodyDiv w:val="1"/>
      <w:marLeft w:val="0"/>
      <w:marRight w:val="0"/>
      <w:marTop w:val="0"/>
      <w:marBottom w:val="0"/>
      <w:divBdr>
        <w:top w:val="none" w:sz="0" w:space="0" w:color="auto"/>
        <w:left w:val="none" w:sz="0" w:space="0" w:color="auto"/>
        <w:bottom w:val="none" w:sz="0" w:space="0" w:color="auto"/>
        <w:right w:val="none" w:sz="0" w:space="0" w:color="auto"/>
      </w:divBdr>
    </w:div>
    <w:div w:id="1832405096">
      <w:bodyDiv w:val="1"/>
      <w:marLeft w:val="0"/>
      <w:marRight w:val="0"/>
      <w:marTop w:val="0"/>
      <w:marBottom w:val="0"/>
      <w:divBdr>
        <w:top w:val="none" w:sz="0" w:space="0" w:color="auto"/>
        <w:left w:val="none" w:sz="0" w:space="0" w:color="auto"/>
        <w:bottom w:val="none" w:sz="0" w:space="0" w:color="auto"/>
        <w:right w:val="none" w:sz="0" w:space="0" w:color="auto"/>
      </w:divBdr>
    </w:div>
    <w:div w:id="1850558959">
      <w:bodyDiv w:val="1"/>
      <w:marLeft w:val="0"/>
      <w:marRight w:val="0"/>
      <w:marTop w:val="0"/>
      <w:marBottom w:val="0"/>
      <w:divBdr>
        <w:top w:val="none" w:sz="0" w:space="0" w:color="auto"/>
        <w:left w:val="none" w:sz="0" w:space="0" w:color="auto"/>
        <w:bottom w:val="none" w:sz="0" w:space="0" w:color="auto"/>
        <w:right w:val="none" w:sz="0" w:space="0" w:color="auto"/>
      </w:divBdr>
    </w:div>
    <w:div w:id="1934390772">
      <w:bodyDiv w:val="1"/>
      <w:marLeft w:val="0"/>
      <w:marRight w:val="0"/>
      <w:marTop w:val="0"/>
      <w:marBottom w:val="0"/>
      <w:divBdr>
        <w:top w:val="none" w:sz="0" w:space="0" w:color="auto"/>
        <w:left w:val="none" w:sz="0" w:space="0" w:color="auto"/>
        <w:bottom w:val="none" w:sz="0" w:space="0" w:color="auto"/>
        <w:right w:val="none" w:sz="0" w:space="0" w:color="auto"/>
      </w:divBdr>
    </w:div>
    <w:div w:id="1964653490">
      <w:bodyDiv w:val="1"/>
      <w:marLeft w:val="0"/>
      <w:marRight w:val="0"/>
      <w:marTop w:val="0"/>
      <w:marBottom w:val="0"/>
      <w:divBdr>
        <w:top w:val="none" w:sz="0" w:space="0" w:color="auto"/>
        <w:left w:val="none" w:sz="0" w:space="0" w:color="auto"/>
        <w:bottom w:val="none" w:sz="0" w:space="0" w:color="auto"/>
        <w:right w:val="none" w:sz="0" w:space="0" w:color="auto"/>
      </w:divBdr>
      <w:divsChild>
        <w:div w:id="1722484099">
          <w:marLeft w:val="0"/>
          <w:marRight w:val="0"/>
          <w:marTop w:val="0"/>
          <w:marBottom w:val="0"/>
          <w:divBdr>
            <w:top w:val="none" w:sz="0" w:space="0" w:color="auto"/>
            <w:left w:val="none" w:sz="0" w:space="0" w:color="auto"/>
            <w:bottom w:val="none" w:sz="0" w:space="0" w:color="auto"/>
            <w:right w:val="none" w:sz="0" w:space="0" w:color="auto"/>
          </w:divBdr>
          <w:divsChild>
            <w:div w:id="142314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2127">
      <w:bodyDiv w:val="1"/>
      <w:marLeft w:val="0"/>
      <w:marRight w:val="0"/>
      <w:marTop w:val="0"/>
      <w:marBottom w:val="0"/>
      <w:divBdr>
        <w:top w:val="none" w:sz="0" w:space="0" w:color="auto"/>
        <w:left w:val="none" w:sz="0" w:space="0" w:color="auto"/>
        <w:bottom w:val="none" w:sz="0" w:space="0" w:color="auto"/>
        <w:right w:val="none" w:sz="0" w:space="0" w:color="auto"/>
      </w:divBdr>
    </w:div>
    <w:div w:id="2055539621">
      <w:bodyDiv w:val="1"/>
      <w:marLeft w:val="0"/>
      <w:marRight w:val="0"/>
      <w:marTop w:val="0"/>
      <w:marBottom w:val="0"/>
      <w:divBdr>
        <w:top w:val="none" w:sz="0" w:space="0" w:color="auto"/>
        <w:left w:val="none" w:sz="0" w:space="0" w:color="auto"/>
        <w:bottom w:val="none" w:sz="0" w:space="0" w:color="auto"/>
        <w:right w:val="none" w:sz="0" w:space="0" w:color="auto"/>
      </w:divBdr>
    </w:div>
    <w:div w:id="2079791239">
      <w:bodyDiv w:val="1"/>
      <w:marLeft w:val="0"/>
      <w:marRight w:val="0"/>
      <w:marTop w:val="0"/>
      <w:marBottom w:val="0"/>
      <w:divBdr>
        <w:top w:val="none" w:sz="0" w:space="0" w:color="auto"/>
        <w:left w:val="none" w:sz="0" w:space="0" w:color="auto"/>
        <w:bottom w:val="none" w:sz="0" w:space="0" w:color="auto"/>
        <w:right w:val="none" w:sz="0" w:space="0" w:color="auto"/>
      </w:divBdr>
    </w:div>
    <w:div w:id="2097046714">
      <w:bodyDiv w:val="1"/>
      <w:marLeft w:val="0"/>
      <w:marRight w:val="0"/>
      <w:marTop w:val="0"/>
      <w:marBottom w:val="0"/>
      <w:divBdr>
        <w:top w:val="none" w:sz="0" w:space="0" w:color="auto"/>
        <w:left w:val="none" w:sz="0" w:space="0" w:color="auto"/>
        <w:bottom w:val="none" w:sz="0" w:space="0" w:color="auto"/>
        <w:right w:val="none" w:sz="0" w:space="0" w:color="auto"/>
      </w:divBdr>
      <w:divsChild>
        <w:div w:id="856231163">
          <w:marLeft w:val="0"/>
          <w:marRight w:val="0"/>
          <w:marTop w:val="0"/>
          <w:marBottom w:val="0"/>
          <w:divBdr>
            <w:top w:val="none" w:sz="0" w:space="0" w:color="auto"/>
            <w:left w:val="none" w:sz="0" w:space="0" w:color="auto"/>
            <w:bottom w:val="none" w:sz="0" w:space="0" w:color="auto"/>
            <w:right w:val="none" w:sz="0" w:space="0" w:color="auto"/>
          </w:divBdr>
          <w:divsChild>
            <w:div w:id="114689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gft.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 abdulkader</dc:creator>
  <cp:keywords/>
  <dc:description/>
  <cp:lastModifiedBy>ayman abdulkader</cp:lastModifiedBy>
  <cp:revision>1</cp:revision>
  <dcterms:created xsi:type="dcterms:W3CDTF">2025-11-21T05:51:00Z</dcterms:created>
  <dcterms:modified xsi:type="dcterms:W3CDTF">2025-11-21T06:24:00Z</dcterms:modified>
</cp:coreProperties>
</file>