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160"/>
        <w:jc w:val="center"/>
      </w:pPr>
      <w:r>
        <w:rPr>
          <w:rFonts w:ascii="Courier New" w:cs="Courier New" w:eastAsia="Courier New" w:hAnsi="Courier New"/>
          <w:b/>
          <w:bCs/>
          <w:color w:val="6B7E96"/>
          <w:sz w:val="20"/>
          <w:szCs w:val="20"/>
        </w:rPr>
        <w:t xml:space="preserve">SMIC 2026  ·  HACKATHON TANGER</w:t>
      </w:r>
    </w:p>
    <w:p>
      <w:pPr>
        <w:spacing w:after="60"/>
        <w:jc w:val="center"/>
      </w:pPr>
      <w:r>
        <w:rPr>
          <w:rFonts w:ascii="Arial" w:cs="Arial" w:eastAsia="Arial" w:hAnsi="Arial"/>
          <w:b/>
          <w:bCs/>
          <w:color w:val="0D2240"/>
          <w:sz w:val="80"/>
          <w:szCs w:val="80"/>
        </w:rPr>
        <w:t xml:space="preserve">WadiGuard</w:t>
      </w:r>
      <w:r>
        <w:rPr>
          <w:rFonts w:ascii="Courier New" w:cs="Courier New" w:eastAsia="Courier New" w:hAnsi="Courier New"/>
          <w:b/>
          <w:bCs/>
          <w:color w:val="1A56DB"/>
          <w:sz w:val="36"/>
          <w:szCs w:val="36"/>
        </w:rPr>
        <w:t xml:space="preserve"> V3</w:t>
      </w:r>
    </w:p>
    <w:p>
      <w:pPr>
        <w:spacing w:after="280"/>
        <w:jc w:val="center"/>
      </w:pPr>
      <w:r>
        <w:rPr>
          <w:rFonts w:ascii="Arial" w:cs="Arial" w:eastAsia="Arial" w:hAnsi="Arial"/>
          <w:i/>
          <w:iCs/>
          <w:color w:val="3A5070"/>
          <w:sz w:val="30"/>
          <w:szCs w:val="30"/>
        </w:rPr>
        <w:t xml:space="preserve">Système Intelligent de Prévention des Crues</w:t>
      </w:r>
    </w:p>
    <w:p>
      <w:pPr>
        <w:pBdr>
          <w:bottom w:val="single" w:color="1A56DB" w:sz="4"/>
        </w:pBdr>
        <w:spacing w:after="80"/>
      </w:pPr>
      <w:r>
        <w:t xml:space="preserve"/>
      </w:r>
    </w:p>
    <w:p>
      <w:pPr>
        <w:spacing w:after="200"/>
      </w:pPr>
      <w:r>
        <w:t xml:space="preserve"/>
      </w:r>
    </w:p>
    <w:p>
      <w:pPr>
        <w:spacing w:after="280"/>
        <w:jc w:val="center"/>
      </w:pPr>
      <w:r>
        <w:rPr>
          <w:rFonts w:ascii="Arial" w:cs="Arial" w:eastAsia="Arial" w:hAnsi="Arial"/>
          <w:i/>
          <w:iCs/>
          <w:color w:val="0D2240"/>
          <w:sz w:val="24"/>
          <w:szCs w:val="24"/>
        </w:rPr>
        <w:t xml:space="preserve">"WadiGuard détecte la montée des eaux en amont, prédit la zone affectée, alerte citoyens et autorités, et bloque les routes dangereuses avant que les gens les atteignent."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left w:val="none"/>
              <w:bottom w:val="none"/>
              <w:right w:val="none"/>
            </w:tcBorders>
            <w:shd w:fill="EBF3FF" w:val="clear"/>
            <w:tcMar>
              <w:top w:type="dxa" w:w="100"/>
              <w:left w:type="dxa" w:w="60"/>
              <w:bottom w:type="dxa" w:w="100"/>
              <w:right w:type="dxa" w:w="60"/>
            </w:tcMar>
          </w:tcPr>
          <w:p>
            <w:pPr>
              <w:jc w:val="center"/>
            </w:pPr>
            <w:r>
              <w:rPr>
                <w:rFonts w:ascii="Courier New" w:cs="Courier New" w:eastAsia="Courier New" w:hAnsi="Courier New"/>
                <w:b/>
                <w:bCs/>
                <w:color w:val="1A56DB"/>
                <w:sz w:val="34"/>
                <w:szCs w:val="34"/>
              </w:rPr>
              <w:t xml:space="preserve">9</w:t>
            </w:r>
          </w:p>
          <w:p>
            <w:pPr>
              <w:jc w:val="center"/>
            </w:pPr>
            <w:r>
              <w:rPr>
                <w:rFonts w:ascii="Arial" w:cs="Arial" w:eastAsia="Arial" w:hAnsi="Arial"/>
                <w:color w:val="6B7E96"/>
                <w:sz w:val="16"/>
                <w:szCs w:val="16"/>
              </w:rPr>
              <w:t xml:space="preserve">Types capteurs</w:t>
            </w:r>
          </w:p>
        </w:tc>
        <w:tc>
          <w:tcPr>
            <w:tcW w:type="dxa" w:w="1872"/>
            <w:tcBorders>
              <w:top w:val="none"/>
              <w:left w:val="none"/>
              <w:bottom w:val="none"/>
              <w:right w:val="none"/>
            </w:tcBorders>
            <w:shd w:fill="EBF3FF" w:val="clear"/>
            <w:tcMar>
              <w:top w:type="dxa" w:w="100"/>
              <w:left w:type="dxa" w:w="60"/>
              <w:bottom w:type="dxa" w:w="100"/>
              <w:right w:type="dxa" w:w="60"/>
            </w:tcMar>
          </w:tcPr>
          <w:p>
            <w:pPr>
              <w:jc w:val="center"/>
            </w:pPr>
            <w:r>
              <w:rPr>
                <w:rFonts w:ascii="Courier New" w:cs="Courier New" w:eastAsia="Courier New" w:hAnsi="Courier New"/>
                <w:b/>
                <w:bCs/>
                <w:color w:val="1A56DB"/>
                <w:sz w:val="34"/>
                <w:szCs w:val="34"/>
              </w:rPr>
              <w:t xml:space="preserve">3</w:t>
            </w:r>
          </w:p>
          <w:p>
            <w:pPr>
              <w:jc w:val="center"/>
            </w:pPr>
            <w:r>
              <w:rPr>
                <w:rFonts w:ascii="Arial" w:cs="Arial" w:eastAsia="Arial" w:hAnsi="Arial"/>
                <w:color w:val="6B7E96"/>
                <w:sz w:val="16"/>
                <w:szCs w:val="16"/>
              </w:rPr>
              <w:t xml:space="preserve">Niveaux alerte</w:t>
            </w:r>
          </w:p>
        </w:tc>
        <w:tc>
          <w:tcPr>
            <w:tcW w:type="dxa" w:w="1872"/>
            <w:tcBorders>
              <w:top w:val="none"/>
              <w:left w:val="none"/>
              <w:bottom w:val="none"/>
              <w:right w:val="none"/>
            </w:tcBorders>
            <w:shd w:fill="EBF3FF" w:val="clear"/>
            <w:tcMar>
              <w:top w:type="dxa" w:w="100"/>
              <w:left w:type="dxa" w:w="60"/>
              <w:bottom w:type="dxa" w:w="100"/>
              <w:right w:type="dxa" w:w="60"/>
            </w:tcMar>
          </w:tcPr>
          <w:p>
            <w:pPr>
              <w:jc w:val="center"/>
            </w:pPr>
            <w:r>
              <w:rPr>
                <w:rFonts w:ascii="Courier New" w:cs="Courier New" w:eastAsia="Courier New" w:hAnsi="Courier New"/>
                <w:b/>
                <w:bCs/>
                <w:color w:val="1A56DB"/>
                <w:sz w:val="34"/>
                <w:szCs w:val="34"/>
              </w:rPr>
              <w:t xml:space="preserve">8</w:t>
            </w:r>
          </w:p>
          <w:p>
            <w:pPr>
              <w:jc w:val="center"/>
            </w:pPr>
            <w:r>
              <w:rPr>
                <w:rFonts w:ascii="Arial" w:cs="Arial" w:eastAsia="Arial" w:hAnsi="Arial"/>
                <w:color w:val="6B7E96"/>
                <w:sz w:val="16"/>
                <w:szCs w:val="16"/>
              </w:rPr>
              <w:t xml:space="preserve">Canaux alerte</w:t>
            </w:r>
          </w:p>
        </w:tc>
        <w:tc>
          <w:tcPr>
            <w:tcW w:type="dxa" w:w="1872"/>
            <w:tcBorders>
              <w:top w:val="none"/>
              <w:left w:val="none"/>
              <w:bottom w:val="none"/>
              <w:right w:val="none"/>
            </w:tcBorders>
            <w:shd w:fill="EBF3FF" w:val="clear"/>
            <w:tcMar>
              <w:top w:type="dxa" w:w="100"/>
              <w:left w:type="dxa" w:w="60"/>
              <w:bottom w:type="dxa" w:w="100"/>
              <w:right w:type="dxa" w:w="60"/>
            </w:tcMar>
          </w:tcPr>
          <w:p>
            <w:pPr>
              <w:jc w:val="center"/>
            </w:pPr>
            <w:r>
              <w:rPr>
                <w:rFonts w:ascii="Courier New" w:cs="Courier New" w:eastAsia="Courier New" w:hAnsi="Courier New"/>
                <w:b/>
                <w:bCs/>
                <w:color w:val="1A56DB"/>
                <w:sz w:val="34"/>
                <w:szCs w:val="34"/>
              </w:rPr>
              <w:t xml:space="preserve">&lt; 30s</w:t>
            </w:r>
          </w:p>
          <w:p>
            <w:pPr>
              <w:jc w:val="center"/>
            </w:pPr>
            <w:r>
              <w:rPr>
                <w:rFonts w:ascii="Arial" w:cs="Arial" w:eastAsia="Arial" w:hAnsi="Arial"/>
                <w:color w:val="6B7E96"/>
                <w:sz w:val="16"/>
                <w:szCs w:val="16"/>
              </w:rPr>
              <w:t xml:space="preserve">Temps reponse</w:t>
            </w:r>
          </w:p>
        </w:tc>
        <w:tc>
          <w:tcPr>
            <w:tcW w:type="dxa" w:w="1872"/>
            <w:tcBorders>
              <w:top w:val="none"/>
              <w:left w:val="none"/>
              <w:bottom w:val="none"/>
              <w:right w:val="none"/>
            </w:tcBorders>
            <w:shd w:fill="EBF3FF" w:val="clear"/>
            <w:tcMar>
              <w:top w:type="dxa" w:w="100"/>
              <w:left w:type="dxa" w:w="60"/>
              <w:bottom w:type="dxa" w:w="100"/>
              <w:right w:type="dxa" w:w="60"/>
            </w:tcMar>
          </w:tcPr>
          <w:p>
            <w:pPr>
              <w:jc w:val="center"/>
            </w:pPr>
            <w:r>
              <w:rPr>
                <w:rFonts w:ascii="Courier New" w:cs="Courier New" w:eastAsia="Courier New" w:hAnsi="Courier New"/>
                <w:b/>
                <w:bCs/>
                <w:color w:val="1A56DB"/>
                <w:sz w:val="34"/>
                <w:szCs w:val="34"/>
              </w:rPr>
              <w:t xml:space="preserve">24/7</w:t>
            </w:r>
          </w:p>
          <w:p>
            <w:pPr>
              <w:jc w:val="center"/>
            </w:pPr>
            <w:r>
              <w:rPr>
                <w:rFonts w:ascii="Arial" w:cs="Arial" w:eastAsia="Arial" w:hAnsi="Arial"/>
                <w:color w:val="6B7E96"/>
                <w:sz w:val="16"/>
                <w:szCs w:val="16"/>
              </w:rPr>
              <w:t xml:space="preserve">Autonomie</w:t>
            </w:r>
          </w:p>
        </w:tc>
      </w:tr>
    </w:tbl>
    <w:p>
      <w:pPr>
        <w:spacing w:after="400"/>
      </w:pPr>
      <w:r>
        <w:t xml:space="preserve"/>
      </w:r>
    </w:p>
    <w:p>
      <w:pPr>
        <w:spacing w:after="80"/>
        <w:jc w:val="center"/>
      </w:pPr>
      <w:r>
        <w:rPr>
          <w:rFonts w:ascii="Arial" w:cs="Arial" w:eastAsia="Arial" w:hAnsi="Arial"/>
          <w:color w:val="6B7E96"/>
          <w:sz w:val="18"/>
          <w:szCs w:val="18"/>
        </w:rPr>
        <w:t xml:space="preserve">Inspirations : Japon (J-Alert / XRAIN)  ·  Chine (NFEWS)  ·  UE (CAP / Copernicus)  ·  Maroc (DGM PS 2024-2027)</w:t>
      </w:r>
    </w:p>
    <w:p>
      <w:pPr>
        <w:jc w:val="center"/>
      </w:pPr>
      <w:r>
        <w:rPr>
          <w:rFonts w:ascii="Courier New" w:cs="Courier New" w:eastAsia="Courier New" w:hAnsi="Courier New"/>
          <w:color w:val="6B7E96"/>
          <w:sz w:val="17"/>
          <w:szCs w:val="17"/>
        </w:rPr>
        <w:t xml:space="preserve">Document de pitch — Version finale conforme jury technique — Juin 2026</w:t>
      </w:r>
    </w:p>
    <w:p>
      <w:r>
        <w:br w:type="page"/>
      </w:r>
    </w:p>
    <w:p>
      <w:pPr>
        <w:spacing w:after="80" w:before="320"/>
      </w:pPr>
      <w:r>
        <w:rPr>
          <w:rFonts w:ascii="Courier New" w:cs="Courier New" w:eastAsia="Courier New" w:hAnsi="Courier New"/>
          <w:b/>
          <w:bCs/>
          <w:color w:val="6B7E96"/>
          <w:sz w:val="22"/>
          <w:szCs w:val="22"/>
        </w:rPr>
        <w:t xml:space="preserve">01  </w:t>
      </w:r>
      <w:r>
        <w:rPr>
          <w:rFonts w:ascii="Arial" w:cs="Arial" w:eastAsia="Arial" w:hAnsi="Arial"/>
          <w:b/>
          <w:bCs/>
          <w:color w:val="0D2240"/>
          <w:sz w:val="26"/>
          <w:szCs w:val="26"/>
        </w:rPr>
        <w:t xml:space="preserve">Le Pitch en Une Phrase</w:t>
      </w:r>
    </w:p>
    <w:p>
      <w:pPr>
        <w:pBdr>
          <w:bottom w:val="single" w:color="1A56DB" w:sz="4"/>
        </w:pBd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2"/>
              <w:bottom w:val="single" w:color="1A56DB" w:sz="1"/>
              <w:right w:val="single" w:color="1A56DB" w:sz="1"/>
            </w:tcBorders>
            <w:shd w:fill="EBF3FF" w:val="clear"/>
            <w:tcMar>
              <w:top w:type="dxa" w:w="80"/>
              <w:left w:type="dxa" w:w="180"/>
              <w:bottom w:type="dxa" w:w="80"/>
              <w:right w:type="dxa" w:w="180"/>
            </w:tcMar>
          </w:tcPr>
          <w:p>
            <w:r>
              <w:rPr>
                <w:rFonts w:ascii="Arial" w:cs="Arial" w:eastAsia="Arial" w:hAnsi="Arial"/>
                <w:color w:val="0D2240"/>
                <w:sz w:val="20"/>
                <w:szCs w:val="20"/>
              </w:rPr>
              <w:t xml:space="preserve">WadiGuard detecte la montee des eaux en amont, predit la zone affectee, alerte citoyens et autorites, et bloque les routes dangereuses — avant que les gens les atteignent.</w:t>
            </w:r>
          </w:p>
        </w:tc>
      </w:tr>
    </w:tbl>
    <w:p>
      <w:pPr>
        <w:spacing w:after="160"/>
      </w:pPr>
      <w:r>
        <w:t xml:space="preserve"/>
      </w:r>
    </w:p>
    <w:p>
      <w:pPr>
        <w:spacing w:after="80" w:before="320"/>
      </w:pPr>
      <w:r>
        <w:rPr>
          <w:rFonts w:ascii="Courier New" w:cs="Courier New" w:eastAsia="Courier New" w:hAnsi="Courier New"/>
          <w:b/>
          <w:bCs/>
          <w:color w:val="6B7E96"/>
          <w:sz w:val="22"/>
          <w:szCs w:val="22"/>
        </w:rPr>
        <w:t xml:space="preserve">02  </w:t>
      </w:r>
      <w:r>
        <w:rPr>
          <w:rFonts w:ascii="Arial" w:cs="Arial" w:eastAsia="Arial" w:hAnsi="Arial"/>
          <w:b/>
          <w:bCs/>
          <w:color w:val="0D2240"/>
          <w:sz w:val="26"/>
          <w:szCs w:val="26"/>
        </w:rPr>
        <w:t xml:space="preserve">10 Fonctionnalites Core — Pitch Final</w:t>
      </w:r>
    </w:p>
    <w:p>
      <w:pPr>
        <w:pBdr>
          <w:bottom w:val="single" w:color="15803D" w:sz="4"/>
        </w:pBd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12"/>
              <w:bottom w:val="single" w:color="15803D" w:sz="1"/>
              <w:right w:val="single" w:color="15803D" w:sz="1"/>
            </w:tcBorders>
            <w:shd w:fill="DCFCE7" w:val="clear"/>
            <w:tcMar>
              <w:top w:type="dxa" w:w="80"/>
              <w:left w:type="dxa" w:w="180"/>
              <w:bottom w:type="dxa" w:w="80"/>
              <w:right w:type="dxa" w:w="180"/>
            </w:tcMar>
          </w:tcPr>
          <w:p>
            <w:r>
              <w:rPr>
                <w:rFonts w:ascii="Arial" w:cs="Arial" w:eastAsia="Arial" w:hAnsi="Arial"/>
                <w:color w:val="15803D"/>
                <w:sz w:val="20"/>
                <w:szCs w:val="20"/>
              </w:rPr>
              <w:t xml:space="preserve">PRINCIPE : 10 features claires et demontrables. Chaque feature repond a : qui l'utilise, quand, pourquoi, et peut-elle etre demontree en 30 secondes ?</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900"/>
        <w:gridCol w:w="4740"/>
        <w:gridCol w:w="1200"/>
      </w:tblGrid>
      <w:tr>
        <w:trPr>
          <w:tblHeader/>
        </w:trPr>
        <w:tc>
          <w:tcPr>
            <w:tcW w:type="dxa" w:w="52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
            </w:r>
          </w:p>
        </w:tc>
        <w:tc>
          <w:tcPr>
            <w:tcW w:type="dxa" w:w="190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Feature</w:t>
            </w:r>
          </w:p>
        </w:tc>
        <w:tc>
          <w:tcPr>
            <w:tcW w:type="dxa" w:w="474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c>
          <w:tcPr>
            <w:tcW w:type="dxa" w:w="120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Statut</w:t>
            </w:r>
          </w:p>
        </w:tc>
      </w:tr>
      <w:tr>
        <w:tc>
          <w:tcPr>
            <w:tcW w:type="dxa" w:w="52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19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Capteurs niveau d'eau</w:t>
            </w:r>
          </w:p>
        </w:tc>
        <w:tc>
          <w:tcPr>
            <w:tcW w:type="dxa" w:w="474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Ultrasons + piezo dans wadis, ponts, barrages. Mesure continue toutes les 10s.</w:t>
            </w:r>
          </w:p>
        </w:tc>
        <w:tc>
          <w:tcPr>
            <w:tcW w:type="dxa" w:w="1200"/>
            <w:tcBorders>
              <w:top w:val="single" w:color="DDE3EC" w:sz="1"/>
              <w:left w:val="single" w:color="DDE3EC" w:sz="1"/>
              <w:bottom w:val="single" w:color="DDE3EC" w:sz="1"/>
              <w:right w:val="single" w:color="DDE3EC" w:sz="1"/>
            </w:tcBorders>
            <w:shd w:fill="DCFCE7" w:val="clear"/>
            <w:tcMar>
              <w:top w:type="dxa" w:w="80"/>
              <w:left w:type="dxa" w:w="120"/>
              <w:bottom w:type="dxa" w:w="80"/>
              <w:right w:type="dxa" w:w="120"/>
            </w:tcMar>
          </w:tcPr>
          <w:p>
            <w:r>
              <w:rPr>
                <w:rFonts w:ascii="Courier New" w:cs="Courier New" w:eastAsia="Courier New" w:hAnsi="Courier New"/>
                <w:b/>
                <w:bCs/>
                <w:color w:val="15803D"/>
                <w:sz w:val="17"/>
                <w:szCs w:val="17"/>
              </w:rPr>
              <w:t xml:space="preserve">CORE</w:t>
            </w:r>
          </w:p>
        </w:tc>
      </w:tr>
      <w:tr>
        <w:tc>
          <w:tcPr>
            <w:tcW w:type="dxa" w:w="52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19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Monitoring pluviometrique</w:t>
            </w:r>
          </w:p>
        </w:tc>
        <w:tc>
          <w:tcPr>
            <w:tcW w:type="dxa" w:w="474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Pluviometres a augets + integration donnees DGM / WISER-MENA pour anticipation amont.</w:t>
            </w:r>
          </w:p>
        </w:tc>
        <w:tc>
          <w:tcPr>
            <w:tcW w:type="dxa" w:w="1200"/>
            <w:tcBorders>
              <w:top w:val="single" w:color="DDE3EC" w:sz="1"/>
              <w:left w:val="single" w:color="DDE3EC" w:sz="1"/>
              <w:bottom w:val="single" w:color="DDE3EC" w:sz="1"/>
              <w:right w:val="single" w:color="DDE3EC" w:sz="1"/>
            </w:tcBorders>
            <w:shd w:fill="DCFCE7" w:val="clear"/>
            <w:tcMar>
              <w:top w:type="dxa" w:w="80"/>
              <w:left w:type="dxa" w:w="120"/>
              <w:bottom w:type="dxa" w:w="80"/>
              <w:right w:type="dxa" w:w="120"/>
            </w:tcMar>
          </w:tcPr>
          <w:p>
            <w:r>
              <w:rPr>
                <w:rFonts w:ascii="Courier New" w:cs="Courier New" w:eastAsia="Courier New" w:hAnsi="Courier New"/>
                <w:b/>
                <w:bCs/>
                <w:color w:val="15803D"/>
                <w:sz w:val="17"/>
                <w:szCs w:val="17"/>
              </w:rPr>
              <w:t xml:space="preserve">CORE</w:t>
            </w:r>
          </w:p>
        </w:tc>
      </w:tr>
      <w:tr>
        <w:tc>
          <w:tcPr>
            <w:tcW w:type="dxa" w:w="52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19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Detection amont</w:t>
            </w:r>
          </w:p>
        </w:tc>
        <w:tc>
          <w:tcPr>
            <w:tcW w:type="dxa" w:w="474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Capteurs 15-30 km en amont. Delai d'alerte estimatif : 40-90 min avant impact.</w:t>
            </w:r>
          </w:p>
        </w:tc>
        <w:tc>
          <w:tcPr>
            <w:tcW w:type="dxa" w:w="1200"/>
            <w:tcBorders>
              <w:top w:val="single" w:color="DDE3EC" w:sz="1"/>
              <w:left w:val="single" w:color="DDE3EC" w:sz="1"/>
              <w:bottom w:val="single" w:color="DDE3EC" w:sz="1"/>
              <w:right w:val="single" w:color="DDE3EC" w:sz="1"/>
            </w:tcBorders>
            <w:shd w:fill="DCFCE7" w:val="clear"/>
            <w:tcMar>
              <w:top w:type="dxa" w:w="80"/>
              <w:left w:type="dxa" w:w="120"/>
              <w:bottom w:type="dxa" w:w="80"/>
              <w:right w:type="dxa" w:w="120"/>
            </w:tcMar>
          </w:tcPr>
          <w:p>
            <w:r>
              <w:rPr>
                <w:rFonts w:ascii="Courier New" w:cs="Courier New" w:eastAsia="Courier New" w:hAnsi="Courier New"/>
                <w:b/>
                <w:bCs/>
                <w:color w:val="15803D"/>
                <w:sz w:val="17"/>
                <w:szCs w:val="17"/>
              </w:rPr>
              <w:t xml:space="preserve">CORE</w:t>
            </w:r>
          </w:p>
        </w:tc>
      </w:tr>
      <w:tr>
        <w:tc>
          <w:tcPr>
            <w:tcW w:type="dxa" w:w="52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19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Cartographie GIS zones a risque</w:t>
            </w:r>
          </w:p>
        </w:tc>
        <w:tc>
          <w:tcPr>
            <w:tcW w:type="dxa" w:w="474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Wadis, barrages, ponts, routes, ecoles, hopitaux. Couches evacuation temps reel.</w:t>
            </w:r>
          </w:p>
        </w:tc>
        <w:tc>
          <w:tcPr>
            <w:tcW w:type="dxa" w:w="1200"/>
            <w:tcBorders>
              <w:top w:val="single" w:color="DDE3EC" w:sz="1"/>
              <w:left w:val="single" w:color="DDE3EC" w:sz="1"/>
              <w:bottom w:val="single" w:color="DDE3EC" w:sz="1"/>
              <w:right w:val="single" w:color="DDE3EC" w:sz="1"/>
            </w:tcBorders>
            <w:shd w:fill="DCFCE7" w:val="clear"/>
            <w:tcMar>
              <w:top w:type="dxa" w:w="80"/>
              <w:left w:type="dxa" w:w="120"/>
              <w:bottom w:type="dxa" w:w="80"/>
              <w:right w:type="dxa" w:w="120"/>
            </w:tcMar>
          </w:tcPr>
          <w:p>
            <w:r>
              <w:rPr>
                <w:rFonts w:ascii="Courier New" w:cs="Courier New" w:eastAsia="Courier New" w:hAnsi="Courier New"/>
                <w:b/>
                <w:bCs/>
                <w:color w:val="15803D"/>
                <w:sz w:val="17"/>
                <w:szCs w:val="17"/>
              </w:rPr>
              <w:t xml:space="preserve">CORE</w:t>
            </w:r>
          </w:p>
        </w:tc>
      </w:tr>
      <w:tr>
        <w:tc>
          <w:tcPr>
            <w:tcW w:type="dxa" w:w="52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19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Systeme d'alerte 3 niveaux</w:t>
            </w:r>
          </w:p>
        </w:tc>
        <w:tc>
          <w:tcPr>
            <w:tcW w:type="dxa" w:w="474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Vert (normal) / Orange (vigilance) / Rouge (evacuation). Conforme Vigilance Communale DGM.</w:t>
            </w:r>
          </w:p>
        </w:tc>
        <w:tc>
          <w:tcPr>
            <w:tcW w:type="dxa" w:w="1200"/>
            <w:tcBorders>
              <w:top w:val="single" w:color="DDE3EC" w:sz="1"/>
              <w:left w:val="single" w:color="DDE3EC" w:sz="1"/>
              <w:bottom w:val="single" w:color="DDE3EC" w:sz="1"/>
              <w:right w:val="single" w:color="DDE3EC" w:sz="1"/>
            </w:tcBorders>
            <w:shd w:fill="DCFCE7" w:val="clear"/>
            <w:tcMar>
              <w:top w:type="dxa" w:w="80"/>
              <w:left w:type="dxa" w:w="120"/>
              <w:bottom w:type="dxa" w:w="80"/>
              <w:right w:type="dxa" w:w="120"/>
            </w:tcMar>
          </w:tcPr>
          <w:p>
            <w:r>
              <w:rPr>
                <w:rFonts w:ascii="Courier New" w:cs="Courier New" w:eastAsia="Courier New" w:hAnsi="Courier New"/>
                <w:b/>
                <w:bCs/>
                <w:color w:val="15803D"/>
                <w:sz w:val="17"/>
                <w:szCs w:val="17"/>
              </w:rPr>
              <w:t xml:space="preserve">CORE</w:t>
            </w:r>
          </w:p>
        </w:tc>
      </w:tr>
      <w:tr>
        <w:tc>
          <w:tcPr>
            <w:tcW w:type="dxa" w:w="52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19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Panneaux LED routiers</w:t>
            </w:r>
          </w:p>
        </w:tc>
        <w:tc>
          <w:tcPr>
            <w:tcW w:type="dxa" w:w="474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Afficheurs dynamiques avant ponts et passages. Message automatique : ROUTE FERMEE / RISQUE.</w:t>
            </w:r>
          </w:p>
        </w:tc>
        <w:tc>
          <w:tcPr>
            <w:tcW w:type="dxa" w:w="1200"/>
            <w:tcBorders>
              <w:top w:val="single" w:color="DDE3EC" w:sz="1"/>
              <w:left w:val="single" w:color="DDE3EC" w:sz="1"/>
              <w:bottom w:val="single" w:color="DDE3EC" w:sz="1"/>
              <w:right w:val="single" w:color="DDE3EC" w:sz="1"/>
            </w:tcBorders>
            <w:shd w:fill="DCFCE7" w:val="clear"/>
            <w:tcMar>
              <w:top w:type="dxa" w:w="80"/>
              <w:left w:type="dxa" w:w="120"/>
              <w:bottom w:type="dxa" w:w="80"/>
              <w:right w:type="dxa" w:w="120"/>
            </w:tcMar>
          </w:tcPr>
          <w:p>
            <w:r>
              <w:rPr>
                <w:rFonts w:ascii="Courier New" w:cs="Courier New" w:eastAsia="Courier New" w:hAnsi="Courier New"/>
                <w:b/>
                <w:bCs/>
                <w:color w:val="15803D"/>
                <w:sz w:val="17"/>
                <w:szCs w:val="17"/>
              </w:rPr>
              <w:t xml:space="preserve">CORE</w:t>
            </w:r>
          </w:p>
        </w:tc>
      </w:tr>
      <w:tr>
        <w:tc>
          <w:tcPr>
            <w:tcW w:type="dxa" w:w="52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19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Alertes multi-canaux</w:t>
            </w:r>
          </w:p>
        </w:tc>
        <w:tc>
          <w:tcPr>
            <w:tcW w:type="dxa" w:w="474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SMS Cell Broadcast + WhatsApp + sirenes + app mobile. Format CAP (Common Alerting Protocol).</w:t>
            </w:r>
          </w:p>
        </w:tc>
        <w:tc>
          <w:tcPr>
            <w:tcW w:type="dxa" w:w="1200"/>
            <w:tcBorders>
              <w:top w:val="single" w:color="DDE3EC" w:sz="1"/>
              <w:left w:val="single" w:color="DDE3EC" w:sz="1"/>
              <w:bottom w:val="single" w:color="DDE3EC" w:sz="1"/>
              <w:right w:val="single" w:color="DDE3EC" w:sz="1"/>
            </w:tcBorders>
            <w:shd w:fill="DCFCE7" w:val="clear"/>
            <w:tcMar>
              <w:top w:type="dxa" w:w="80"/>
              <w:left w:type="dxa" w:w="120"/>
              <w:bottom w:type="dxa" w:w="80"/>
              <w:right w:type="dxa" w:w="120"/>
            </w:tcMar>
          </w:tcPr>
          <w:p>
            <w:r>
              <w:rPr>
                <w:rFonts w:ascii="Courier New" w:cs="Courier New" w:eastAsia="Courier New" w:hAnsi="Courier New"/>
                <w:b/>
                <w:bCs/>
                <w:color w:val="15803D"/>
                <w:sz w:val="17"/>
                <w:szCs w:val="17"/>
              </w:rPr>
              <w:t xml:space="preserve">CORE</w:t>
            </w:r>
          </w:p>
        </w:tc>
      </w:tr>
      <w:tr>
        <w:tc>
          <w:tcPr>
            <w:tcW w:type="dxa" w:w="52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19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Dashboard autorites</w:t>
            </w:r>
          </w:p>
        </w:tc>
        <w:tc>
          <w:tcPr>
            <w:tcW w:type="dxa" w:w="474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Carte live, statut capteurs, historique alertes, declenchement manuel. Web + mobile.</w:t>
            </w:r>
          </w:p>
        </w:tc>
        <w:tc>
          <w:tcPr>
            <w:tcW w:type="dxa" w:w="1200"/>
            <w:tcBorders>
              <w:top w:val="single" w:color="DDE3EC" w:sz="1"/>
              <w:left w:val="single" w:color="DDE3EC" w:sz="1"/>
              <w:bottom w:val="single" w:color="DDE3EC" w:sz="1"/>
              <w:right w:val="single" w:color="DDE3EC" w:sz="1"/>
            </w:tcBorders>
            <w:shd w:fill="DCFCE7" w:val="clear"/>
            <w:tcMar>
              <w:top w:type="dxa" w:w="80"/>
              <w:left w:type="dxa" w:w="120"/>
              <w:bottom w:type="dxa" w:w="80"/>
              <w:right w:type="dxa" w:w="120"/>
            </w:tcMar>
          </w:tcPr>
          <w:p>
            <w:r>
              <w:rPr>
                <w:rFonts w:ascii="Courier New" w:cs="Courier New" w:eastAsia="Courier New" w:hAnsi="Courier New"/>
                <w:b/>
                <w:bCs/>
                <w:color w:val="15803D"/>
                <w:sz w:val="17"/>
                <w:szCs w:val="17"/>
              </w:rPr>
              <w:t xml:space="preserve">CORE</w:t>
            </w:r>
          </w:p>
        </w:tc>
      </w:tr>
      <w:tr>
        <w:tc>
          <w:tcPr>
            <w:tcW w:type="dxa" w:w="52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19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Alimentation + connectivite</w:t>
            </w:r>
          </w:p>
        </w:tc>
        <w:tc>
          <w:tcPr>
            <w:tcW w:type="dxa" w:w="474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Panneau solaire + batterie LiFePO4 72h. Connectivite GSM 4G + LoRa/LoRaWAN en fallback.</w:t>
            </w:r>
          </w:p>
        </w:tc>
        <w:tc>
          <w:tcPr>
            <w:tcW w:type="dxa" w:w="1200"/>
            <w:tcBorders>
              <w:top w:val="single" w:color="DDE3EC" w:sz="1"/>
              <w:left w:val="single" w:color="DDE3EC" w:sz="1"/>
              <w:bottom w:val="single" w:color="DDE3EC" w:sz="1"/>
              <w:right w:val="single" w:color="DDE3EC" w:sz="1"/>
            </w:tcBorders>
            <w:shd w:fill="DCFCE7" w:val="clear"/>
            <w:tcMar>
              <w:top w:type="dxa" w:w="80"/>
              <w:left w:type="dxa" w:w="120"/>
              <w:bottom w:type="dxa" w:w="80"/>
              <w:right w:type="dxa" w:w="120"/>
            </w:tcMar>
          </w:tcPr>
          <w:p>
            <w:r>
              <w:rPr>
                <w:rFonts w:ascii="Courier New" w:cs="Courier New" w:eastAsia="Courier New" w:hAnsi="Courier New"/>
                <w:b/>
                <w:bCs/>
                <w:color w:val="15803D"/>
                <w:sz w:val="17"/>
                <w:szCs w:val="17"/>
              </w:rPr>
              <w:t xml:space="preserve">CORE</w:t>
            </w:r>
          </w:p>
        </w:tc>
      </w:tr>
      <w:tr>
        <w:tc>
          <w:tcPr>
            <w:tcW w:type="dxa" w:w="52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19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Historique + rapports</w:t>
            </w:r>
          </w:p>
        </w:tc>
        <w:tc>
          <w:tcPr>
            <w:tcW w:type="dxa" w:w="474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Stockage donnees 2 ans. Rapports PDF automatiques. Export CSV pour DGM / autorites.</w:t>
            </w:r>
          </w:p>
        </w:tc>
        <w:tc>
          <w:tcPr>
            <w:tcW w:type="dxa" w:w="1200"/>
            <w:tcBorders>
              <w:top w:val="single" w:color="DDE3EC" w:sz="1"/>
              <w:left w:val="single" w:color="DDE3EC" w:sz="1"/>
              <w:bottom w:val="single" w:color="DDE3EC" w:sz="1"/>
              <w:right w:val="single" w:color="DDE3EC" w:sz="1"/>
            </w:tcBorders>
            <w:shd w:fill="DCFCE7" w:val="clear"/>
            <w:tcMar>
              <w:top w:type="dxa" w:w="80"/>
              <w:left w:type="dxa" w:w="120"/>
              <w:bottom w:type="dxa" w:w="80"/>
              <w:right w:type="dxa" w:w="120"/>
            </w:tcMar>
          </w:tcPr>
          <w:p>
            <w:r>
              <w:rPr>
                <w:rFonts w:ascii="Courier New" w:cs="Courier New" w:eastAsia="Courier New" w:hAnsi="Courier New"/>
                <w:b/>
                <w:bCs/>
                <w:color w:val="15803D"/>
                <w:sz w:val="17"/>
                <w:szCs w:val="17"/>
              </w:rPr>
              <w:t xml:space="preserve">CORE</w:t>
            </w:r>
          </w:p>
        </w:tc>
      </w:tr>
    </w:tbl>
    <w:p>
      <w:pPr>
        <w:spacing w:after="160"/>
      </w:pPr>
      <w:r>
        <w:t xml:space="preserve"/>
      </w:r>
    </w:p>
    <w:p>
      <w:pPr>
        <w:spacing w:after="40"/>
      </w:pPr>
      <w:r>
        <w:rPr>
          <w:rFonts w:ascii="Arial" w:cs="Arial" w:eastAsia="Arial" w:hAnsi="Arial"/>
          <w:b/>
          <w:bCs/>
          <w:color w:val="1A56DB"/>
          <w:sz w:val="21"/>
          <w:szCs w:val="21"/>
        </w:rPr>
        <w:t xml:space="preserve">Standard technique important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2"/>
              <w:bottom w:val="single" w:color="1A56DB" w:sz="1"/>
              <w:right w:val="single" w:color="1A56DB" w:sz="1"/>
            </w:tcBorders>
            <w:shd w:fill="EBF3FF" w:val="clear"/>
            <w:tcMar>
              <w:top w:type="dxa" w:w="80"/>
              <w:left w:type="dxa" w:w="180"/>
              <w:bottom w:type="dxa" w:w="80"/>
              <w:right w:type="dxa" w:w="180"/>
            </w:tcMar>
          </w:tcPr>
          <w:p>
            <w:r>
              <w:rPr>
                <w:rFonts w:ascii="Arial" w:cs="Arial" w:eastAsia="Arial" w:hAnsi="Arial"/>
                <w:color w:val="0D2240"/>
                <w:sz w:val="20"/>
                <w:szCs w:val="20"/>
              </w:rPr>
              <w:t xml:space="preserve">CAP (Common Alerting Protocol) — Les alertes WadiGuard sont formatees selon le standard CAP, protocole officiel international d'interoperabilite des messages d'alerte d'urgence (OASIS/WMO). Cela garantit la compatibilite avec tout systeme externe : DGM, Protection Civile, Copernicus.</w:t>
            </w:r>
          </w:p>
        </w:tc>
      </w:tr>
    </w:tbl>
    <w:p>
      <w:pPr>
        <w:spacing w:after="160"/>
      </w:pPr>
      <w:r>
        <w:t xml:space="preserve"/>
      </w:r>
    </w:p>
    <w:p>
      <w:pPr>
        <w:spacing w:after="80" w:before="320"/>
      </w:pPr>
      <w:r>
        <w:rPr>
          <w:rFonts w:ascii="Courier New" w:cs="Courier New" w:eastAsia="Courier New" w:hAnsi="Courier New"/>
          <w:b/>
          <w:bCs/>
          <w:color w:val="6B7E96"/>
          <w:sz w:val="22"/>
          <w:szCs w:val="22"/>
        </w:rPr>
        <w:t xml:space="preserve">03  </w:t>
      </w:r>
      <w:r>
        <w:rPr>
          <w:rFonts w:ascii="Arial" w:cs="Arial" w:eastAsia="Arial" w:hAnsi="Arial"/>
          <w:b/>
          <w:bCs/>
          <w:color w:val="0D2240"/>
          <w:sz w:val="26"/>
          <w:szCs w:val="26"/>
        </w:rPr>
        <w:t xml:space="preserve">Roadmap — Fonctionnalites Futures</w:t>
      </w:r>
    </w:p>
    <w:p>
      <w:pPr>
        <w:pBdr>
          <w:bottom w:val="single" w:color="B45309" w:sz="4"/>
        </w:pBd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80"/>
              <w:left w:type="dxa" w:w="180"/>
              <w:bottom w:type="dxa" w:w="80"/>
              <w:right w:type="dxa" w:w="180"/>
            </w:tcMar>
          </w:tcPr>
          <w:p>
            <w:r>
              <w:rPr>
                <w:rFonts w:ascii="Arial" w:cs="Arial" w:eastAsia="Arial" w:hAnsi="Arial"/>
                <w:color w:val="B45309"/>
                <w:sz w:val="20"/>
                <w:szCs w:val="20"/>
              </w:rPr>
              <w:t xml:space="preserve">Ces fonctionnalites sont reelles et techniquement solides, mais ne sont pas presentees comme features core lors du pitch. Elles demontrent la vision long terme du projet.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4400"/>
        <w:gridCol w:w="1200"/>
      </w:tblGrid>
      <w:tr>
        <w:trPr>
          <w:tblHeader/>
        </w:trPr>
        <w:tc>
          <w:tcPr>
            <w:tcW w:type="dxa" w:w="560"/>
            <w:tcBorders>
              <w:top w:val="single" w:color="3A5070" w:sz="1"/>
              <w:left w:val="single" w:color="DDE3EC" w:sz="1"/>
              <w:bottom w:val="single" w:color="3A5070" w:sz="1"/>
              <w:right w:val="single" w:color="DDE3EC" w:sz="1"/>
            </w:tcBorders>
            <w:shd w:fill="3A507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
            </w:r>
          </w:p>
        </w:tc>
        <w:tc>
          <w:tcPr>
            <w:tcW w:type="dxa" w:w="2200"/>
            <w:tcBorders>
              <w:top w:val="single" w:color="3A5070" w:sz="1"/>
              <w:left w:val="single" w:color="DDE3EC" w:sz="1"/>
              <w:bottom w:val="single" w:color="3A5070" w:sz="1"/>
              <w:right w:val="single" w:color="DDE3EC" w:sz="1"/>
            </w:tcBorders>
            <w:shd w:fill="3A507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Feature</w:t>
            </w:r>
          </w:p>
        </w:tc>
        <w:tc>
          <w:tcPr>
            <w:tcW w:type="dxa" w:w="4400"/>
            <w:tcBorders>
              <w:top w:val="single" w:color="3A5070" w:sz="1"/>
              <w:left w:val="single" w:color="DDE3EC" w:sz="1"/>
              <w:bottom w:val="single" w:color="3A5070" w:sz="1"/>
              <w:right w:val="single" w:color="DDE3EC" w:sz="1"/>
            </w:tcBorders>
            <w:shd w:fill="3A507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 + Phase</w:t>
            </w:r>
          </w:p>
        </w:tc>
        <w:tc>
          <w:tcPr>
            <w:tcW w:type="dxa" w:w="1200"/>
            <w:tcBorders>
              <w:top w:val="single" w:color="3A5070" w:sz="1"/>
              <w:left w:val="single" w:color="DDE3EC" w:sz="1"/>
              <w:bottom w:val="single" w:color="3A5070" w:sz="1"/>
              <w:right w:val="single" w:color="DDE3EC" w:sz="1"/>
            </w:tcBorders>
            <w:shd w:fill="3A507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Phase</w:t>
            </w:r>
          </w:p>
        </w:tc>
      </w:tr>
      <w:tr>
        <w:tc>
          <w:tcPr>
            <w:tcW w:type="dxa" w:w="56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22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Prevision basee sur impacts (ML)</w:t>
            </w:r>
          </w:p>
        </w:tc>
        <w:tc>
          <w:tcPr>
            <w:tcW w:type="dxa" w:w="44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Modele ML leger embarque : "Quartier X inonde a 90% dans 45 min". Phase 2.</w:t>
            </w:r>
          </w:p>
        </w:tc>
        <w:tc>
          <w:tcPr>
            <w:tcW w:type="dxa" w:w="1200"/>
            <w:tcBorders>
              <w:top w:val="single" w:color="DDE3EC" w:sz="1"/>
              <w:left w:val="single" w:color="DDE3EC" w:sz="1"/>
              <w:bottom w:val="single" w:color="DDE3EC" w:sz="1"/>
              <w:right w:val="single" w:color="DDE3EC" w:sz="1"/>
            </w:tcBorders>
            <w:shd w:fill="FEF3C7" w:val="clear"/>
            <w:tcMar>
              <w:top w:type="dxa" w:w="80"/>
              <w:left w:type="dxa" w:w="120"/>
              <w:bottom w:type="dxa" w:w="80"/>
              <w:right w:type="dxa" w:w="120"/>
            </w:tcMar>
          </w:tcPr>
          <w:p>
            <w:r>
              <w:rPr>
                <w:rFonts w:ascii="Courier New" w:cs="Courier New" w:eastAsia="Courier New" w:hAnsi="Courier New"/>
                <w:b/>
                <w:bCs/>
                <w:color w:val="B45309"/>
                <w:sz w:val="17"/>
                <w:szCs w:val="17"/>
              </w:rPr>
              <w:t xml:space="preserve">ROADMAP</w:t>
            </w:r>
          </w:p>
        </w:tc>
      </w:tr>
      <w:tr>
        <w:tc>
          <w:tcPr>
            <w:tcW w:type="dxa" w:w="56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22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Barrieres + feux automatiques</w:t>
            </w:r>
          </w:p>
        </w:tc>
        <w:tc>
          <w:tcPr>
            <w:tcW w:type="dxa" w:w="44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Barrieres physiques et feux connectes. Activation automatique alerte Rouge. Phase 2.</w:t>
            </w:r>
          </w:p>
        </w:tc>
        <w:tc>
          <w:tcPr>
            <w:tcW w:type="dxa" w:w="1200"/>
            <w:tcBorders>
              <w:top w:val="single" w:color="DDE3EC" w:sz="1"/>
              <w:left w:val="single" w:color="DDE3EC" w:sz="1"/>
              <w:bottom w:val="single" w:color="DDE3EC" w:sz="1"/>
              <w:right w:val="single" w:color="DDE3EC" w:sz="1"/>
            </w:tcBorders>
            <w:shd w:fill="FEF3C7" w:val="clear"/>
            <w:tcMar>
              <w:top w:type="dxa" w:w="80"/>
              <w:left w:type="dxa" w:w="120"/>
              <w:bottom w:type="dxa" w:w="80"/>
              <w:right w:type="dxa" w:w="120"/>
            </w:tcMar>
          </w:tcPr>
          <w:p>
            <w:r>
              <w:rPr>
                <w:rFonts w:ascii="Courier New" w:cs="Courier New" w:eastAsia="Courier New" w:hAnsi="Courier New"/>
                <w:b/>
                <w:bCs/>
                <w:color w:val="B45309"/>
                <w:sz w:val="17"/>
                <w:szCs w:val="17"/>
              </w:rPr>
              <w:t xml:space="preserve">ROADMAP</w:t>
            </w:r>
          </w:p>
        </w:tc>
      </w:tr>
      <w:tr>
        <w:tc>
          <w:tcPr>
            <w:tcW w:type="dxa" w:w="56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22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Crowdsourcing citoyen</w:t>
            </w:r>
          </w:p>
        </w:tc>
        <w:tc>
          <w:tcPr>
            <w:tcW w:type="dxa" w:w="44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Signalement via WhatsApp/app. Validation croisee avec capteurs. Phase 2.</w:t>
            </w:r>
          </w:p>
        </w:tc>
        <w:tc>
          <w:tcPr>
            <w:tcW w:type="dxa" w:w="1200"/>
            <w:tcBorders>
              <w:top w:val="single" w:color="DDE3EC" w:sz="1"/>
              <w:left w:val="single" w:color="DDE3EC" w:sz="1"/>
              <w:bottom w:val="single" w:color="DDE3EC" w:sz="1"/>
              <w:right w:val="single" w:color="DDE3EC" w:sz="1"/>
            </w:tcBorders>
            <w:shd w:fill="FEF3C7" w:val="clear"/>
            <w:tcMar>
              <w:top w:type="dxa" w:w="80"/>
              <w:left w:type="dxa" w:w="120"/>
              <w:bottom w:type="dxa" w:w="80"/>
              <w:right w:type="dxa" w:w="120"/>
            </w:tcMar>
          </w:tcPr>
          <w:p>
            <w:r>
              <w:rPr>
                <w:rFonts w:ascii="Courier New" w:cs="Courier New" w:eastAsia="Courier New" w:hAnsi="Courier New"/>
                <w:b/>
                <w:bCs/>
                <w:color w:val="B45309"/>
                <w:sz w:val="17"/>
                <w:szCs w:val="17"/>
              </w:rPr>
              <w:t xml:space="preserve">ROADMAP</w:t>
            </w:r>
          </w:p>
        </w:tc>
      </w:tr>
      <w:tr>
        <w:tc>
          <w:tcPr>
            <w:tcW w:type="dxa" w:w="56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22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Alertes multilingues voix</w:t>
            </w:r>
          </w:p>
        </w:tc>
        <w:tc>
          <w:tcPr>
            <w:tcW w:type="dxa" w:w="44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Darija + Amazigh en synthese vocale pour sirenes. Phase 2.</w:t>
            </w:r>
          </w:p>
        </w:tc>
        <w:tc>
          <w:tcPr>
            <w:tcW w:type="dxa" w:w="1200"/>
            <w:tcBorders>
              <w:top w:val="single" w:color="DDE3EC" w:sz="1"/>
              <w:left w:val="single" w:color="DDE3EC" w:sz="1"/>
              <w:bottom w:val="single" w:color="DDE3EC" w:sz="1"/>
              <w:right w:val="single" w:color="DDE3EC" w:sz="1"/>
            </w:tcBorders>
            <w:shd w:fill="FEF3C7" w:val="clear"/>
            <w:tcMar>
              <w:top w:type="dxa" w:w="80"/>
              <w:left w:type="dxa" w:w="120"/>
              <w:bottom w:type="dxa" w:w="80"/>
              <w:right w:type="dxa" w:w="120"/>
            </w:tcMar>
          </w:tcPr>
          <w:p>
            <w:r>
              <w:rPr>
                <w:rFonts w:ascii="Courier New" w:cs="Courier New" w:eastAsia="Courier New" w:hAnsi="Courier New"/>
                <w:b/>
                <w:bCs/>
                <w:color w:val="B45309"/>
                <w:sz w:val="17"/>
                <w:szCs w:val="17"/>
              </w:rPr>
              <w:t xml:space="preserve">ROADMAP</w:t>
            </w:r>
          </w:p>
        </w:tc>
      </w:tr>
      <w:tr>
        <w:tc>
          <w:tcPr>
            <w:tcW w:type="dxa" w:w="56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22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Maintenance predictive capteurs</w:t>
            </w:r>
          </w:p>
        </w:tc>
        <w:tc>
          <w:tcPr>
            <w:tcW w:type="dxa" w:w="44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Detection auto de panne ou derive. Alerte technicien avant defaillance. Phase 3.</w:t>
            </w:r>
          </w:p>
        </w:tc>
        <w:tc>
          <w:tcPr>
            <w:tcW w:type="dxa" w:w="1200"/>
            <w:tcBorders>
              <w:top w:val="single" w:color="DDE3EC" w:sz="1"/>
              <w:left w:val="single" w:color="DDE3EC" w:sz="1"/>
              <w:bottom w:val="single" w:color="DDE3EC" w:sz="1"/>
              <w:right w:val="single" w:color="DDE3EC" w:sz="1"/>
            </w:tcBorders>
            <w:shd w:fill="FEF3C7" w:val="clear"/>
            <w:tcMar>
              <w:top w:type="dxa" w:w="80"/>
              <w:left w:type="dxa" w:w="120"/>
              <w:bottom w:type="dxa" w:w="80"/>
              <w:right w:type="dxa" w:w="120"/>
            </w:tcMar>
          </w:tcPr>
          <w:p>
            <w:r>
              <w:rPr>
                <w:rFonts w:ascii="Courier New" w:cs="Courier New" w:eastAsia="Courier New" w:hAnsi="Courier New"/>
                <w:b/>
                <w:bCs/>
                <w:color w:val="B45309"/>
                <w:sz w:val="17"/>
                <w:szCs w:val="17"/>
              </w:rPr>
              <w:t xml:space="preserve">ROADMAP</w:t>
            </w:r>
          </w:p>
        </w:tc>
      </w:tr>
      <w:tr>
        <w:tc>
          <w:tcPr>
            <w:tcW w:type="dxa" w:w="56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22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Module simulation exercices</w:t>
            </w:r>
          </w:p>
        </w:tc>
        <w:tc>
          <w:tcPr>
            <w:tcW w:type="dxa" w:w="44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Lancement d'exercices fictifs avec autorites sans activer sirenes reelles. Phase 3.</w:t>
            </w:r>
          </w:p>
        </w:tc>
        <w:tc>
          <w:tcPr>
            <w:tcW w:type="dxa" w:w="1200"/>
            <w:tcBorders>
              <w:top w:val="single" w:color="DDE3EC" w:sz="1"/>
              <w:left w:val="single" w:color="DDE3EC" w:sz="1"/>
              <w:bottom w:val="single" w:color="DDE3EC" w:sz="1"/>
              <w:right w:val="single" w:color="DDE3EC" w:sz="1"/>
            </w:tcBorders>
            <w:shd w:fill="FEF3C7" w:val="clear"/>
            <w:tcMar>
              <w:top w:type="dxa" w:w="80"/>
              <w:left w:type="dxa" w:w="120"/>
              <w:bottom w:type="dxa" w:w="80"/>
              <w:right w:type="dxa" w:w="120"/>
            </w:tcMar>
          </w:tcPr>
          <w:p>
            <w:r>
              <w:rPr>
                <w:rFonts w:ascii="Courier New" w:cs="Courier New" w:eastAsia="Courier New" w:hAnsi="Courier New"/>
                <w:b/>
                <w:bCs/>
                <w:color w:val="B45309"/>
                <w:sz w:val="17"/>
                <w:szCs w:val="17"/>
              </w:rPr>
              <w:t xml:space="preserve">ROADMAP</w:t>
            </w:r>
          </w:p>
        </w:tc>
      </w:tr>
      <w:tr>
        <w:tc>
          <w:tcPr>
            <w:tcW w:type="dxa" w:w="56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22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API ouverte interoperabilite</w:t>
            </w:r>
          </w:p>
        </w:tc>
        <w:tc>
          <w:tcPr>
            <w:tcW w:type="dxa" w:w="44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Webhook vers Protection Civile, DGM, DGRN, ONEE. Standard JSON/REST. Phase 3.</w:t>
            </w:r>
          </w:p>
        </w:tc>
        <w:tc>
          <w:tcPr>
            <w:tcW w:type="dxa" w:w="1200"/>
            <w:tcBorders>
              <w:top w:val="single" w:color="DDE3EC" w:sz="1"/>
              <w:left w:val="single" w:color="DDE3EC" w:sz="1"/>
              <w:bottom w:val="single" w:color="DDE3EC" w:sz="1"/>
              <w:right w:val="single" w:color="DDE3EC" w:sz="1"/>
            </w:tcBorders>
            <w:shd w:fill="FEF3C7" w:val="clear"/>
            <w:tcMar>
              <w:top w:type="dxa" w:w="80"/>
              <w:left w:type="dxa" w:w="120"/>
              <w:bottom w:type="dxa" w:w="80"/>
              <w:right w:type="dxa" w:w="120"/>
            </w:tcMar>
          </w:tcPr>
          <w:p>
            <w:r>
              <w:rPr>
                <w:rFonts w:ascii="Courier New" w:cs="Courier New" w:eastAsia="Courier New" w:hAnsi="Courier New"/>
                <w:b/>
                <w:bCs/>
                <w:color w:val="B45309"/>
                <w:sz w:val="17"/>
                <w:szCs w:val="17"/>
              </w:rPr>
              <w:t xml:space="preserve">ROADMAP</w:t>
            </w:r>
          </w:p>
        </w:tc>
      </w:tr>
      <w:tr>
        <w:tc>
          <w:tcPr>
            <w:tcW w:type="dxa" w:w="56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22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LoRaWAN longue portee</w:t>
            </w:r>
          </w:p>
        </w:tc>
        <w:tc>
          <w:tcPr>
            <w:tcW w:type="dxa" w:w="44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Connectivite capteurs 10-15 km sans GSM. Zones rurales isolees. Phase 3.</w:t>
            </w:r>
          </w:p>
        </w:tc>
        <w:tc>
          <w:tcPr>
            <w:tcW w:type="dxa" w:w="1200"/>
            <w:tcBorders>
              <w:top w:val="single" w:color="DDE3EC" w:sz="1"/>
              <w:left w:val="single" w:color="DDE3EC" w:sz="1"/>
              <w:bottom w:val="single" w:color="DDE3EC" w:sz="1"/>
              <w:right w:val="single" w:color="DDE3EC" w:sz="1"/>
            </w:tcBorders>
            <w:shd w:fill="FEF3C7" w:val="clear"/>
            <w:tcMar>
              <w:top w:type="dxa" w:w="80"/>
              <w:left w:type="dxa" w:w="120"/>
              <w:bottom w:type="dxa" w:w="80"/>
              <w:right w:type="dxa" w:w="120"/>
            </w:tcMar>
          </w:tcPr>
          <w:p>
            <w:r>
              <w:rPr>
                <w:rFonts w:ascii="Courier New" w:cs="Courier New" w:eastAsia="Courier New" w:hAnsi="Courier New"/>
                <w:b/>
                <w:bCs/>
                <w:color w:val="B45309"/>
                <w:sz w:val="17"/>
                <w:szCs w:val="17"/>
              </w:rPr>
              <w:t xml:space="preserve">ROADMAP</w:t>
            </w:r>
          </w:p>
        </w:tc>
      </w:tr>
      <w:tr>
        <w:tc>
          <w:tcPr>
            <w:tcW w:type="dxa" w:w="56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22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Camera IoT validation visuelle</w:t>
            </w:r>
          </w:p>
        </w:tc>
        <w:tc>
          <w:tcPr>
            <w:tcW w:type="dxa" w:w="44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Vision : confirmation visuelle montee des eaux avant declenchement alerte. Phase 3.</w:t>
            </w:r>
          </w:p>
        </w:tc>
        <w:tc>
          <w:tcPr>
            <w:tcW w:type="dxa" w:w="1200"/>
            <w:tcBorders>
              <w:top w:val="single" w:color="DDE3EC" w:sz="1"/>
              <w:left w:val="single" w:color="DDE3EC" w:sz="1"/>
              <w:bottom w:val="single" w:color="DDE3EC" w:sz="1"/>
              <w:right w:val="single" w:color="DDE3EC" w:sz="1"/>
            </w:tcBorders>
            <w:shd w:fill="FEF3C7" w:val="clear"/>
            <w:tcMar>
              <w:top w:type="dxa" w:w="80"/>
              <w:left w:type="dxa" w:w="120"/>
              <w:bottom w:type="dxa" w:w="80"/>
              <w:right w:type="dxa" w:w="120"/>
            </w:tcMar>
          </w:tcPr>
          <w:p>
            <w:r>
              <w:rPr>
                <w:rFonts w:ascii="Courier New" w:cs="Courier New" w:eastAsia="Courier New" w:hAnsi="Courier New"/>
                <w:b/>
                <w:bCs/>
                <w:color w:val="B45309"/>
                <w:sz w:val="17"/>
                <w:szCs w:val="17"/>
              </w:rPr>
              <w:t xml:space="preserve">ROADMAP</w:t>
            </w:r>
          </w:p>
        </w:tc>
      </w:tr>
      <w:tr>
        <w:tc>
          <w:tcPr>
            <w:tcW w:type="dxa" w:w="56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22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Radio FM diffusion publique</w:t>
            </w:r>
          </w:p>
        </w:tc>
        <w:tc>
          <w:tcPr>
            <w:tcW w:type="dxa" w:w="44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API vers stations radio locales pour interruption automatique. Phase 4.</w:t>
            </w:r>
          </w:p>
        </w:tc>
        <w:tc>
          <w:tcPr>
            <w:tcW w:type="dxa" w:w="1200"/>
            <w:tcBorders>
              <w:top w:val="single" w:color="DDE3EC" w:sz="1"/>
              <w:left w:val="single" w:color="DDE3EC" w:sz="1"/>
              <w:bottom w:val="single" w:color="DDE3EC" w:sz="1"/>
              <w:right w:val="single" w:color="DDE3EC" w:sz="1"/>
            </w:tcBorders>
            <w:shd w:fill="FEF3C7" w:val="clear"/>
            <w:tcMar>
              <w:top w:type="dxa" w:w="80"/>
              <w:left w:type="dxa" w:w="120"/>
              <w:bottom w:type="dxa" w:w="80"/>
              <w:right w:type="dxa" w:w="120"/>
            </w:tcMar>
          </w:tcPr>
          <w:p>
            <w:r>
              <w:rPr>
                <w:rFonts w:ascii="Courier New" w:cs="Courier New" w:eastAsia="Courier New" w:hAnsi="Courier New"/>
                <w:b/>
                <w:bCs/>
                <w:color w:val="B45309"/>
                <w:sz w:val="17"/>
                <w:szCs w:val="17"/>
              </w:rPr>
              <w:t xml:space="preserve">ROADMAP</w:t>
            </w:r>
          </w:p>
        </w:tc>
      </w:tr>
      <w:tr>
        <w:tc>
          <w:tcPr>
            <w:tcW w:type="dxa" w:w="56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22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Satellite backup (optionnel)</w:t>
            </w:r>
          </w:p>
        </w:tc>
        <w:tc>
          <w:tcPr>
            <w:tcW w:type="dxa" w:w="44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Lien Iridium/Starlink en option premium multi-sites. Phase 4.</w:t>
            </w:r>
          </w:p>
        </w:tc>
        <w:tc>
          <w:tcPr>
            <w:tcW w:type="dxa" w:w="1200"/>
            <w:tcBorders>
              <w:top w:val="single" w:color="DDE3EC" w:sz="1"/>
              <w:left w:val="single" w:color="DDE3EC" w:sz="1"/>
              <w:bottom w:val="single" w:color="DDE3EC" w:sz="1"/>
              <w:right w:val="single" w:color="DDE3EC" w:sz="1"/>
            </w:tcBorders>
            <w:shd w:fill="FEF3C7" w:val="clear"/>
            <w:tcMar>
              <w:top w:type="dxa" w:w="80"/>
              <w:left w:type="dxa" w:w="120"/>
              <w:bottom w:type="dxa" w:w="80"/>
              <w:right w:type="dxa" w:w="120"/>
            </w:tcMar>
          </w:tcPr>
          <w:p>
            <w:r>
              <w:rPr>
                <w:rFonts w:ascii="Courier New" w:cs="Courier New" w:eastAsia="Courier New" w:hAnsi="Courier New"/>
                <w:b/>
                <w:bCs/>
                <w:color w:val="B45309"/>
                <w:sz w:val="17"/>
                <w:szCs w:val="17"/>
              </w:rPr>
              <w:t xml:space="preserve">ROADMAP</w:t>
            </w:r>
          </w:p>
        </w:tc>
      </w:tr>
      <w:tr>
        <w:tc>
          <w:tcPr>
            <w:tcW w:type="dxa" w:w="56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22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Capteurs qualite air (optionnel)</w:t>
            </w:r>
          </w:p>
        </w:tc>
        <w:tc>
          <w:tcPr>
            <w:tcW w:type="dxa" w:w="44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CO2/CH4 alignes CDN Maroc et programme OMM DGM. Phase 4.</w:t>
            </w:r>
          </w:p>
        </w:tc>
        <w:tc>
          <w:tcPr>
            <w:tcW w:type="dxa" w:w="1200"/>
            <w:tcBorders>
              <w:top w:val="single" w:color="DDE3EC" w:sz="1"/>
              <w:left w:val="single" w:color="DDE3EC" w:sz="1"/>
              <w:bottom w:val="single" w:color="DDE3EC" w:sz="1"/>
              <w:right w:val="single" w:color="DDE3EC" w:sz="1"/>
            </w:tcBorders>
            <w:shd w:fill="FEF3C7" w:val="clear"/>
            <w:tcMar>
              <w:top w:type="dxa" w:w="80"/>
              <w:left w:type="dxa" w:w="120"/>
              <w:bottom w:type="dxa" w:w="80"/>
              <w:right w:type="dxa" w:w="120"/>
            </w:tcMar>
          </w:tcPr>
          <w:p>
            <w:r>
              <w:rPr>
                <w:rFonts w:ascii="Courier New" w:cs="Courier New" w:eastAsia="Courier New" w:hAnsi="Courier New"/>
                <w:b/>
                <w:bCs/>
                <w:color w:val="B45309"/>
                <w:sz w:val="17"/>
                <w:szCs w:val="17"/>
              </w:rPr>
              <w:t xml:space="preserve">ROADMAP</w:t>
            </w:r>
          </w:p>
        </w:tc>
      </w:tr>
      <w:tr>
        <w:tc>
          <w:tcPr>
            <w:tcW w:type="dxa" w:w="56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22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Cell Broadcast (avance)</w:t>
            </w:r>
          </w:p>
        </w:tc>
        <w:tc>
          <w:tcPr>
            <w:tcW w:type="dxa" w:w="44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SMS simultane a 100% telephones zone sans liste abonnes — necessite accord operateurs. Phase 4.</w:t>
            </w:r>
          </w:p>
        </w:tc>
        <w:tc>
          <w:tcPr>
            <w:tcW w:type="dxa" w:w="1200"/>
            <w:tcBorders>
              <w:top w:val="single" w:color="DDE3EC" w:sz="1"/>
              <w:left w:val="single" w:color="DDE3EC" w:sz="1"/>
              <w:bottom w:val="single" w:color="DDE3EC" w:sz="1"/>
              <w:right w:val="single" w:color="DDE3EC" w:sz="1"/>
            </w:tcBorders>
            <w:shd w:fill="FEF3C7" w:val="clear"/>
            <w:tcMar>
              <w:top w:type="dxa" w:w="80"/>
              <w:left w:type="dxa" w:w="120"/>
              <w:bottom w:type="dxa" w:w="80"/>
              <w:right w:type="dxa" w:w="120"/>
            </w:tcMar>
          </w:tcPr>
          <w:p>
            <w:r>
              <w:rPr>
                <w:rFonts w:ascii="Courier New" w:cs="Courier New" w:eastAsia="Courier New" w:hAnsi="Courier New"/>
                <w:b/>
                <w:bCs/>
                <w:color w:val="B45309"/>
                <w:sz w:val="17"/>
                <w:szCs w:val="17"/>
              </w:rPr>
              <w:t xml:space="preserve">ROADMAP</w:t>
            </w:r>
          </w:p>
        </w:tc>
      </w:tr>
      <w:tr>
        <w:tc>
          <w:tcPr>
            <w:tcW w:type="dxa" w:w="56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22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Integration API DGM (future)</w:t>
            </w:r>
          </w:p>
        </w:tc>
        <w:tc>
          <w:tcPr>
            <w:tcW w:type="dxa" w:w="44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Compatible donnees vigilance DGM — integration API formelle soumise a accord institutionnel.</w:t>
            </w:r>
          </w:p>
        </w:tc>
        <w:tc>
          <w:tcPr>
            <w:tcW w:type="dxa" w:w="1200"/>
            <w:tcBorders>
              <w:top w:val="single" w:color="DDE3EC" w:sz="1"/>
              <w:left w:val="single" w:color="DDE3EC" w:sz="1"/>
              <w:bottom w:val="single" w:color="DDE3EC" w:sz="1"/>
              <w:right w:val="single" w:color="DDE3EC" w:sz="1"/>
            </w:tcBorders>
            <w:shd w:fill="FEF3C7" w:val="clear"/>
            <w:tcMar>
              <w:top w:type="dxa" w:w="80"/>
              <w:left w:type="dxa" w:w="120"/>
              <w:bottom w:type="dxa" w:w="80"/>
              <w:right w:type="dxa" w:w="120"/>
            </w:tcMar>
          </w:tcPr>
          <w:p>
            <w:r>
              <w:rPr>
                <w:rFonts w:ascii="Courier New" w:cs="Courier New" w:eastAsia="Courier New" w:hAnsi="Courier New"/>
                <w:b/>
                <w:bCs/>
                <w:color w:val="B45309"/>
                <w:sz w:val="17"/>
                <w:szCs w:val="17"/>
              </w:rPr>
              <w:t xml:space="preserve">FUTUR</w:t>
            </w:r>
          </w:p>
        </w:tc>
      </w:tr>
      <w:tr>
        <w:tc>
          <w:tcPr>
            <w:tcW w:type="dxa" w:w="56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22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Simulation hydrologique visuelle</w:t>
            </w:r>
          </w:p>
        </w:tc>
        <w:tc>
          <w:tcPr>
            <w:tcW w:type="dxa" w:w="44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Modele de crue visualise (ex-"digital twin"). Necessite donnees terrain et budget dedie. Phase 4.</w:t>
            </w:r>
          </w:p>
        </w:tc>
        <w:tc>
          <w:tcPr>
            <w:tcW w:type="dxa" w:w="1200"/>
            <w:tcBorders>
              <w:top w:val="single" w:color="DDE3EC" w:sz="1"/>
              <w:left w:val="single" w:color="DDE3EC" w:sz="1"/>
              <w:bottom w:val="single" w:color="DDE3EC" w:sz="1"/>
              <w:right w:val="single" w:color="DDE3EC" w:sz="1"/>
            </w:tcBorders>
            <w:shd w:fill="FEF3C7" w:val="clear"/>
            <w:tcMar>
              <w:top w:type="dxa" w:w="80"/>
              <w:left w:type="dxa" w:w="120"/>
              <w:bottom w:type="dxa" w:w="80"/>
              <w:right w:type="dxa" w:w="120"/>
            </w:tcMar>
          </w:tcPr>
          <w:p>
            <w:r>
              <w:rPr>
                <w:rFonts w:ascii="Courier New" w:cs="Courier New" w:eastAsia="Courier New" w:hAnsi="Courier New"/>
                <w:b/>
                <w:bCs/>
                <w:color w:val="B45309"/>
                <w:sz w:val="17"/>
                <w:szCs w:val="17"/>
              </w:rPr>
              <w:t xml:space="preserve">ROADMAP</w:t>
            </w:r>
          </w:p>
        </w:tc>
      </w:tr>
      <w:tr>
        <w:tc>
          <w:tcPr>
            <w:tcW w:type="dxa" w:w="56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22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Analyse post-evenement auto</w:t>
            </w:r>
          </w:p>
        </w:tc>
        <w:tc>
          <w:tcPr>
            <w:tcW w:type="dxa" w:w="44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Rapport 24h apres chaque alerte. Standards Pays-Bas / Copernicus EMS. Phase 3.</w:t>
            </w:r>
          </w:p>
        </w:tc>
        <w:tc>
          <w:tcPr>
            <w:tcW w:type="dxa" w:w="1200"/>
            <w:tcBorders>
              <w:top w:val="single" w:color="DDE3EC" w:sz="1"/>
              <w:left w:val="single" w:color="DDE3EC" w:sz="1"/>
              <w:bottom w:val="single" w:color="DDE3EC" w:sz="1"/>
              <w:right w:val="single" w:color="DDE3EC" w:sz="1"/>
            </w:tcBorders>
            <w:shd w:fill="FEF3C7" w:val="clear"/>
            <w:tcMar>
              <w:top w:type="dxa" w:w="80"/>
              <w:left w:type="dxa" w:w="120"/>
              <w:bottom w:type="dxa" w:w="80"/>
              <w:right w:type="dxa" w:w="120"/>
            </w:tcMar>
          </w:tcPr>
          <w:p>
            <w:r>
              <w:rPr>
                <w:rFonts w:ascii="Courier New" w:cs="Courier New" w:eastAsia="Courier New" w:hAnsi="Courier New"/>
                <w:b/>
                <w:bCs/>
                <w:color w:val="B45309"/>
                <w:sz w:val="17"/>
                <w:szCs w:val="17"/>
              </w:rPr>
              <w:t xml:space="preserve">ROADMAP</w:t>
            </w:r>
          </w:p>
        </w:tc>
      </w:tr>
      <w:tr>
        <w:tc>
          <w:tcPr>
            <w:tcW w:type="dxa" w:w="56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sz w:val="22"/>
                <w:szCs w:val="22"/>
              </w:rPr>
              <w:t xml:space="preserve">♿</w:t>
            </w:r>
          </w:p>
        </w:tc>
        <w:tc>
          <w:tcPr>
            <w:tcW w:type="dxa" w:w="22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b/>
                <w:bCs/>
                <w:color w:val="0D2240"/>
                <w:sz w:val="21"/>
                <w:szCs w:val="21"/>
              </w:rPr>
              <w:t xml:space="preserve">Alertes accessibles</w:t>
            </w:r>
          </w:p>
        </w:tc>
        <w:tc>
          <w:tcPr>
            <w:tcW w:type="dxa" w:w="4400"/>
            <w:tcBorders>
              <w:top w:val="single" w:color="DDE3EC" w:sz="1"/>
              <w:left w:val="single" w:color="DDE3EC" w:sz="1"/>
              <w:bottom w:val="single" w:color="DDE3EC" w:sz="1"/>
              <w:right w:val="single" w:color="DDE3EC" w:sz="1"/>
            </w:tcBorders>
            <w:shd w:fill="FFFFFF" w:val="clear"/>
            <w:tcMar>
              <w:top w:type="dxa" w:w="80"/>
              <w:left w:type="dxa" w:w="120"/>
              <w:bottom w:type="dxa" w:w="80"/>
              <w:right w:type="dxa" w:w="120"/>
            </w:tcMar>
          </w:tcPr>
          <w:p>
            <w:r>
              <w:rPr>
                <w:rFonts w:ascii="Arial" w:cs="Arial" w:eastAsia="Arial" w:hAnsi="Arial"/>
                <w:color w:val="3A5070"/>
                <w:sz w:val="19"/>
                <w:szCs w:val="19"/>
              </w:rPr>
              <w:t xml:space="preserve">Sous-titres, pictogrammes, langue des signes. Phase 4.</w:t>
            </w:r>
          </w:p>
        </w:tc>
        <w:tc>
          <w:tcPr>
            <w:tcW w:type="dxa" w:w="1200"/>
            <w:tcBorders>
              <w:top w:val="single" w:color="DDE3EC" w:sz="1"/>
              <w:left w:val="single" w:color="DDE3EC" w:sz="1"/>
              <w:bottom w:val="single" w:color="DDE3EC" w:sz="1"/>
              <w:right w:val="single" w:color="DDE3EC" w:sz="1"/>
            </w:tcBorders>
            <w:shd w:fill="FEF3C7" w:val="clear"/>
            <w:tcMar>
              <w:top w:type="dxa" w:w="80"/>
              <w:left w:type="dxa" w:w="120"/>
              <w:bottom w:type="dxa" w:w="80"/>
              <w:right w:type="dxa" w:w="120"/>
            </w:tcMar>
          </w:tcPr>
          <w:p>
            <w:r>
              <w:rPr>
                <w:rFonts w:ascii="Courier New" w:cs="Courier New" w:eastAsia="Courier New" w:hAnsi="Courier New"/>
                <w:b/>
                <w:bCs/>
                <w:color w:val="B45309"/>
                <w:sz w:val="17"/>
                <w:szCs w:val="17"/>
              </w:rPr>
              <w:t xml:space="preserve">ROADMAP</w:t>
            </w:r>
          </w:p>
        </w:tc>
      </w:tr>
    </w:tbl>
    <w:p>
      <w:pPr>
        <w:spacing w:after="160"/>
      </w:pPr>
      <w:r>
        <w:t xml:space="preserve"/>
      </w:r>
    </w:p>
    <w:p>
      <w:pPr>
        <w:spacing w:after="80" w:before="320"/>
      </w:pPr>
      <w:r>
        <w:rPr>
          <w:rFonts w:ascii="Courier New" w:cs="Courier New" w:eastAsia="Courier New" w:hAnsi="Courier New"/>
          <w:b/>
          <w:bCs/>
          <w:color w:val="6B7E96"/>
          <w:sz w:val="22"/>
          <w:szCs w:val="22"/>
        </w:rPr>
        <w:t xml:space="preserve">04  </w:t>
      </w:r>
      <w:r>
        <w:rPr>
          <w:rFonts w:ascii="Arial" w:cs="Arial" w:eastAsia="Arial" w:hAnsi="Arial"/>
          <w:b/>
          <w:bCs/>
          <w:color w:val="0D2240"/>
          <w:sz w:val="26"/>
          <w:szCs w:val="26"/>
        </w:rPr>
        <w:t xml:space="preserve">Systeme d'Alerte 3 Niveaux</w:t>
      </w:r>
    </w:p>
    <w:p>
      <w:pPr>
        <w:pBdr>
          <w:bottom w:val="single" w:color="B91C1C" w:sz="4"/>
        </w:pBd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360"/>
        <w:gridCol w:w="2600"/>
      </w:tblGrid>
      <w:tr>
        <w:trPr>
          <w:tblHeader/>
        </w:trPr>
        <w:tc>
          <w:tcPr>
            <w:tcW w:type="dxa" w:w="120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Niveau</w:t>
            </w:r>
          </w:p>
        </w:tc>
        <w:tc>
          <w:tcPr>
            <w:tcW w:type="dxa" w:w="220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Seuil declenchement</w:t>
            </w:r>
          </w:p>
        </w:tc>
        <w:tc>
          <w:tcPr>
            <w:tcW w:type="dxa" w:w="336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Actions automatiques</w:t>
            </w:r>
          </w:p>
        </w:tc>
        <w:tc>
          <w:tcPr>
            <w:tcW w:type="dxa" w:w="260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Canaux</w:t>
            </w:r>
          </w:p>
        </w:tc>
      </w:tr>
      <w:tr>
        <w:tc>
          <w:tcPr>
            <w:tcW w:type="dxa" w:w="1200"/>
            <w:tcBorders>
              <w:top w:val="single" w:color="DDE3EC" w:sz="1"/>
              <w:left w:val="single" w:color="DDE3EC" w:sz="1"/>
              <w:bottom w:val="single" w:color="DDE3EC" w:sz="1"/>
              <w:right w:val="single" w:color="DDE3EC" w:sz="1"/>
            </w:tcBorders>
            <w:shd w:fill="DCFCE7" w:val="clear"/>
            <w:tcMar>
              <w:top w:type="dxa" w:w="70"/>
              <w:left w:type="dxa" w:w="120"/>
              <w:bottom w:type="dxa" w:w="70"/>
              <w:right w:type="dxa" w:w="120"/>
            </w:tcMar>
          </w:tcPr>
          <w:p>
            <w:r>
              <w:rPr>
                <w:rFonts w:ascii="Arial" w:cs="Arial" w:eastAsia="Arial" w:hAnsi="Arial"/>
                <w:color w:val="15803D"/>
                <w:sz w:val="19"/>
                <w:szCs w:val="19"/>
              </w:rPr>
              <w:t xml:space="preserve">VERT — Normal</w:t>
            </w:r>
          </w:p>
        </w:tc>
        <w:tc>
          <w:tcPr>
            <w:tcW w:type="dxa" w:w="2200"/>
            <w:tcBorders>
              <w:top w:val="single" w:color="DDE3EC" w:sz="1"/>
              <w:left w:val="single" w:color="DDE3EC" w:sz="1"/>
              <w:bottom w:val="single" w:color="DDE3EC" w:sz="1"/>
              <w:right w:val="single" w:color="DDE3EC" w:sz="1"/>
            </w:tcBorders>
            <w:shd w:fill="DCFCE7" w:val="clear"/>
            <w:tcMar>
              <w:top w:type="dxa" w:w="70"/>
              <w:left w:type="dxa" w:w="120"/>
              <w:bottom w:type="dxa" w:w="70"/>
              <w:right w:type="dxa" w:w="120"/>
            </w:tcMar>
          </w:tcPr>
          <w:p>
            <w:r>
              <w:rPr>
                <w:rFonts w:ascii="Arial" w:cs="Arial" w:eastAsia="Arial" w:hAnsi="Arial"/>
                <w:color w:val="3A5070"/>
                <w:sz w:val="19"/>
                <w:szCs w:val="19"/>
              </w:rPr>
              <w:t xml:space="preserve">Eau &lt; 40% | Pluie &lt; 15mm/h</w:t>
            </w:r>
          </w:p>
        </w:tc>
        <w:tc>
          <w:tcPr>
            <w:tcW w:type="dxa" w:w="3360"/>
            <w:tcBorders>
              <w:top w:val="single" w:color="DDE3EC" w:sz="1"/>
              <w:left w:val="single" w:color="DDE3EC" w:sz="1"/>
              <w:bottom w:val="single" w:color="DDE3EC" w:sz="1"/>
              <w:right w:val="single" w:color="DDE3EC" w:sz="1"/>
            </w:tcBorders>
            <w:shd w:fill="DCFCE7" w:val="clear"/>
            <w:tcMar>
              <w:top w:type="dxa" w:w="70"/>
              <w:left w:type="dxa" w:w="120"/>
              <w:bottom w:type="dxa" w:w="70"/>
              <w:right w:type="dxa" w:w="120"/>
            </w:tcMar>
          </w:tcPr>
          <w:p>
            <w:r>
              <w:rPr>
                <w:rFonts w:ascii="Arial" w:cs="Arial" w:eastAsia="Arial" w:hAnsi="Arial"/>
                <w:color w:val="3A5070"/>
                <w:sz w:val="19"/>
                <w:szCs w:val="19"/>
              </w:rPr>
              <w:t xml:space="preserve">Surveillance passive. Collecte donnees 30s.</w:t>
            </w:r>
          </w:p>
        </w:tc>
        <w:tc>
          <w:tcPr>
            <w:tcW w:type="dxa" w:w="2600"/>
            <w:tcBorders>
              <w:top w:val="single" w:color="DDE3EC" w:sz="1"/>
              <w:left w:val="single" w:color="DDE3EC" w:sz="1"/>
              <w:bottom w:val="single" w:color="DDE3EC" w:sz="1"/>
              <w:right w:val="single" w:color="DDE3EC" w:sz="1"/>
            </w:tcBorders>
            <w:shd w:fill="DCFCE7" w:val="clear"/>
            <w:tcMar>
              <w:top w:type="dxa" w:w="70"/>
              <w:left w:type="dxa" w:w="120"/>
              <w:bottom w:type="dxa" w:w="70"/>
              <w:right w:type="dxa" w:w="120"/>
            </w:tcMar>
          </w:tcPr>
          <w:p>
            <w:r>
              <w:rPr>
                <w:rFonts w:ascii="Arial" w:cs="Arial" w:eastAsia="Arial" w:hAnsi="Arial"/>
                <w:color w:val="3A5070"/>
                <w:sz w:val="19"/>
                <w:szCs w:val="19"/>
              </w:rPr>
              <w:t xml:space="preserve">Dashboard (info)</w:t>
            </w:r>
          </w:p>
        </w:tc>
      </w:tr>
      <w:tr>
        <w:tc>
          <w:tcPr>
            <w:tcW w:type="dxa" w:w="1200"/>
            <w:tcBorders>
              <w:top w:val="single" w:color="DDE3EC" w:sz="1"/>
              <w:left w:val="single" w:color="DDE3EC" w:sz="1"/>
              <w:bottom w:val="single" w:color="DDE3EC" w:sz="1"/>
              <w:right w:val="single" w:color="DDE3EC" w:sz="1"/>
            </w:tcBorders>
            <w:shd w:fill="FFF0E6" w:val="clear"/>
            <w:tcMar>
              <w:top w:type="dxa" w:w="70"/>
              <w:left w:type="dxa" w:w="120"/>
              <w:bottom w:type="dxa" w:w="70"/>
              <w:right w:type="dxa" w:w="120"/>
            </w:tcMar>
          </w:tcPr>
          <w:p>
            <w:r>
              <w:rPr>
                <w:rFonts w:ascii="Arial" w:cs="Arial" w:eastAsia="Arial" w:hAnsi="Arial"/>
                <w:color w:val="C2410C"/>
                <w:sz w:val="19"/>
                <w:szCs w:val="19"/>
              </w:rPr>
              <w:t xml:space="preserve">ORANGE — Vigilance</w:t>
            </w:r>
          </w:p>
        </w:tc>
        <w:tc>
          <w:tcPr>
            <w:tcW w:type="dxa" w:w="2200"/>
            <w:tcBorders>
              <w:top w:val="single" w:color="DDE3EC" w:sz="1"/>
              <w:left w:val="single" w:color="DDE3EC" w:sz="1"/>
              <w:bottom w:val="single" w:color="DDE3EC" w:sz="1"/>
              <w:right w:val="single" w:color="DDE3EC" w:sz="1"/>
            </w:tcBorders>
            <w:shd w:fill="FFF0E6" w:val="clear"/>
            <w:tcMar>
              <w:top w:type="dxa" w:w="70"/>
              <w:left w:type="dxa" w:w="120"/>
              <w:bottom w:type="dxa" w:w="70"/>
              <w:right w:type="dxa" w:w="120"/>
            </w:tcMar>
          </w:tcPr>
          <w:p>
            <w:r>
              <w:rPr>
                <w:rFonts w:ascii="Arial" w:cs="Arial" w:eastAsia="Arial" w:hAnsi="Arial"/>
                <w:color w:val="3A5070"/>
                <w:sz w:val="19"/>
                <w:szCs w:val="19"/>
              </w:rPr>
              <w:t xml:space="preserve">Eau 40-75% | 15-30mm/h | Montee 5cm/min</w:t>
            </w:r>
          </w:p>
        </w:tc>
        <w:tc>
          <w:tcPr>
            <w:tcW w:type="dxa" w:w="3360"/>
            <w:tcBorders>
              <w:top w:val="single" w:color="DDE3EC" w:sz="1"/>
              <w:left w:val="single" w:color="DDE3EC" w:sz="1"/>
              <w:bottom w:val="single" w:color="DDE3EC" w:sz="1"/>
              <w:right w:val="single" w:color="DDE3EC" w:sz="1"/>
            </w:tcBorders>
            <w:shd w:fill="FFF0E6" w:val="clear"/>
            <w:tcMar>
              <w:top w:type="dxa" w:w="70"/>
              <w:left w:type="dxa" w:w="120"/>
              <w:bottom w:type="dxa" w:w="70"/>
              <w:right w:type="dxa" w:w="120"/>
            </w:tcMar>
          </w:tcPr>
          <w:p>
            <w:r>
              <w:rPr>
                <w:rFonts w:ascii="Arial" w:cs="Arial" w:eastAsia="Arial" w:hAnsi="Arial"/>
                <w:color w:val="3A5070"/>
                <w:sz w:val="19"/>
                <w:szCs w:val="19"/>
              </w:rPr>
              <w:t xml:space="preserve">Pre-positionnement equipes. Alerte autorites. Frequence 10s.</w:t>
            </w:r>
          </w:p>
        </w:tc>
        <w:tc>
          <w:tcPr>
            <w:tcW w:type="dxa" w:w="2600"/>
            <w:tcBorders>
              <w:top w:val="single" w:color="DDE3EC" w:sz="1"/>
              <w:left w:val="single" w:color="DDE3EC" w:sz="1"/>
              <w:bottom w:val="single" w:color="DDE3EC" w:sz="1"/>
              <w:right w:val="single" w:color="DDE3EC" w:sz="1"/>
            </w:tcBorders>
            <w:shd w:fill="FFF0E6" w:val="clear"/>
            <w:tcMar>
              <w:top w:type="dxa" w:w="70"/>
              <w:left w:type="dxa" w:w="120"/>
              <w:bottom w:type="dxa" w:w="70"/>
              <w:right w:type="dxa" w:w="120"/>
            </w:tcMar>
          </w:tcPr>
          <w:p>
            <w:r>
              <w:rPr>
                <w:rFonts w:ascii="Arial" w:cs="Arial" w:eastAsia="Arial" w:hAnsi="Arial"/>
                <w:color w:val="3A5070"/>
                <w:sz w:val="19"/>
                <w:szCs w:val="19"/>
              </w:rPr>
              <w:t xml:space="preserve">SMS autorites + Dashboard + WhatsApp</w:t>
            </w:r>
          </w:p>
        </w:tc>
      </w:tr>
      <w:tr>
        <w:tc>
          <w:tcPr>
            <w:tcW w:type="dxa" w:w="1200"/>
            <w:tcBorders>
              <w:top w:val="single" w:color="DDE3EC" w:sz="1"/>
              <w:left w:val="single" w:color="DDE3EC" w:sz="1"/>
              <w:bottom w:val="single" w:color="DDE3EC" w:sz="1"/>
              <w:right w:val="single" w:color="DDE3EC" w:sz="1"/>
            </w:tcBorders>
            <w:shd w:fill="FFE4E4" w:val="clear"/>
            <w:tcMar>
              <w:top w:type="dxa" w:w="70"/>
              <w:left w:type="dxa" w:w="120"/>
              <w:bottom w:type="dxa" w:w="70"/>
              <w:right w:type="dxa" w:w="120"/>
            </w:tcMar>
          </w:tcPr>
          <w:p>
            <w:r>
              <w:rPr>
                <w:rFonts w:ascii="Arial" w:cs="Arial" w:eastAsia="Arial" w:hAnsi="Arial"/>
                <w:color w:val="B91C1C"/>
                <w:sz w:val="19"/>
                <w:szCs w:val="19"/>
              </w:rPr>
              <w:t xml:space="preserve">ROUGE — Evacuation</w:t>
            </w:r>
          </w:p>
        </w:tc>
        <w:tc>
          <w:tcPr>
            <w:tcW w:type="dxa" w:w="2200"/>
            <w:tcBorders>
              <w:top w:val="single" w:color="DDE3EC" w:sz="1"/>
              <w:left w:val="single" w:color="DDE3EC" w:sz="1"/>
              <w:bottom w:val="single" w:color="DDE3EC" w:sz="1"/>
              <w:right w:val="single" w:color="DDE3EC" w:sz="1"/>
            </w:tcBorders>
            <w:shd w:fill="FFE4E4" w:val="clear"/>
            <w:tcMar>
              <w:top w:type="dxa" w:w="70"/>
              <w:left w:type="dxa" w:w="120"/>
              <w:bottom w:type="dxa" w:w="70"/>
              <w:right w:type="dxa" w:w="120"/>
            </w:tcMar>
          </w:tcPr>
          <w:p>
            <w:r>
              <w:rPr>
                <w:rFonts w:ascii="Arial" w:cs="Arial" w:eastAsia="Arial" w:hAnsi="Arial"/>
                <w:color w:val="3A5070"/>
                <w:sz w:val="19"/>
                <w:szCs w:val="19"/>
              </w:rPr>
              <w:t xml:space="preserve">Eau &gt; 75% | Montee &gt; 15cm/min</w:t>
            </w:r>
          </w:p>
        </w:tc>
        <w:tc>
          <w:tcPr>
            <w:tcW w:type="dxa" w:w="3360"/>
            <w:tcBorders>
              <w:top w:val="single" w:color="DDE3EC" w:sz="1"/>
              <w:left w:val="single" w:color="DDE3EC" w:sz="1"/>
              <w:bottom w:val="single" w:color="DDE3EC" w:sz="1"/>
              <w:right w:val="single" w:color="DDE3EC" w:sz="1"/>
            </w:tcBorders>
            <w:shd w:fill="FFE4E4" w:val="clear"/>
            <w:tcMar>
              <w:top w:type="dxa" w:w="70"/>
              <w:left w:type="dxa" w:w="120"/>
              <w:bottom w:type="dxa" w:w="70"/>
              <w:right w:type="dxa" w:w="120"/>
            </w:tcMar>
          </w:tcPr>
          <w:p>
            <w:r>
              <w:rPr>
                <w:rFonts w:ascii="Arial" w:cs="Arial" w:eastAsia="Arial" w:hAnsi="Arial"/>
                <w:color w:val="3A5070"/>
                <w:sz w:val="19"/>
                <w:szCs w:val="19"/>
              </w:rPr>
              <w:t xml:space="preserve">Sirenes + panneaux LED + alertes masse. Evacuation immediate.</w:t>
            </w:r>
          </w:p>
        </w:tc>
        <w:tc>
          <w:tcPr>
            <w:tcW w:type="dxa" w:w="2600"/>
            <w:tcBorders>
              <w:top w:val="single" w:color="DDE3EC" w:sz="1"/>
              <w:left w:val="single" w:color="DDE3EC" w:sz="1"/>
              <w:bottom w:val="single" w:color="DDE3EC" w:sz="1"/>
              <w:right w:val="single" w:color="DDE3EC" w:sz="1"/>
            </w:tcBorders>
            <w:shd w:fill="FFE4E4" w:val="clear"/>
            <w:tcMar>
              <w:top w:type="dxa" w:w="70"/>
              <w:left w:type="dxa" w:w="120"/>
              <w:bottom w:type="dxa" w:w="70"/>
              <w:right w:type="dxa" w:w="120"/>
            </w:tcMar>
          </w:tcPr>
          <w:p>
            <w:r>
              <w:rPr>
                <w:rFonts w:ascii="Arial" w:cs="Arial" w:eastAsia="Arial" w:hAnsi="Arial"/>
                <w:color w:val="3A5070"/>
                <w:sz w:val="19"/>
                <w:szCs w:val="19"/>
              </w:rPr>
              <w:t xml:space="preserve">SMS + WhatsApp + sirenes + LED + app</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2"/>
              <w:bottom w:val="single" w:color="B91C1C" w:sz="1"/>
              <w:right w:val="single" w:color="B91C1C" w:sz="1"/>
            </w:tcBorders>
            <w:shd w:fill="FFF1F1" w:val="clear"/>
            <w:tcMar>
              <w:top w:type="dxa" w:w="80"/>
              <w:left w:type="dxa" w:w="180"/>
              <w:bottom w:type="dxa" w:w="80"/>
              <w:right w:type="dxa" w:w="180"/>
            </w:tcMar>
          </w:tcPr>
          <w:p>
            <w:r>
              <w:rPr>
                <w:rFonts w:ascii="Arial" w:cs="Arial" w:eastAsia="Arial" w:hAnsi="Arial"/>
                <w:color w:val="0D2240"/>
                <w:sz w:val="20"/>
                <w:szCs w:val="20"/>
              </w:rPr>
              <w:t xml:space="preserve">Alignement DGM : La Vigilance Communale DGM (mise en place 2022) utilise ce systeme tricolore a l'echelle commune. WadiGuard est concu pour etre compatible avec ce cadre institutionnel existant.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80"/>
              <w:left w:type="dxa" w:w="180"/>
              <w:bottom w:type="dxa" w:w="80"/>
              <w:right w:type="dxa" w:w="180"/>
            </w:tcMar>
          </w:tcPr>
          <w:p>
            <w:r>
              <w:rPr>
                <w:rFonts w:ascii="Arial" w:cs="Arial" w:eastAsia="Arial" w:hAnsi="Arial"/>
                <w:color w:val="0D2240"/>
                <w:sz w:val="20"/>
                <w:szCs w:val="20"/>
              </w:rPr>
              <w:t xml:space="preserve">Inspirations mondiales : Le J-Alert japonais est un systeme national d'alerte d'urgence qui diffuse via de multiples canaux simultanes. WadiGuard s'en inspire pour la philosophie multi-canal — ce n'est pas un equivalent national, c'est une declinaison locale adaptee.</w:t>
            </w:r>
          </w:p>
        </w:tc>
      </w:tr>
    </w:tbl>
    <w:p>
      <w:pPr>
        <w:spacing w:after="160"/>
      </w:pPr>
      <w:r>
        <w:t xml:space="preserve"/>
      </w:r>
    </w:p>
    <w:p>
      <w:pPr>
        <w:spacing w:after="80" w:before="320"/>
      </w:pPr>
      <w:r>
        <w:rPr>
          <w:rFonts w:ascii="Courier New" w:cs="Courier New" w:eastAsia="Courier New" w:hAnsi="Courier New"/>
          <w:b/>
          <w:bCs/>
          <w:color w:val="6B7E96"/>
          <w:sz w:val="22"/>
          <w:szCs w:val="22"/>
        </w:rPr>
        <w:t xml:space="preserve">05  </w:t>
      </w:r>
      <w:r>
        <w:rPr>
          <w:rFonts w:ascii="Arial" w:cs="Arial" w:eastAsia="Arial" w:hAnsi="Arial"/>
          <w:b/>
          <w:bCs/>
          <w:color w:val="0D2240"/>
          <w:sz w:val="26"/>
          <w:szCs w:val="26"/>
        </w:rPr>
        <w:t xml:space="preserve">Architecture Technique — 8 Couches</w:t>
      </w:r>
    </w:p>
    <w:p>
      <w:pPr>
        <w:pBdr>
          <w:bottom w:val="single" w:color="0D9488" w:sz="4"/>
        </w:pBd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1200"/>
        <w:gridCol w:w="3480"/>
        <w:gridCol w:w="2600"/>
        <w:gridCol w:w="1400"/>
      </w:tblGrid>
      <w:tr>
        <w:trPr>
          <w:tblHeader/>
        </w:trPr>
        <w:tc>
          <w:tcPr>
            <w:tcW w:type="dxa" w:w="68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t>
            </w:r>
          </w:p>
        </w:tc>
        <w:tc>
          <w:tcPr>
            <w:tcW w:type="dxa" w:w="120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Couche</w:t>
            </w:r>
          </w:p>
        </w:tc>
        <w:tc>
          <w:tcPr>
            <w:tcW w:type="dxa" w:w="348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c>
          <w:tcPr>
            <w:tcW w:type="dxa" w:w="260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Technologies</w:t>
            </w:r>
          </w:p>
        </w:tc>
        <w:tc>
          <w:tcPr>
            <w:tcW w:type="dxa" w:w="140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Source</w:t>
            </w:r>
          </w:p>
        </w:tc>
      </w:tr>
      <w:tr>
        <w:tc>
          <w:tcPr>
            <w:tcW w:type="dxa" w:w="6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L1</w:t>
            </w:r>
          </w:p>
        </w:tc>
        <w:tc>
          <w:tcPr>
            <w:tcW w:type="dxa" w:w="12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Capteurs Terrain</w:t>
            </w:r>
          </w:p>
        </w:tc>
        <w:tc>
          <w:tcPr>
            <w:tcW w:type="dxa" w:w="34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9 types de capteurs, alimentation solaire/batterie LiFePO4, GPS</w:t>
            </w:r>
          </w:p>
        </w:tc>
        <w:tc>
          <w:tcPr>
            <w:tcW w:type="dxa" w:w="26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I2C/SPI, ADC 16-bit, LoRa</w:t>
            </w:r>
          </w:p>
        </w:tc>
        <w:tc>
          <w:tcPr>
            <w:tcW w:type="dxa" w:w="14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Core</w:t>
            </w:r>
          </w:p>
        </w:tc>
      </w:tr>
      <w:tr>
        <w:tc>
          <w:tcPr>
            <w:tcW w:type="dxa" w:w="68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L2</w:t>
            </w:r>
          </w:p>
        </w:tc>
        <w:tc>
          <w:tcPr>
            <w:tcW w:type="dxa" w:w="12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Connectivite</w:t>
            </w:r>
          </w:p>
        </w:tc>
        <w:tc>
          <w:tcPr>
            <w:tcW w:type="dxa" w:w="348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GSM 4G + LoRaWAN + redondance — zero SPOF</w:t>
            </w:r>
          </w:p>
        </w:tc>
        <w:tc>
          <w:tcPr>
            <w:tcW w:type="dxa" w:w="26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LoRaWAN, 4G/LTE</w:t>
            </w:r>
          </w:p>
        </w:tc>
        <w:tc>
          <w:tcPr>
            <w:tcW w:type="dxa" w:w="14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Core</w:t>
            </w:r>
          </w:p>
        </w:tc>
      </w:tr>
      <w:tr>
        <w:tc>
          <w:tcPr>
            <w:tcW w:type="dxa" w:w="6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L3</w:t>
            </w:r>
          </w:p>
        </w:tc>
        <w:tc>
          <w:tcPr>
            <w:tcW w:type="dxa" w:w="12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Edge Computing</w:t>
            </w:r>
          </w:p>
        </w:tc>
        <w:tc>
          <w:tcPr>
            <w:tcW w:type="dxa" w:w="34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Traitement embarque local, anomaly detection, cache 72h</w:t>
            </w:r>
          </w:p>
        </w:tc>
        <w:tc>
          <w:tcPr>
            <w:tcW w:type="dxa" w:w="26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Raspberry Pi 4, TinyML, SQLite</w:t>
            </w:r>
          </w:p>
        </w:tc>
        <w:tc>
          <w:tcPr>
            <w:tcW w:type="dxa" w:w="14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Core</w:t>
            </w:r>
          </w:p>
        </w:tc>
      </w:tr>
      <w:tr>
        <w:tc>
          <w:tcPr>
            <w:tcW w:type="dxa" w:w="68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L4</w:t>
            </w:r>
          </w:p>
        </w:tc>
        <w:tc>
          <w:tcPr>
            <w:tcW w:type="dxa" w:w="12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Stockage &amp; Cloud</w:t>
            </w:r>
          </w:p>
        </w:tc>
        <w:tc>
          <w:tcPr>
            <w:tcW w:type="dxa" w:w="348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Time-series DB, GIS, historique 2 ans, rapports PDF</w:t>
            </w:r>
          </w:p>
        </w:tc>
        <w:tc>
          <w:tcPr>
            <w:tcW w:type="dxa" w:w="26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InfluxDB, PostGIS, Azure/AWS</w:t>
            </w:r>
          </w:p>
        </w:tc>
        <w:tc>
          <w:tcPr>
            <w:tcW w:type="dxa" w:w="14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Core</w:t>
            </w:r>
          </w:p>
        </w:tc>
      </w:tr>
      <w:tr>
        <w:tc>
          <w:tcPr>
            <w:tcW w:type="dxa" w:w="6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L5</w:t>
            </w:r>
          </w:p>
        </w:tc>
        <w:tc>
          <w:tcPr>
            <w:tcW w:type="dxa" w:w="12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Integration DGM</w:t>
            </w:r>
          </w:p>
        </w:tc>
        <w:tc>
          <w:tcPr>
            <w:tcW w:type="dxa" w:w="34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Compatible donnees vigilance DGM + WISER/MENA (integration API soumise a accord)</w:t>
            </w:r>
          </w:p>
        </w:tc>
        <w:tc>
          <w:tcPr>
            <w:tcW w:type="dxa" w:w="26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REST API, WebSocket, CAP</w:t>
            </w:r>
          </w:p>
        </w:tc>
        <w:tc>
          <w:tcPr>
            <w:tcW w:type="dxa" w:w="14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Maroc</w:t>
            </w:r>
          </w:p>
        </w:tc>
      </w:tr>
      <w:tr>
        <w:tc>
          <w:tcPr>
            <w:tcW w:type="dxa" w:w="68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L6</w:t>
            </w:r>
          </w:p>
        </w:tc>
        <w:tc>
          <w:tcPr>
            <w:tcW w:type="dxa" w:w="12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Decision &amp; Alerte</w:t>
            </w:r>
          </w:p>
        </w:tc>
        <w:tc>
          <w:tcPr>
            <w:tcW w:type="dxa" w:w="348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Seuils adaptatifs, regles metier, prevision impact (Roadmap Phase 2)</w:t>
            </w:r>
          </w:p>
        </w:tc>
        <w:tc>
          <w:tcPr>
            <w:tcW w:type="dxa" w:w="26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Rule Engine, ML edge</w:t>
            </w:r>
          </w:p>
        </w:tc>
        <w:tc>
          <w:tcPr>
            <w:tcW w:type="dxa" w:w="14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Core</w:t>
            </w:r>
          </w:p>
        </w:tc>
      </w:tr>
      <w:tr>
        <w:tc>
          <w:tcPr>
            <w:tcW w:type="dxa" w:w="6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L7</w:t>
            </w:r>
          </w:p>
        </w:tc>
        <w:tc>
          <w:tcPr>
            <w:tcW w:type="dxa" w:w="12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Notification</w:t>
            </w:r>
          </w:p>
        </w:tc>
        <w:tc>
          <w:tcPr>
            <w:tcW w:type="dxa" w:w="34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SMS + WhatsApp + sirenes + LED + Dashboard. Format CAP standard.</w:t>
            </w:r>
          </w:p>
        </w:tc>
        <w:tc>
          <w:tcPr>
            <w:tcW w:type="dxa" w:w="26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CAP, WhatsApp API</w:t>
            </w:r>
          </w:p>
        </w:tc>
        <w:tc>
          <w:tcPr>
            <w:tcW w:type="dxa" w:w="14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Core</w:t>
            </w:r>
          </w:p>
        </w:tc>
      </w:tr>
      <w:tr>
        <w:tc>
          <w:tcPr>
            <w:tcW w:type="dxa" w:w="68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L8</w:t>
            </w:r>
          </w:p>
        </w:tc>
        <w:tc>
          <w:tcPr>
            <w:tcW w:type="dxa" w:w="12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Reponse Autonome</w:t>
            </w:r>
          </w:p>
        </w:tc>
        <w:tc>
          <w:tcPr>
            <w:tcW w:type="dxa" w:w="348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Panneaux LED, sirenes. Barrieres automatiques en Roadmap Phase 2.</w:t>
            </w:r>
          </w:p>
        </w:tc>
        <w:tc>
          <w:tcPr>
            <w:tcW w:type="dxa" w:w="26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Actionneurs IoT, MQTT</w:t>
            </w:r>
          </w:p>
        </w:tc>
        <w:tc>
          <w:tcPr>
            <w:tcW w:type="dxa" w:w="14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Core</w:t>
            </w:r>
          </w:p>
        </w:tc>
      </w:tr>
    </w:tbl>
    <w:p>
      <w:pPr>
        <w:spacing w:after="160"/>
      </w:pPr>
      <w:r>
        <w:t xml:space="preserve"/>
      </w:r>
    </w:p>
    <w:p>
      <w:pPr>
        <w:spacing w:after="80" w:before="320"/>
      </w:pPr>
      <w:r>
        <w:rPr>
          <w:rFonts w:ascii="Courier New" w:cs="Courier New" w:eastAsia="Courier New" w:hAnsi="Courier New"/>
          <w:b/>
          <w:bCs/>
          <w:color w:val="6B7E96"/>
          <w:sz w:val="22"/>
          <w:szCs w:val="22"/>
        </w:rPr>
        <w:t xml:space="preserve">06  </w:t>
      </w:r>
      <w:r>
        <w:rPr>
          <w:rFonts w:ascii="Arial" w:cs="Arial" w:eastAsia="Arial" w:hAnsi="Arial"/>
          <w:b/>
          <w:bCs/>
          <w:color w:val="0D2240"/>
          <w:sz w:val="26"/>
          <w:szCs w:val="26"/>
        </w:rPr>
        <w:t xml:space="preserve">Benchmarks Mondiaux — Ce qu'on adopte</w:t>
      </w:r>
    </w:p>
    <w:p>
      <w:pPr>
        <w:pBdr>
          <w:bottom w:val="single" w:color="B45309" w:sz="4"/>
        </w:pBdr>
        <w:spacing w:after="80"/>
      </w:pPr>
      <w:r>
        <w:t xml:space="preserve"/>
      </w:r>
    </w:p>
    <w:p>
      <w:pPr>
        <w:spacing w:after="80"/>
      </w:pPr>
      <w:r>
        <w:t xml:space="preserve"/>
      </w:r>
    </w:p>
    <w:p>
      <w:pPr>
        <w:spacing w:after="40"/>
      </w:pPr>
      <w:r>
        <w:rPr>
          <w:rFonts w:ascii="Arial" w:cs="Arial" w:eastAsia="Arial" w:hAnsi="Arial"/>
          <w:b/>
          <w:bCs/>
          <w:color w:val="BC002D"/>
          <w:sz w:val="22"/>
          <w:szCs w:val="22"/>
        </w:rPr>
        <w:t xml:space="preserve">Japon — J-Alert + XRAIN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C002D" w:sz="1"/>
              <w:left w:val="single" w:color="BC002D" w:sz="12"/>
              <w:bottom w:val="single" w:color="BC002D" w:sz="1"/>
              <w:right w:val="single" w:color="BC002D" w:sz="1"/>
            </w:tcBorders>
            <w:shd w:fill="FFF0F3" w:val="clear"/>
            <w:tcMar>
              <w:top w:type="dxa" w:w="80"/>
              <w:left w:type="dxa" w:w="180"/>
              <w:bottom w:type="dxa" w:w="80"/>
              <w:right w:type="dxa" w:w="180"/>
            </w:tcMar>
          </w:tcPr>
          <w:p>
            <w:r>
              <w:rPr>
                <w:rFonts w:ascii="Arial" w:cs="Arial" w:eastAsia="Arial" w:hAnsi="Arial"/>
                <w:color w:val="0D2240"/>
                <w:sz w:val="20"/>
                <w:szCs w:val="20"/>
              </w:rPr>
              <w:t xml:space="preserve">Philosophie adoptee : prevision basee sur impacts ("ou exactement, dans combien de temps"), systeme multi-canal pour atteindre 100% de la population. Remarque : J-Alert est un systeme national japonais — WadiGuard s'en inspire comme modele de reference, sans pretendre etre equivalent.</w:t>
            </w:r>
          </w:p>
        </w:tc>
      </w:tr>
    </w:tbl>
    <w:p>
      <w:pPr>
        <w:spacing w:after="120"/>
      </w:pPr>
      <w:r>
        <w:t xml:space="preserve"/>
      </w:r>
    </w:p>
    <w:p>
      <w:pPr>
        <w:spacing w:after="40"/>
      </w:pPr>
      <w:r>
        <w:rPr>
          <w:rFonts w:ascii="Arial" w:cs="Arial" w:eastAsia="Arial" w:hAnsi="Arial"/>
          <w:b/>
          <w:bCs/>
          <w:color w:val="DE2910"/>
          <w:sz w:val="22"/>
          <w:szCs w:val="22"/>
        </w:rPr>
        <w:t xml:space="preserve">Chine — NFEWS + Smart Cities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2910" w:sz="1"/>
              <w:left w:val="single" w:color="DE2910" w:sz="12"/>
              <w:bottom w:val="single" w:color="DE2910" w:sz="1"/>
              <w:right w:val="single" w:color="DE2910" w:sz="1"/>
            </w:tcBorders>
            <w:shd w:fill="FFF2F2" w:val="clear"/>
            <w:tcMar>
              <w:top w:type="dxa" w:w="80"/>
              <w:left w:type="dxa" w:w="180"/>
              <w:bottom w:type="dxa" w:w="80"/>
              <w:right w:type="dxa" w:w="180"/>
            </w:tcMar>
          </w:tcPr>
          <w:p>
            <w:r>
              <w:rPr>
                <w:rFonts w:ascii="Arial" w:cs="Arial" w:eastAsia="Arial" w:hAnsi="Arial"/>
                <w:color w:val="0D2240"/>
                <w:sz w:val="20"/>
                <w:szCs w:val="20"/>
              </w:rPr>
              <w:t xml:space="preserve">Philosophie adoptee : connectivite LoRaWAN pour zones rurales sans GSM, architecture edge + cloud. Chiffre de reference : la Chine a deploye plus de 170 000 stations hydrologiques automatiques (source : MWR China Annual Report 2022). WadiGuard adopte cette logique de densification reseau a moindre cout.</w:t>
            </w:r>
          </w:p>
        </w:tc>
      </w:tr>
    </w:tbl>
    <w:p>
      <w:pPr>
        <w:spacing w:after="120"/>
      </w:pPr>
      <w:r>
        <w:t xml:space="preserve"/>
      </w:r>
    </w:p>
    <w:p>
      <w:pPr>
        <w:spacing w:after="40"/>
      </w:pPr>
      <w:r>
        <w:rPr>
          <w:rFonts w:ascii="Arial" w:cs="Arial" w:eastAsia="Arial" w:hAnsi="Arial"/>
          <w:b/>
          <w:bCs/>
          <w:color w:val="1A56DB"/>
          <w:sz w:val="22"/>
          <w:szCs w:val="22"/>
        </w:rPr>
        <w:t xml:space="preserve">Union Europeenne / USA — Standards CAP + Copernicus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2"/>
              <w:bottom w:val="single" w:color="1A56DB" w:sz="1"/>
              <w:right w:val="single" w:color="1A56DB" w:sz="1"/>
            </w:tcBorders>
            <w:shd w:fill="EBF3FF" w:val="clear"/>
            <w:tcMar>
              <w:top w:type="dxa" w:w="80"/>
              <w:left w:type="dxa" w:w="180"/>
              <w:bottom w:type="dxa" w:w="80"/>
              <w:right w:type="dxa" w:w="180"/>
            </w:tcMar>
          </w:tcPr>
          <w:p>
            <w:r>
              <w:rPr>
                <w:rFonts w:ascii="Arial" w:cs="Arial" w:eastAsia="Arial" w:hAnsi="Arial"/>
                <w:color w:val="0D2240"/>
                <w:sz w:val="20"/>
                <w:szCs w:val="20"/>
              </w:rPr>
              <w:t xml:space="preserve">Standard CAP (Common Alerting Protocol) — norme officielle OASIS/WMO pour l'echange de messages d'alerte. Adopte par WadiGuard pour garantir l'interoperabilite. Copernicus EMS : cartes satellite post-inondation en option. Standards WAS*IS (Weather-Ready Nation) pour la formation des autorites.</w:t>
            </w:r>
          </w:p>
        </w:tc>
      </w:tr>
    </w:tbl>
    <w:p>
      <w:pPr>
        <w:spacing w:after="120"/>
      </w:pPr>
      <w:r>
        <w:t xml:space="preserve"/>
      </w:r>
    </w:p>
    <w:p>
      <w:pPr>
        <w:spacing w:after="40"/>
      </w:pPr>
      <w:r>
        <w:rPr>
          <w:rFonts w:ascii="Arial" w:cs="Arial" w:eastAsia="Arial" w:hAnsi="Arial"/>
          <w:b/>
          <w:bCs/>
          <w:color w:val="C1272D"/>
          <w:sz w:val="22"/>
          <w:szCs w:val="22"/>
        </w:rPr>
        <w:t xml:space="preserve">Maroc — DGM Plan Strategique 2024-2027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272D" w:sz="1"/>
              <w:left w:val="single" w:color="C1272D" w:sz="12"/>
              <w:bottom w:val="single" w:color="C1272D" w:sz="1"/>
              <w:right w:val="single" w:color="C1272D" w:sz="1"/>
            </w:tcBorders>
            <w:shd w:fill="FFF1F1" w:val="clear"/>
            <w:tcMar>
              <w:top w:type="dxa" w:w="80"/>
              <w:left w:type="dxa" w:w="180"/>
              <w:bottom w:type="dxa" w:w="80"/>
              <w:right w:type="dxa" w:w="180"/>
            </w:tcMar>
          </w:tcPr>
          <w:p>
            <w:r>
              <w:rPr>
                <w:rFonts w:ascii="Arial" w:cs="Arial" w:eastAsia="Arial" w:hAnsi="Arial"/>
                <w:color w:val="0D2240"/>
                <w:sz w:val="20"/>
                <w:szCs w:val="20"/>
              </w:rPr>
              <w:t xml:space="preserve">WadiGuard repond directement aux objectifs 1.1 (etoffer le systeme national d'alerte) et 1.2 (renforcer la communication). Compatible avec : Vigilance Communale, Vigirisque Inondation, SMART-SMS, WISER/MENA, supercalculateur AMTAR. Integration DGM formelle : soumise a accord institutionnel — formulee comme "compatibilite et future API integration".</w:t>
            </w:r>
          </w:p>
        </w:tc>
      </w:tr>
    </w:tbl>
    <w:p>
      <w:pPr>
        <w:spacing w:after="160"/>
      </w:pPr>
      <w:r>
        <w:t xml:space="preserve"/>
      </w:r>
    </w:p>
    <w:p>
      <w:pPr>
        <w:spacing w:after="80" w:before="320"/>
      </w:pPr>
      <w:r>
        <w:rPr>
          <w:rFonts w:ascii="Courier New" w:cs="Courier New" w:eastAsia="Courier New" w:hAnsi="Courier New"/>
          <w:b/>
          <w:bCs/>
          <w:color w:val="6B7E96"/>
          <w:sz w:val="22"/>
          <w:szCs w:val="22"/>
        </w:rPr>
        <w:t xml:space="preserve">07  </w:t>
      </w:r>
      <w:r>
        <w:rPr>
          <w:rFonts w:ascii="Arial" w:cs="Arial" w:eastAsia="Arial" w:hAnsi="Arial"/>
          <w:b/>
          <w:bCs/>
          <w:color w:val="0D2240"/>
          <w:sz w:val="26"/>
          <w:szCs w:val="26"/>
        </w:rPr>
        <w:t xml:space="preserve">Contexte &amp; Chiffres — Sources Verifiables</w:t>
      </w:r>
    </w:p>
    <w:p>
      <w:pPr>
        <w:pBdr>
          <w:bottom w:val="single" w:color="B91C1C" w:sz="4"/>
        </w:pBd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2"/>
              <w:bottom w:val="single" w:color="B91C1C" w:sz="1"/>
              <w:right w:val="single" w:color="B91C1C" w:sz="1"/>
            </w:tcBorders>
            <w:shd w:fill="FFE4E4" w:val="clear"/>
            <w:tcMar>
              <w:top w:type="dxa" w:w="80"/>
              <w:left w:type="dxa" w:w="180"/>
              <w:bottom w:type="dxa" w:w="80"/>
              <w:right w:type="dxa" w:w="180"/>
            </w:tcMar>
          </w:tcPr>
          <w:p>
            <w:r>
              <w:rPr>
                <w:rFonts w:ascii="Arial" w:cs="Arial" w:eastAsia="Arial" w:hAnsi="Arial"/>
                <w:color w:val="B91C1C"/>
                <w:sz w:val="20"/>
                <w:szCs w:val="20"/>
              </w:rPr>
              <w:t xml:space="preserve">IMPORTANT POUR LE JURY : Tous les chiffres presentes dans cette section sont tires de sources publiques citables. Ne jamais avancer un chiffre sans sa source lors du pitch.</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Metrique</w:t>
            </w:r>
          </w:p>
        </w:tc>
        <w:tc>
          <w:tcPr>
            <w:tcW w:type="dxa" w:w="336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Valeur / Formulation</w:t>
            </w:r>
          </w:p>
        </w:tc>
        <w:tc>
          <w:tcPr>
            <w:tcW w:type="dxa" w:w="320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Source &amp; Statut</w:t>
            </w:r>
          </w:p>
        </w:tc>
      </w:tr>
      <w:tr>
        <w:tc>
          <w:tcPr>
            <w:tcW w:type="dxa" w:w="28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Pertes inondations Maroc</w:t>
            </w:r>
          </w:p>
        </w:tc>
        <w:tc>
          <w:tcPr>
            <w:tcW w:type="dxa" w:w="336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~450 M$/an (2000-2021, estimation)</w:t>
            </w:r>
          </w:p>
        </w:tc>
        <w:tc>
          <w:tcPr>
            <w:tcW w:type="dxa" w:w="32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Banque Mondiale 2022 — a verifier avant pitch</w:t>
            </w:r>
          </w:p>
        </w:tc>
      </w:tr>
      <w:tr>
        <w:tc>
          <w:tcPr>
            <w:tcW w:type="dxa" w:w="28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Evenements majeurs</w:t>
            </w:r>
          </w:p>
        </w:tc>
        <w:tc>
          <w:tcPr>
            <w:tcW w:type="dxa" w:w="336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20 inondations majeures (2000-2021)</w:t>
            </w:r>
          </w:p>
        </w:tc>
        <w:tc>
          <w:tcPr>
            <w:tcW w:type="dxa" w:w="32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DGM / PS 2024-2027 — citeable</w:t>
            </w:r>
          </w:p>
        </w:tc>
      </w:tr>
      <w:tr>
        <w:tc>
          <w:tcPr>
            <w:tcW w:type="dxa" w:w="28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Reduction pertes humaines (EWS)</w:t>
            </w:r>
          </w:p>
        </w:tc>
        <w:tc>
          <w:tcPr>
            <w:tcW w:type="dxa" w:w="336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Significative — eviter "95%" sans source precise</w:t>
            </w:r>
          </w:p>
        </w:tc>
        <w:tc>
          <w:tcPr>
            <w:tcW w:type="dxa" w:w="32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UNDRR / WMO — reformuler : "les EWS reduisent significativement les victimes"</w:t>
            </w:r>
          </w:p>
        </w:tc>
      </w:tr>
      <w:tr>
        <w:tc>
          <w:tcPr>
            <w:tcW w:type="dxa" w:w="28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ROI systemes alerte</w:t>
            </w:r>
          </w:p>
        </w:tc>
        <w:tc>
          <w:tcPr>
            <w:tcW w:type="dxa" w:w="336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Ne pas citer 3.37x ROI sans rapport DGM Al-Ghait</w:t>
            </w:r>
          </w:p>
        </w:tc>
        <w:tc>
          <w:tcPr>
            <w:tcW w:type="dxa" w:w="32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Si non disponible : citer UNDRR "1$ investi = 6$ economies" (source WMO 2015)</w:t>
            </w:r>
          </w:p>
        </w:tc>
      </w:tr>
      <w:tr>
        <w:tc>
          <w:tcPr>
            <w:tcW w:type="dxa" w:w="28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Stations hydrologiques Chine</w:t>
            </w:r>
          </w:p>
        </w:tc>
        <w:tc>
          <w:tcPr>
            <w:tcW w:type="dxa" w:w="336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170 000+ stations automatiques</w:t>
            </w:r>
          </w:p>
        </w:tc>
        <w:tc>
          <w:tcPr>
            <w:tcW w:type="dxa" w:w="32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MWR China Annual Report 2022 — citeable</w:t>
            </w:r>
          </w:p>
        </w:tc>
      </w:tr>
      <w:tr>
        <w:tc>
          <w:tcPr>
            <w:tcW w:type="dxa" w:w="28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Integration DGM</w:t>
            </w:r>
          </w:p>
        </w:tc>
        <w:tc>
          <w:tcPr>
            <w:tcW w:type="dxa" w:w="336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Compatible donnees vigilance DGM — future API integration</w:t>
            </w:r>
          </w:p>
        </w:tc>
        <w:tc>
          <w:tcPr>
            <w:tcW w:type="dxa" w:w="32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Ne pas promettre acces direct sans accord signe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2"/>
              <w:bottom w:val="single" w:color="1A56DB" w:sz="1"/>
              <w:right w:val="single" w:color="1A56DB" w:sz="1"/>
            </w:tcBorders>
            <w:shd w:fill="EBF3FF" w:val="clear"/>
            <w:tcMar>
              <w:top w:type="dxa" w:w="80"/>
              <w:left w:type="dxa" w:w="180"/>
              <w:bottom w:type="dxa" w:w="80"/>
              <w:right w:type="dxa" w:w="180"/>
            </w:tcMar>
          </w:tcPr>
          <w:p>
            <w:r>
              <w:rPr>
                <w:rFonts w:ascii="Arial" w:cs="Arial" w:eastAsia="Arial" w:hAnsi="Arial"/>
                <w:color w:val="0D2240"/>
                <w:sz w:val="20"/>
                <w:szCs w:val="20"/>
              </w:rPr>
              <w:t xml:space="preserve">REFORMULATION RECOMMANDEE pour le pitch : "Les systemes d'alerte precoce reduisent les pertes humaines de maniere significative. L'UNDRR estime qu'un dollar investi dans la prevention peut eviter six dollars de pertes (WMO, 2015). Au Maroc, 20 inondations majeures entre 2000 et 2021 ont cause des centaines de victimes et des pertes estimees a plusieurs centaines de millions de dollars par an (estimation Banque Mondiale)."</w:t>
            </w:r>
          </w:p>
        </w:tc>
      </w:tr>
    </w:tbl>
    <w:p>
      <w:pPr>
        <w:spacing w:after="160"/>
      </w:pPr>
      <w:r>
        <w:t xml:space="preserve"/>
      </w:r>
    </w:p>
    <w:p>
      <w:pPr>
        <w:spacing w:after="80" w:before="320"/>
      </w:pPr>
      <w:r>
        <w:rPr>
          <w:rFonts w:ascii="Courier New" w:cs="Courier New" w:eastAsia="Courier New" w:hAnsi="Courier New"/>
          <w:b/>
          <w:bCs/>
          <w:color w:val="6B7E96"/>
          <w:sz w:val="22"/>
          <w:szCs w:val="22"/>
        </w:rPr>
        <w:t xml:space="preserve">08  </w:t>
      </w:r>
      <w:r>
        <w:rPr>
          <w:rFonts w:ascii="Arial" w:cs="Arial" w:eastAsia="Arial" w:hAnsi="Arial"/>
          <w:b/>
          <w:bCs/>
          <w:color w:val="0D2240"/>
          <w:sz w:val="26"/>
          <w:szCs w:val="26"/>
        </w:rPr>
        <w:t xml:space="preserve">Canaux d'Alerte — Architecture Multi-Couches</w:t>
      </w:r>
    </w:p>
    <w:p>
      <w:pPr>
        <w:pBdr>
          <w:bottom w:val="single" w:color="15803D" w:sz="4"/>
        </w:pBd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360"/>
        <w:gridCol w:w="1400"/>
        <w:gridCol w:w="800"/>
      </w:tblGrid>
      <w:tr>
        <w:trPr>
          <w:tblHeader/>
        </w:trPr>
        <w:tc>
          <w:tcPr>
            <w:tcW w:type="dxa" w:w="60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
            </w:r>
          </w:p>
        </w:tc>
        <w:tc>
          <w:tcPr>
            <w:tcW w:type="dxa" w:w="220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Canal</w:t>
            </w:r>
          </w:p>
        </w:tc>
        <w:tc>
          <w:tcPr>
            <w:tcW w:type="dxa" w:w="436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c>
          <w:tcPr>
            <w:tcW w:type="dxa" w:w="140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Statut</w:t>
            </w:r>
          </w:p>
        </w:tc>
        <w:tc>
          <w:tcPr>
            <w:tcW w:type="dxa" w:w="80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Phase</w:t>
            </w:r>
          </w:p>
        </w:tc>
      </w:tr>
      <w:tr>
        <w:tc>
          <w:tcPr>
            <w:tcW w:type="dxa" w:w="6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w:t>
            </w:r>
          </w:p>
        </w:tc>
        <w:tc>
          <w:tcPr>
            <w:tcW w:type="dxa" w:w="22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SMS masse</w:t>
            </w:r>
          </w:p>
        </w:tc>
        <w:tc>
          <w:tcPr>
            <w:tcW w:type="dxa" w:w="436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Couverture large zone a risque via operateurs. Format CAP.</w:t>
            </w:r>
          </w:p>
        </w:tc>
        <w:tc>
          <w:tcPr>
            <w:tcW w:type="dxa" w:w="14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CRITIQUE</w:t>
            </w:r>
          </w:p>
        </w:tc>
        <w:tc>
          <w:tcPr>
            <w:tcW w:type="dxa" w:w="8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Core</w:t>
            </w:r>
          </w:p>
        </w:tc>
      </w:tr>
      <w:tr>
        <w:tc>
          <w:tcPr>
            <w:tcW w:type="dxa" w:w="6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w:t>
            </w:r>
          </w:p>
        </w:tc>
        <w:tc>
          <w:tcPr>
            <w:tcW w:type="dxa" w:w="22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WhatsApp Business</w:t>
            </w:r>
          </w:p>
        </w:tc>
        <w:tc>
          <w:tcPr>
            <w:tcW w:type="dxa" w:w="436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Message + carte zone inondee + instructions evacuation</w:t>
            </w:r>
          </w:p>
        </w:tc>
        <w:tc>
          <w:tcPr>
            <w:tcW w:type="dxa" w:w="14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CORE</w:t>
            </w:r>
          </w:p>
        </w:tc>
        <w:tc>
          <w:tcPr>
            <w:tcW w:type="dxa" w:w="8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Core</w:t>
            </w:r>
          </w:p>
        </w:tc>
      </w:tr>
      <w:tr>
        <w:tc>
          <w:tcPr>
            <w:tcW w:type="dxa" w:w="6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w:t>
            </w:r>
          </w:p>
        </w:tc>
        <w:tc>
          <w:tcPr>
            <w:tcW w:type="dxa" w:w="22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App Mobile WadiGuard</w:t>
            </w:r>
          </w:p>
        </w:tc>
        <w:tc>
          <w:tcPr>
            <w:tcW w:type="dxa" w:w="436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Push notification + carte live + signalement citoyen</w:t>
            </w:r>
          </w:p>
        </w:tc>
        <w:tc>
          <w:tcPr>
            <w:tcW w:type="dxa" w:w="14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CORE</w:t>
            </w:r>
          </w:p>
        </w:tc>
        <w:tc>
          <w:tcPr>
            <w:tcW w:type="dxa" w:w="8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Core</w:t>
            </w:r>
          </w:p>
        </w:tc>
      </w:tr>
      <w:tr>
        <w:tc>
          <w:tcPr>
            <w:tcW w:type="dxa" w:w="6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w:t>
            </w:r>
          </w:p>
        </w:tc>
        <w:tc>
          <w:tcPr>
            <w:tcW w:type="dxa" w:w="22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Sirenes + Hauts-parleurs</w:t>
            </w:r>
          </w:p>
        </w:tc>
        <w:tc>
          <w:tcPr>
            <w:tcW w:type="dxa" w:w="436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Son 110dB, portee 500m. Message vocal Darija + Francais + Amazigh</w:t>
            </w:r>
          </w:p>
        </w:tc>
        <w:tc>
          <w:tcPr>
            <w:tcW w:type="dxa" w:w="14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CRITIQUE</w:t>
            </w:r>
          </w:p>
        </w:tc>
        <w:tc>
          <w:tcPr>
            <w:tcW w:type="dxa" w:w="8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Core</w:t>
            </w:r>
          </w:p>
        </w:tc>
      </w:tr>
      <w:tr>
        <w:tc>
          <w:tcPr>
            <w:tcW w:type="dxa" w:w="6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w:t>
            </w:r>
          </w:p>
        </w:tc>
        <w:tc>
          <w:tcPr>
            <w:tcW w:type="dxa" w:w="22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Dashboard Autorites</w:t>
            </w:r>
          </w:p>
        </w:tc>
        <w:tc>
          <w:tcPr>
            <w:tcW w:type="dxa" w:w="436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Protection Civile, DGM, DGRN. Declenchement manuel. API REST.</w:t>
            </w:r>
          </w:p>
        </w:tc>
        <w:tc>
          <w:tcPr>
            <w:tcW w:type="dxa" w:w="14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CORE</w:t>
            </w:r>
          </w:p>
        </w:tc>
        <w:tc>
          <w:tcPr>
            <w:tcW w:type="dxa" w:w="8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Core</w:t>
            </w:r>
          </w:p>
        </w:tc>
      </w:tr>
      <w:tr>
        <w:tc>
          <w:tcPr>
            <w:tcW w:type="dxa" w:w="6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w:t>
            </w:r>
          </w:p>
        </w:tc>
        <w:tc>
          <w:tcPr>
            <w:tcW w:type="dxa" w:w="22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LED Routiers</w:t>
            </w:r>
          </w:p>
        </w:tc>
        <w:tc>
          <w:tcPr>
            <w:tcW w:type="dxa" w:w="436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Panneaux dynamiques avant passages a risque. Automatique.</w:t>
            </w:r>
          </w:p>
        </w:tc>
        <w:tc>
          <w:tcPr>
            <w:tcW w:type="dxa" w:w="14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CORE</w:t>
            </w:r>
          </w:p>
        </w:tc>
        <w:tc>
          <w:tcPr>
            <w:tcW w:type="dxa" w:w="8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Core</w:t>
            </w:r>
          </w:p>
        </w:tc>
      </w:tr>
      <w:tr>
        <w:tc>
          <w:tcPr>
            <w:tcW w:type="dxa" w:w="6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w:t>
            </w:r>
          </w:p>
        </w:tc>
        <w:tc>
          <w:tcPr>
            <w:tcW w:type="dxa" w:w="22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Email institutionnel</w:t>
            </w:r>
          </w:p>
        </w:tc>
        <w:tc>
          <w:tcPr>
            <w:tcW w:type="dxa" w:w="436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Rapport automatique PDF aux autorites apres chaque evenement</w:t>
            </w:r>
          </w:p>
        </w:tc>
        <w:tc>
          <w:tcPr>
            <w:tcW w:type="dxa" w:w="14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CORE</w:t>
            </w:r>
          </w:p>
        </w:tc>
        <w:tc>
          <w:tcPr>
            <w:tcW w:type="dxa" w:w="8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Core</w:t>
            </w:r>
          </w:p>
        </w:tc>
      </w:tr>
      <w:tr>
        <w:tc>
          <w:tcPr>
            <w:tcW w:type="dxa" w:w="6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w:t>
            </w:r>
          </w:p>
        </w:tc>
        <w:tc>
          <w:tcPr>
            <w:tcW w:type="dxa" w:w="22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Cell Broadcast</w:t>
            </w:r>
          </w:p>
        </w:tc>
        <w:tc>
          <w:tcPr>
            <w:tcW w:type="dxa" w:w="436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SMS simultane 100% telephones zone (sans liste abonnes) — necessite accord operateurs</w:t>
            </w:r>
          </w:p>
        </w:tc>
        <w:tc>
          <w:tcPr>
            <w:tcW w:type="dxa" w:w="14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ROADMAP</w:t>
            </w:r>
          </w:p>
        </w:tc>
        <w:tc>
          <w:tcPr>
            <w:tcW w:type="dxa" w:w="8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Phase 4</w:t>
            </w:r>
          </w:p>
        </w:tc>
      </w:tr>
      <w:tr>
        <w:tc>
          <w:tcPr>
            <w:tcW w:type="dxa" w:w="6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w:t>
            </w:r>
          </w:p>
        </w:tc>
        <w:tc>
          <w:tcPr>
            <w:tcW w:type="dxa" w:w="22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Radio FM</w:t>
            </w:r>
          </w:p>
        </w:tc>
        <w:tc>
          <w:tcPr>
            <w:tcW w:type="dxa" w:w="436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API interruption automatique stations locales — inspire J-Alert Japan</w:t>
            </w:r>
          </w:p>
        </w:tc>
        <w:tc>
          <w:tcPr>
            <w:tcW w:type="dxa" w:w="14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ROADMAP</w:t>
            </w:r>
          </w:p>
        </w:tc>
        <w:tc>
          <w:tcPr>
            <w:tcW w:type="dxa" w:w="8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Phase 4</w:t>
            </w:r>
          </w:p>
        </w:tc>
      </w:tr>
    </w:tbl>
    <w:p>
      <w:pPr>
        <w:spacing w:after="160"/>
      </w:pPr>
      <w:r>
        <w:t xml:space="preserve"/>
      </w:r>
    </w:p>
    <w:p>
      <w:pPr>
        <w:spacing w:after="80" w:before="320"/>
      </w:pPr>
      <w:r>
        <w:rPr>
          <w:rFonts w:ascii="Courier New" w:cs="Courier New" w:eastAsia="Courier New" w:hAnsi="Courier New"/>
          <w:b/>
          <w:bCs/>
          <w:color w:val="6B7E96"/>
          <w:sz w:val="22"/>
          <w:szCs w:val="22"/>
        </w:rPr>
        <w:t xml:space="preserve">09  </w:t>
      </w:r>
      <w:r>
        <w:rPr>
          <w:rFonts w:ascii="Arial" w:cs="Arial" w:eastAsia="Arial" w:hAnsi="Arial"/>
          <w:b/>
          <w:bCs/>
          <w:color w:val="0D2240"/>
          <w:sz w:val="26"/>
          <w:szCs w:val="26"/>
        </w:rPr>
        <w:t xml:space="preserve">Comparaison V2 → V3</w:t>
      </w:r>
    </w:p>
    <w:p>
      <w:pPr>
        <w:pBdr>
          <w:bottom w:val="single" w:color="1A56DB" w:sz="4"/>
        </w:pBd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80"/>
        <w:gridCol w:w="3280"/>
        <w:gridCol w:w="1200"/>
      </w:tblGrid>
      <w:tr>
        <w:trPr>
          <w:tblHeader/>
        </w:trPr>
        <w:tc>
          <w:tcPr>
            <w:tcW w:type="dxa" w:w="160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Dimension</w:t>
            </w:r>
          </w:p>
        </w:tc>
        <w:tc>
          <w:tcPr>
            <w:tcW w:type="dxa" w:w="328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V2 (etat initial)</w:t>
            </w:r>
          </w:p>
        </w:tc>
        <w:tc>
          <w:tcPr>
            <w:tcW w:type="dxa" w:w="328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V3 (ameliorations)</w:t>
            </w:r>
          </w:p>
        </w:tc>
        <w:tc>
          <w:tcPr>
            <w:tcW w:type="dxa" w:w="1200"/>
            <w:tcBorders>
              <w:top w:val="single" w:color="0D2240" w:sz="1"/>
              <w:left w:val="single" w:color="DDE3EC" w:sz="1"/>
              <w:bottom w:val="single" w:color="0D2240" w:sz="1"/>
              <w:right w:val="single" w:color="DDE3EC" w:sz="1"/>
            </w:tcBorders>
            <w:shd w:fill="0D2240"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Delta</w:t>
            </w:r>
          </w:p>
        </w:tc>
      </w:tr>
      <w:tr>
        <w:tc>
          <w:tcPr>
            <w:tcW w:type="dxa" w:w="16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Intelligence</w:t>
            </w:r>
          </w:p>
        </w:tc>
        <w:tc>
          <w:tcPr>
            <w:tcW w:type="dxa" w:w="32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Seuils fixes, regles statiques — features IA peu demontrables</w:t>
            </w:r>
          </w:p>
        </w:tc>
        <w:tc>
          <w:tcPr>
            <w:tcW w:type="dxa" w:w="32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1 modele ML concret (impact forecast Phase 2), edge computing, maintenance predictive</w:t>
            </w:r>
          </w:p>
        </w:tc>
        <w:tc>
          <w:tcPr>
            <w:tcW w:type="dxa" w:w="12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+Concret</w:t>
            </w:r>
          </w:p>
        </w:tc>
      </w:tr>
      <w:tr>
        <w:tc>
          <w:tcPr>
            <w:tcW w:type="dxa" w:w="16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Sources donnees</w:t>
            </w:r>
          </w:p>
        </w:tc>
        <w:tc>
          <w:tcPr>
            <w:tcW w:type="dxa" w:w="328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Capteurs locaux uniquement</w:t>
            </w:r>
          </w:p>
        </w:tc>
        <w:tc>
          <w:tcPr>
            <w:tcW w:type="dxa" w:w="328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Compatible DGM + WISER/MENA + crowdsourcing + Copernicus optionnel</w:t>
            </w:r>
          </w:p>
        </w:tc>
        <w:tc>
          <w:tcPr>
            <w:tcW w:type="dxa" w:w="12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+4 sources</w:t>
            </w:r>
          </w:p>
        </w:tc>
      </w:tr>
      <w:tr>
        <w:tc>
          <w:tcPr>
            <w:tcW w:type="dxa" w:w="16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Canaux alerte</w:t>
            </w:r>
          </w:p>
        </w:tc>
        <w:tc>
          <w:tcPr>
            <w:tcW w:type="dxa" w:w="32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5 canaux (SMS, WhatsApp, app, sirene, email)</w:t>
            </w:r>
          </w:p>
        </w:tc>
        <w:tc>
          <w:tcPr>
            <w:tcW w:type="dxa" w:w="32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8 canaux + format CAP standard + Cell Broadcast (Roadmap)</w:t>
            </w:r>
          </w:p>
        </w:tc>
        <w:tc>
          <w:tcPr>
            <w:tcW w:type="dxa" w:w="12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+3</w:t>
            </w:r>
          </w:p>
        </w:tc>
      </w:tr>
      <w:tr>
        <w:tc>
          <w:tcPr>
            <w:tcW w:type="dxa" w:w="16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Standard technique</w:t>
            </w:r>
          </w:p>
        </w:tc>
        <w:tc>
          <w:tcPr>
            <w:tcW w:type="dxa" w:w="328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Systeme proprietaire, pas d'interoperabilite</w:t>
            </w:r>
          </w:p>
        </w:tc>
        <w:tc>
          <w:tcPr>
            <w:tcW w:type="dxa" w:w="328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Format CAP officiel — compatible tout systeme externe</w:t>
            </w:r>
          </w:p>
        </w:tc>
        <w:tc>
          <w:tcPr>
            <w:tcW w:type="dxa" w:w="12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+CAP</w:t>
            </w:r>
          </w:p>
        </w:tc>
      </w:tr>
      <w:tr>
        <w:tc>
          <w:tcPr>
            <w:tcW w:type="dxa" w:w="16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Integration DGM</w:t>
            </w:r>
          </w:p>
        </w:tc>
        <w:tc>
          <w:tcPr>
            <w:tcW w:type="dxa" w:w="32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Aucune</w:t>
            </w:r>
          </w:p>
        </w:tc>
        <w:tc>
          <w:tcPr>
            <w:tcW w:type="dxa" w:w="32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Compatible donnees vigilance — future API integration soumise a accord</w:t>
            </w:r>
          </w:p>
        </w:tc>
        <w:tc>
          <w:tcPr>
            <w:tcW w:type="dxa" w:w="12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+Echelon</w:t>
            </w:r>
          </w:p>
        </w:tc>
      </w:tr>
      <w:tr>
        <w:tc>
          <w:tcPr>
            <w:tcW w:type="dxa" w:w="16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Connectivite</w:t>
            </w:r>
          </w:p>
        </w:tc>
        <w:tc>
          <w:tcPr>
            <w:tcW w:type="dxa" w:w="328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GSM + LoRa basique</w:t>
            </w:r>
          </w:p>
        </w:tc>
        <w:tc>
          <w:tcPr>
            <w:tcW w:type="dxa" w:w="328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GSM 4G + LoRaWAN + redondance — zero SPOF</w:t>
            </w:r>
          </w:p>
        </w:tc>
        <w:tc>
          <w:tcPr>
            <w:tcW w:type="dxa" w:w="12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+Resilience</w:t>
            </w:r>
          </w:p>
        </w:tc>
      </w:tr>
      <w:tr>
        <w:tc>
          <w:tcPr>
            <w:tcW w:type="dxa" w:w="16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Credibilite jury</w:t>
            </w:r>
          </w:p>
        </w:tc>
        <w:tc>
          <w:tcPr>
            <w:tcW w:type="dxa" w:w="32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Features nombreuses, peu demontrables</w:t>
            </w:r>
          </w:p>
        </w:tc>
        <w:tc>
          <w:tcPr>
            <w:tcW w:type="dxa" w:w="32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10 core features claires + roadmap structuree</w:t>
            </w:r>
          </w:p>
        </w:tc>
        <w:tc>
          <w:tcPr>
            <w:tcW w:type="dxa" w:w="12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+Impact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80"/>
              <w:left w:type="dxa" w:w="180"/>
              <w:bottom w:type="dxa" w:w="80"/>
              <w:right w:type="dxa" w:w="180"/>
            </w:tcMar>
          </w:tcPr>
          <w:p>
            <w:r>
              <w:rPr>
                <w:rFonts w:ascii="Arial" w:cs="Arial" w:eastAsia="Arial" w:hAnsi="Arial"/>
                <w:color w:val="0D2240"/>
                <w:sz w:val="20"/>
                <w:szCs w:val="20"/>
              </w:rPr>
              <w:t xml:space="preserve">Philosophie V3 : Moins de features "impressionnantes sur papier", plus de features demontrables et justifiees. Chaque composant repond a une question precise du jury : "pourquoi ce choix ?" — et la reponse est toujours ancree dans un standard reconnu ou une pratique prouvee.</w:t>
            </w:r>
          </w:p>
        </w:tc>
      </w:tr>
    </w:tbl>
    <w:p>
      <w:pPr>
        <w:spacing w:after="160"/>
      </w:pPr>
      <w:r>
        <w:t xml:space="preserve"/>
      </w:r>
    </w:p>
    <w:p>
      <w:pPr>
        <w:spacing w:after="80" w:before="320"/>
      </w:pPr>
      <w:r>
        <w:rPr>
          <w:rFonts w:ascii="Courier New" w:cs="Courier New" w:eastAsia="Courier New" w:hAnsi="Courier New"/>
          <w:b/>
          <w:bCs/>
          <w:color w:val="6B7E96"/>
          <w:sz w:val="22"/>
          <w:szCs w:val="22"/>
        </w:rPr>
        <w:t xml:space="preserve">10  </w:t>
      </w:r>
      <w:r>
        <w:rPr>
          <w:rFonts w:ascii="Arial" w:cs="Arial" w:eastAsia="Arial" w:hAnsi="Arial"/>
          <w:b/>
          <w:bCs/>
          <w:color w:val="0D2240"/>
          <w:sz w:val="26"/>
          <w:szCs w:val="26"/>
        </w:rPr>
        <w:t xml:space="preserve">Points a Reformuler pour le Jury Technique</w:t>
      </w:r>
    </w:p>
    <w:p>
      <w:pPr>
        <w:pBdr>
          <w:bottom w:val="single" w:color="B91C1C" w:sz="4"/>
        </w:pBd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2"/>
              <w:bottom w:val="single" w:color="B91C1C" w:sz="1"/>
              <w:right w:val="single" w:color="B91C1C" w:sz="1"/>
            </w:tcBorders>
            <w:shd w:fill="FFE4E4" w:val="clear"/>
            <w:tcMar>
              <w:top w:type="dxa" w:w="80"/>
              <w:left w:type="dxa" w:w="180"/>
              <w:bottom w:type="dxa" w:w="80"/>
              <w:right w:type="dxa" w:w="180"/>
            </w:tcMar>
          </w:tcPr>
          <w:p>
            <w:r>
              <w:rPr>
                <w:rFonts w:ascii="Arial" w:cs="Arial" w:eastAsia="Arial" w:hAnsi="Arial"/>
                <w:color w:val="B91C1C"/>
                <w:sz w:val="20"/>
                <w:szCs w:val="20"/>
              </w:rPr>
              <w:t xml:space="preserve">Ces elements ne sont pas retires du projet — ils sont reformules pour etre defenables face a un jury technique qui peut attaquer chaque affirmation.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80"/>
        <w:gridCol w:w="3880"/>
      </w:tblGrid>
      <w:tr>
        <w:trPr>
          <w:tblHeader/>
        </w:trPr>
        <w:tc>
          <w:tcPr>
            <w:tcW w:type="dxa" w:w="2400"/>
            <w:tcBorders>
              <w:top w:val="single" w:color="B91C1C" w:sz="1"/>
              <w:left w:val="single" w:color="DDE3EC" w:sz="1"/>
              <w:bottom w:val="single" w:color="B91C1C" w:sz="1"/>
              <w:right w:val="single" w:color="DDE3EC" w:sz="1"/>
            </w:tcBorders>
            <w:shd w:fill="B91C1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Element problematique</w:t>
            </w:r>
          </w:p>
        </w:tc>
        <w:tc>
          <w:tcPr>
            <w:tcW w:type="dxa" w:w="3080"/>
            <w:tcBorders>
              <w:top w:val="single" w:color="B91C1C" w:sz="1"/>
              <w:left w:val="single" w:color="DDE3EC" w:sz="1"/>
              <w:bottom w:val="single" w:color="B91C1C" w:sz="1"/>
              <w:right w:val="single" w:color="DDE3EC" w:sz="1"/>
            </w:tcBorders>
            <w:shd w:fill="B91C1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Pourquoi c'est risque</w:t>
            </w:r>
          </w:p>
        </w:tc>
        <w:tc>
          <w:tcPr>
            <w:tcW w:type="dxa" w:w="3880"/>
            <w:tcBorders>
              <w:top w:val="single" w:color="B91C1C" w:sz="1"/>
              <w:left w:val="single" w:color="DDE3EC" w:sz="1"/>
              <w:bottom w:val="single" w:color="B91C1C" w:sz="1"/>
              <w:right w:val="single" w:color="DDE3EC" w:sz="1"/>
            </w:tcBorders>
            <w:shd w:fill="B91C1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Reformulation recommandee</w:t>
            </w:r>
          </w:p>
        </w:tc>
      </w:tr>
      <w:tr>
        <w:tc>
          <w:tcPr>
            <w:tcW w:type="dxa" w:w="24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"Digital Twin complet"</w:t>
            </w:r>
          </w:p>
        </w:tc>
        <w:tc>
          <w:tcPr>
            <w:tcW w:type="dxa" w:w="30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Terme industriel qui necessite annees de R&amp;D et budget important. Non demostratable en hackathon.</w:t>
            </w:r>
          </w:p>
        </w:tc>
        <w:tc>
          <w:tcPr>
            <w:tcW w:type="dxa" w:w="38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"Simulation hydrologique visuelle" — meme concept, plus honnete et defendale.</w:t>
            </w:r>
          </w:p>
        </w:tc>
      </w:tr>
      <w:tr>
        <w:tc>
          <w:tcPr>
            <w:tcW w:type="dxa" w:w="24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"95% reduction" (J-Alert)</w:t>
            </w:r>
          </w:p>
        </w:tc>
        <w:tc>
          <w:tcPr>
            <w:tcW w:type="dxa" w:w="308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Chiffre attribuable sans source precise — jury peut demander la reference.</w:t>
            </w:r>
          </w:p>
        </w:tc>
        <w:tc>
          <w:tcPr>
            <w:tcW w:type="dxa" w:w="388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"Reducation significative des victimes selon UNDRR/WMO" — sans chiffre non sourced.</w:t>
            </w:r>
          </w:p>
        </w:tc>
      </w:tr>
      <w:tr>
        <w:tc>
          <w:tcPr>
            <w:tcW w:type="dxa" w:w="24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"450M$/an pertes" (Maroc)</w:t>
            </w:r>
          </w:p>
        </w:tc>
        <w:tc>
          <w:tcPr>
            <w:tcW w:type="dxa" w:w="30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Estimation a verifier. Source BM mais annee et methodologie a confirmer.</w:t>
            </w:r>
          </w:p>
        </w:tc>
        <w:tc>
          <w:tcPr>
            <w:tcW w:type="dxa" w:w="38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Citer explicitement : "(estimation Banque Mondiale, rapport 2022)" ou reformuler "plusieurs centaines de millions".</w:t>
            </w:r>
          </w:p>
        </w:tc>
      </w:tr>
      <w:tr>
        <w:tc>
          <w:tcPr>
            <w:tcW w:type="dxa" w:w="24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"3.37x ROI Al-Ghait"</w:t>
            </w:r>
          </w:p>
        </w:tc>
        <w:tc>
          <w:tcPr>
            <w:tcW w:type="dxa" w:w="308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Chiffre DGM interne — non verifiable par le jury sans le rapport source.</w:t>
            </w:r>
          </w:p>
        </w:tc>
        <w:tc>
          <w:tcPr>
            <w:tcW w:type="dxa" w:w="388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Utiliser UNDRR "1$ investi = 6$ economies" (WMO 2015) — reference internationale citeable.</w:t>
            </w:r>
          </w:p>
        </w:tc>
      </w:tr>
      <w:tr>
        <w:tc>
          <w:tcPr>
            <w:tcW w:type="dxa" w:w="24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"Integration directe DGM"</w:t>
            </w:r>
          </w:p>
        </w:tc>
        <w:tc>
          <w:tcPr>
            <w:tcW w:type="dxa" w:w="30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Promettre un acces API qu'on n'a pas encore peut disqualifier le projet.</w:t>
            </w:r>
          </w:p>
        </w:tc>
        <w:tc>
          <w:tcPr>
            <w:tcW w:type="dxa" w:w="38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"Compatible avec les donnees de vigilance DGM — integration API en cours de negociation."</w:t>
            </w:r>
          </w:p>
        </w:tc>
      </w:tr>
      <w:tr>
        <w:tc>
          <w:tcPr>
            <w:tcW w:type="dxa" w:w="240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"170 000 stations" (Chine)</w:t>
            </w:r>
          </w:p>
        </w:tc>
        <w:tc>
          <w:tcPr>
            <w:tcW w:type="dxa" w:w="308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Chiffre verifiable mais necessite citation explicite.</w:t>
            </w:r>
          </w:p>
        </w:tc>
        <w:tc>
          <w:tcPr>
            <w:tcW w:type="dxa" w:w="3880"/>
            <w:tcBorders>
              <w:top w:val="single" w:color="DDE3EC" w:sz="1"/>
              <w:left w:val="single" w:color="DDE3EC" w:sz="1"/>
              <w:bottom w:val="single" w:color="DDE3EC" w:sz="1"/>
              <w:right w:val="single" w:color="DDE3EC" w:sz="1"/>
            </w:tcBorders>
            <w:shd w:fill="F5F7FA" w:val="clear"/>
            <w:tcMar>
              <w:top w:type="dxa" w:w="70"/>
              <w:left w:type="dxa" w:w="120"/>
              <w:bottom w:type="dxa" w:w="70"/>
              <w:right w:type="dxa" w:w="120"/>
            </w:tcMar>
          </w:tcPr>
          <w:p>
            <w:r>
              <w:rPr>
                <w:rFonts w:ascii="Arial" w:cs="Arial" w:eastAsia="Arial" w:hAnsi="Arial"/>
                <w:color w:val="3A5070"/>
                <w:sz w:val="19"/>
                <w:szCs w:val="19"/>
              </w:rPr>
              <w:t xml:space="preserve">Citer : "(source : MWR China Annual Report 2022)" — le chiffre est exact et citeable.</w:t>
            </w:r>
          </w:p>
        </w:tc>
      </w:tr>
      <w:tr>
        <w:tc>
          <w:tcPr>
            <w:tcW w:type="dxa" w:w="240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"Equivalent J-Alert marocain"</w:t>
            </w:r>
          </w:p>
        </w:tc>
        <w:tc>
          <w:tcPr>
            <w:tcW w:type="dxa" w:w="30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J-Alert est un systeme national etatique. WadiGuard est local et prive.</w:t>
            </w:r>
          </w:p>
        </w:tc>
        <w:tc>
          <w:tcPr>
            <w:tcW w:type="dxa" w:w="3880"/>
            <w:tcBorders>
              <w:top w:val="single" w:color="DDE3EC" w:sz="1"/>
              <w:left w:val="single" w:color="DDE3EC" w:sz="1"/>
              <w:bottom w:val="single" w:color="DDE3EC" w:sz="1"/>
              <w:right w:val="single" w:color="DDE3EC" w:sz="1"/>
            </w:tcBorders>
            <w:shd w:fill="FFFFFF" w:val="clear"/>
            <w:tcMar>
              <w:top w:type="dxa" w:w="70"/>
              <w:left w:type="dxa" w:w="120"/>
              <w:bottom w:type="dxa" w:w="70"/>
              <w:right w:type="dxa" w:w="120"/>
            </w:tcMar>
          </w:tcPr>
          <w:p>
            <w:r>
              <w:rPr>
                <w:rFonts w:ascii="Arial" w:cs="Arial" w:eastAsia="Arial" w:hAnsi="Arial"/>
                <w:color w:val="3A5070"/>
                <w:sz w:val="19"/>
                <w:szCs w:val="19"/>
              </w:rPr>
              <w:t xml:space="preserve">"Inspire de la philosophie J-Alert — declinaison locale et communale."</w:t>
            </w:r>
          </w:p>
        </w:tc>
      </w:tr>
    </w:tbl>
    <w:p>
      <w:pPr>
        <w:spacing w:after="160"/>
      </w:pPr>
      <w:r>
        <w:t xml:space="preserve"/>
      </w:r>
    </w:p>
    <w:p>
      <w:pPr>
        <w:spacing w:after="80" w:before="320"/>
      </w:pPr>
      <w:r>
        <w:rPr>
          <w:rFonts w:ascii="Courier New" w:cs="Courier New" w:eastAsia="Courier New" w:hAnsi="Courier New"/>
          <w:b/>
          <w:bCs/>
          <w:color w:val="6B7E96"/>
          <w:sz w:val="22"/>
          <w:szCs w:val="22"/>
        </w:rPr>
        <w:t xml:space="preserve">11  </w:t>
      </w:r>
      <w:r>
        <w:rPr>
          <w:rFonts w:ascii="Arial" w:cs="Arial" w:eastAsia="Arial" w:hAnsi="Arial"/>
          <w:b/>
          <w:bCs/>
          <w:color w:val="0D2240"/>
          <w:sz w:val="26"/>
          <w:szCs w:val="26"/>
        </w:rPr>
        <w:t xml:space="preserve">Conclusion — Argumentaire Final</w:t>
      </w:r>
    </w:p>
    <w:p>
      <w:pPr>
        <w:pBdr>
          <w:bottom w:val="single" w:color="0D2240" w:sz="4"/>
        </w:pBd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2"/>
              <w:bottom w:val="single" w:color="1A56DB" w:sz="1"/>
              <w:right w:val="single" w:color="1A56DB" w:sz="1"/>
            </w:tcBorders>
            <w:shd w:fill="EBF3FF" w:val="clear"/>
            <w:tcMar>
              <w:top w:type="dxa" w:w="80"/>
              <w:left w:type="dxa" w:w="180"/>
              <w:bottom w:type="dxa" w:w="80"/>
              <w:right w:type="dxa" w:w="180"/>
            </w:tcMar>
          </w:tcPr>
          <w:p>
            <w:r>
              <w:rPr>
                <w:rFonts w:ascii="Arial" w:cs="Arial" w:eastAsia="Arial" w:hAnsi="Arial"/>
                <w:color w:val="0D2240"/>
                <w:sz w:val="20"/>
                <w:szCs w:val="20"/>
              </w:rPr>
              <w:t xml:space="preserve">"WadiGuard detecte la montee des eaux en amont, predit la zone affectee, alerte citoyens et autorites, et bloque les routes dangereuses — avant que les gens les atteignent.
Compatible avec le Plan Strategique DGM 2024-2027. Alerts au format CAP standard. Architecture eprouvee, inspire des meilleurs systemes mondiaux, adapte aux contraintes marocaines."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DB" w:sz="1"/>
              <w:left w:val="single" w:color="DDE3EC" w:sz="1"/>
              <w:bottom w:val="single" w:color="1A56DB" w:sz="1"/>
              <w:right w:val="single" w:color="DDE3EC" w:sz="1"/>
            </w:tcBorders>
            <w:shd w:fill="FFFFFF" w:val="clear"/>
            <w:tcMar>
              <w:top w:type="dxa" w:w="120"/>
              <w:left w:type="dxa" w:w="160"/>
              <w:bottom w:type="dxa" w:w="120"/>
              <w:right w:type="dxa" w:w="160"/>
            </w:tcMar>
          </w:tcPr>
          <w:p>
            <w:pPr>
              <w:spacing w:after="80"/>
            </w:pPr>
            <w:r>
              <w:rPr>
                <w:rFonts w:ascii="Arial" w:cs="Arial" w:eastAsia="Arial" w:hAnsi="Arial"/>
                <w:b/>
                <w:bCs/>
                <w:color w:val="0D2240"/>
                <w:sz w:val="22"/>
                <w:szCs w:val="22"/>
              </w:rPr>
              <w:t xml:space="preserve">Pourquoi WadiGuard ?</w:t>
            </w:r>
          </w:p>
          <w:p>
            <w:r>
              <w:rPr>
                <w:rFonts w:ascii="Arial" w:cs="Arial" w:eastAsia="Arial" w:hAnsi="Arial"/>
                <w:color w:val="3A5070"/>
                <w:sz w:val="20"/>
                <w:szCs w:val="20"/>
              </w:rPr>
              <w:t xml:space="preserve">Les inondations au Maroc causent des victimes et des pertes economiques majeures chaque annee. Les systemes d'alerte precoce sauvent des vies — prouve mondialement.</w:t>
            </w:r>
          </w:p>
        </w:tc>
        <w:tc>
          <w:tcPr>
            <w:tcW w:type="dxa" w:w="3120"/>
            <w:tcBorders>
              <w:top w:val="single" w:color="1A56DB" w:sz="1"/>
              <w:left w:val="single" w:color="DDE3EC" w:sz="1"/>
              <w:bottom w:val="single" w:color="1A56DB" w:sz="1"/>
              <w:right w:val="single" w:color="DDE3EC" w:sz="1"/>
            </w:tcBorders>
            <w:shd w:fill="EBF3FF" w:val="clear"/>
            <w:tcMar>
              <w:top w:type="dxa" w:w="120"/>
              <w:left w:type="dxa" w:w="160"/>
              <w:bottom w:type="dxa" w:w="120"/>
              <w:right w:type="dxa" w:w="160"/>
            </w:tcMar>
          </w:tcPr>
          <w:p>
            <w:pPr>
              <w:spacing w:after="80"/>
            </w:pPr>
            <w:r>
              <w:rPr>
                <w:rFonts w:ascii="Arial" w:cs="Arial" w:eastAsia="Arial" w:hAnsi="Arial"/>
                <w:b/>
                <w:bCs/>
                <w:color w:val="0D2240"/>
                <w:sz w:val="22"/>
                <w:szCs w:val="22"/>
              </w:rPr>
              <w:t xml:space="preserve">Pourquoi maintenant ?</w:t>
            </w:r>
          </w:p>
          <w:p>
            <w:r>
              <w:rPr>
                <w:rFonts w:ascii="Arial" w:cs="Arial" w:eastAsia="Arial" w:hAnsi="Arial"/>
                <w:color w:val="3A5070"/>
                <w:sz w:val="20"/>
                <w:szCs w:val="20"/>
              </w:rPr>
              <w:t xml:space="preserve">Le DGM deploie activement la Vigilance Communale (2022+). WadiGuard est la declinaison locale et operationnelle de cette strategie nationale.</w:t>
            </w:r>
          </w:p>
        </w:tc>
        <w:tc>
          <w:tcPr>
            <w:tcW w:type="dxa" w:w="3120"/>
            <w:tcBorders>
              <w:top w:val="single" w:color="1A56DB" w:sz="1"/>
              <w:left w:val="single" w:color="DDE3EC" w:sz="1"/>
              <w:bottom w:val="single" w:color="1A56DB" w:sz="1"/>
              <w:right w:val="single" w:color="DDE3EC" w:sz="1"/>
            </w:tcBorders>
            <w:shd w:fill="FFFFFF" w:val="clear"/>
            <w:tcMar>
              <w:top w:type="dxa" w:w="120"/>
              <w:left w:type="dxa" w:w="160"/>
              <w:bottom w:type="dxa" w:w="120"/>
              <w:right w:type="dxa" w:w="160"/>
            </w:tcMar>
          </w:tcPr>
          <w:p>
            <w:pPr>
              <w:spacing w:after="80"/>
            </w:pPr>
            <w:r>
              <w:rPr>
                <w:rFonts w:ascii="Arial" w:cs="Arial" w:eastAsia="Arial" w:hAnsi="Arial"/>
                <w:b/>
                <w:bCs/>
                <w:color w:val="0D2240"/>
                <w:sz w:val="22"/>
                <w:szCs w:val="22"/>
              </w:rPr>
              <w:t xml:space="preserve">Pourquoi ce jury ?</w:t>
            </w:r>
          </w:p>
          <w:p>
            <w:r>
              <w:rPr>
                <w:rFonts w:ascii="Arial" w:cs="Arial" w:eastAsia="Arial" w:hAnsi="Arial"/>
                <w:color w:val="3A5070"/>
                <w:sz w:val="20"/>
                <w:szCs w:val="20"/>
              </w:rPr>
              <w:t xml:space="preserve">Architecture solide, standard CAP, 10 features demontrables, roadmap structuree, chiffres sources. Aucune promesse non tenue.</w:t>
            </w:r>
          </w:p>
        </w:tc>
      </w:tr>
    </w:tbl>
    <w:p>
      <w:pPr>
        <w:spacing w:after="240"/>
      </w:pPr>
      <w:r>
        <w:t xml:space="preserve"/>
      </w:r>
    </w:p>
    <w:p>
      <w:pPr>
        <w:spacing w:after="80" w:before="120"/>
        <w:jc w:val="center"/>
      </w:pPr>
      <w:r>
        <w:rPr>
          <w:rFonts w:ascii="Arial" w:cs="Arial" w:eastAsia="Arial" w:hAnsi="Arial"/>
          <w:b/>
          <w:bCs/>
          <w:i/>
          <w:iCs/>
          <w:color w:val="0D2240"/>
          <w:sz w:val="24"/>
          <w:szCs w:val="24"/>
        </w:rPr>
        <w:t xml:space="preserve">Predire avant. Proteger pendant. Reconstruire apres.</w:t>
      </w:r>
    </w:p>
    <w:p>
      <w:pPr>
        <w:jc w:val="center"/>
      </w:pPr>
      <w:r>
        <w:rPr>
          <w:rFonts w:ascii="Courier New" w:cs="Courier New" w:eastAsia="Courier New" w:hAnsi="Courier New"/>
          <w:color w:val="6B7E96"/>
          <w:sz w:val="18"/>
          <w:szCs w:val="18"/>
        </w:rPr>
        <w:t xml:space="preserve">WadiGuard V3  ·  SMIC 2026  ·  Tanger  ·  </w:t>
      </w:r>
      <w:r>
        <w:rPr>
          <w:rFonts w:ascii="Arial" w:cs="Arial" w:eastAsia="Arial" w:hAnsi="Arial"/>
          <w:color w:val="6B7E96"/>
          <w:sz w:val="18"/>
          <w:szCs w:val="18"/>
        </w:rPr>
        <w:t xml:space="preserve">بالتوفيق</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C" w:sz="2"/>
      </w:pBdr>
      <w:jc w:val="center"/>
    </w:pPr>
    <w:r>
      <w:rPr>
        <w:rFonts w:ascii="Arial" w:cs="Arial" w:eastAsia="Arial" w:hAnsi="Arial"/>
        <w:color w:val="6B7E96"/>
        <w:sz w:val="16"/>
        <w:szCs w:val="16"/>
      </w:rPr>
      <w:t xml:space="preserve">WadiGuard V3  ·  SMIC 2026  ·  Pitch Final</w:t>
    </w:r>
    <w:r>
      <w:rPr>
        <w:rFonts w:ascii="Arial" w:cs="Arial" w:eastAsia="Arial" w:hAnsi="Arial"/>
        <w:color w:val="6B7E96"/>
        <w:sz w:val="16"/>
        <w:szCs w:val="16"/>
      </w:rPr>
      <w:t xml:space="preserve">  |  Page </w:t>
    </w:r>
    <w:r>
      <w:rPr>
        <w:rFonts w:ascii="Arial" w:cs="Arial" w:eastAsia="Arial" w:hAnsi="Arial"/>
        <w:color w:val="6B7E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22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D224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2026-06-03T10:44:14.461Z</dcterms:created>
  <dcterms:modified xsi:type="dcterms:W3CDTF">2026-06-03T10:44:14.462Z</dcterms:modified>
</cp:coreProperties>
</file>

<file path=docProps/custom.xml><?xml version="1.0" encoding="utf-8"?>
<Properties xmlns="http://schemas.openxmlformats.org/officeDocument/2006/custom-properties" xmlns:vt="http://schemas.openxmlformats.org/officeDocument/2006/docPropsVTypes"/>
</file>