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0"/>
        <w:gridCol w:w="3425"/>
      </w:tblGrid>
      <w:tr>
        <w:tc>
          <w:tcPr>
            <w:tcW w:type="dxa" w:w="6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{titre}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C1C1C"/>
                <w:sz w:val="19"/>
                <w:szCs w:val="19"/>
              </w:rPr>
              <w:t xml:space="preserve">{nom_client}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, {poste_client}</w:t>
            </w:r>
          </w:p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{entreprise}</w:t>
            </w:r>
          </w:p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{adresse}</w:t>
            </w:r>
          </w:p>
          <w:p>
            <w:pPr>
              <w:keepNext w:val="false"/>
              <w:keepLines w:val="false"/>
              <w:widowControl w:val="false"/>
              <w:spacing w:after="0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{ville}</w:t>
            </w:r>
          </w:p>
        </w:tc>
        <w:tc>
          <w:tcPr>
            <w:tcW w:type="dxa" w:w="3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57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Offre N° :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2"/>
                <w:szCs w:val="22"/>
              </w:rPr>
              <w:t xml:space="preserve">{numero_offre}</w:t>
            </w:r>
          </w:p>
        </w:tc>
      </w:tr>
    </w:tbl>
    <w:p>
      <w:pPr>
        <w:keepNext w:val="false"/>
        <w:keepLines w:val="false"/>
        <w:widowControl w:val="false"/>
        <w:spacing w:after="0" w:before="454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keepNext/>
        <w:keepLines/>
        <w:widowControl w:val="false"/>
        <w:spacing w:after="113" w:before="0" w:line="288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1C1C"/>
          <w:sz w:val="20"/>
          <w:szCs w:val="20"/>
        </w:rPr>
        <w:t xml:space="preserve">OBJET :</w:t>
      </w:r>
    </w:p>
    <w:p>
      <w:pPr>
        <w:keepNext/>
        <w:keepLines/>
        <w:widowControl w:val="false"/>
        <w:spacing w:after="57" w:before="0" w:line="317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9A96E"/>
          <w:sz w:val="22"/>
          <w:szCs w:val="22"/>
        </w:rPr>
        <w:t xml:space="preserve">Offre de services professionnels</w:t>
      </w:r>
    </w:p>
    <w:p>
      <w:pPr>
        <w:keepNext w:val="false"/>
        <w:keepLines/>
        <w:widowControl w:val="false"/>
        <w:spacing w:after="0" w:before="0" w:line="317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9A96E"/>
          <w:sz w:val="22"/>
          <w:szCs w:val="22"/>
        </w:rPr>
        <w:t xml:space="preserve">{objet_ligne1}</w:t>
      </w:r>
    </w:p>
    <w:p>
      <w:pPr>
        <w:widowControl w:val="false"/>
        <w:pBdr>
          <w:bottom w:val="single" w:color="DCE8DC" w:sz="4" w:space="1"/>
        </w:pBdr>
        <w:spacing w:after="454" w:before="34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7824"/>
      </w:tblGrid>
      <w:tr>
        <w:trPr>
          <w:cantSplit w:val="false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54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113" w:before="113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6"/>
                <w:szCs w:val="16"/>
              </w:rPr>
              <w:t xml:space="preserve">DATE</w:t>
            </w:r>
          </w:p>
          <w:p>
            <w:pPr>
              <w:keepNext w:val="false"/>
              <w:keepLines w:val="false"/>
              <w:widowControl w:val="false"/>
              <w:spacing w:after="0" w:before="0" w:line="3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{date_offre}</w:t>
            </w:r>
          </w:p>
        </w:tc>
        <w:tc>
          <w:tcPr>
            <w:tcW w:type="dxa" w:w="7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22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{salutation},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{intro_paragraphe}</w:t>
            </w:r>
          </w:p>
          <w:p>
            <w:pPr>
              <w:pStyle w:val="Titre1BTH"/>
              <w:keepNext/>
              <w:keepLines/>
              <w:widowControl w:val="false"/>
              <w:pBdr>
                <w:bottom w:val="single" w:color="C9A96E" w:sz="6" w:space="6"/>
              </w:pBdr>
              <w:spacing w:after="227" w:before="567" w:line="2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6"/>
                <w:szCs w:val="26"/>
              </w:rPr>
              <w:t xml:space="preserve">Contexte et objectifs</w:t>
            </w:r>
          </w:p>
          <w:p>
            <w:pPr>
              <w:pStyle w:val="CorpsBTH"/>
              <w:keepNext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{contexte_paragraphe_1}</w:t>
            </w:r>
          </w:p>
          <w:p>
            <w:pPr>
              <w:pStyle w:val="CorpsBTH"/>
              <w:keepNext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{contexte_paragraphe_2}</w:t>
            </w:r>
          </w:p>
          <w:tbl>
            <w:tblPr>
              <w:tblW w:type="dxa" w:w="73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70"/>
            </w:tblGrid>
            <w:tr>
              <w:trPr>
                <w:cantSplit/>
              </w:trPr>
              <w:tc>
                <w:tcPr>
                  <w:tcW w:type="dxa" w:w="7370"/>
                  <w:tcBorders>
                    <w:top w:val="none" w:color="FFFFFF" w:sz="0"/>
                    <w:left w:val="single" w:color="C9A96E" w:sz="16"/>
                    <w:bottom w:val="none" w:color="FFFFFF" w:sz="0"/>
                    <w:right w:val="none" w:color="FFFFFF" w:sz="0"/>
                  </w:tcBorders>
                  <w:shd w:fill="FAF0DE" w:val="clear"/>
                  <w:tcMar>
                    <w:top w:type="dxa" w:w="142"/>
                    <w:left w:type="dxa" w:w="227"/>
                    <w:bottom w:type="dxa" w:w="142"/>
                    <w:right w:type="dxa" w:w="160"/>
                  </w:tcMar>
                </w:tcPr>
                <w:p>
                  <w:pPr>
                    <w:pStyle w:val="CalloutBTH"/>
                    <w:widowControl/>
                    <w:spacing w:after="0" w:before="0" w:line="36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C1C1C"/>
                      <w:sz w:val="20"/>
                      <w:szCs w:val="20"/>
                    </w:rPr>
                    <w:t xml:space="preserve">{callout_objectif}</w:t>
                  </w:r>
                </w:p>
              </w:tc>
            </w:tr>
          </w:tbl>
          <w:p/>
        </w:tc>
      </w:tr>
    </w:tbl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pageBreakBefore/>
        <w:widowControl w:val="false"/>
        <w:spacing w:after="17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Périmètre fonctionnel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{#perimetre_items}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{/perimetre_items}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Objectifs du projet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objectifs du projet et du mandat sont les suivants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{#objectifs_items}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{/objectifs_items}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1.3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Hypothèses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hypothèses suivantes ont été prises en compte pour l'élaboration de la présente offre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{#hypotheses_items}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{/hypotheses_items}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Livrables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livrables du mandat sont les suivants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{#livrables_items}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{/livrables_items}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widowControl w:val="false"/>
        <w:pBdr>
          <w:bottom w:val="single" w:color="C9A96E" w:sz="6" w:space="6"/>
        </w:pBdr>
        <w:spacing w:after="227" w:before="567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Échéancier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{description_echeancier}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Budget</w:t>
      </w:r>
    </w:p>
    <w:p>
      <w:pPr>
        <w:pStyle w:val="CorpsBTH"/>
        <w:keepNext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 mandat est réalisé au forfait conformément au devis ci-dessous (montants en DZD, hors taxes) :</w:t>
      </w:r>
    </w:p>
    <w:p>
      <w:pPr>
        <w:keepNext/>
        <w:keepLines/>
        <w:widowControl w:val="false"/>
        <w:spacing w:after="142" w:before="34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0"/>
          <w:szCs w:val="20"/>
        </w:rPr>
        <w:t xml:space="preserve">{#groupes_budget}{titre_groupe}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"/>
        <w:gridCol w:w="6668"/>
        <w:gridCol w:w="762"/>
        <w:gridCol w:w="1428"/>
      </w:tblGrid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N°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Désignation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Q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Prix</w:t>
            </w:r>
          </w:p>
        </w:tc>
      </w:tr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{#lignes}{numero}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{designation}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{quantite}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{prix_formate}{/lignes}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Total hors taxes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{sous_total_formate}</w:t>
            </w:r>
          </w:p>
        </w:tc>
      </w:tr>
    </w:tbl>
    <w:p>
      <w:pPr>
        <w:widowControl w:val="false"/>
        <w:spacing w:after="113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FFFF"/>
          <w:sz w:val="8"/>
          <w:szCs w:val="8"/>
        </w:rPr>
        <w:t xml:space="preserve">{/groupes_budget}</w:t>
      </w:r>
    </w:p>
    <w:p>
      <w:pPr>
        <w:pStyle w:val="TitreTableauBTH"/>
        <w:keepNext/>
        <w:keepLines/>
        <w:widowControl w:val="false"/>
        <w:spacing w:after="142" w:before="454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0"/>
          <w:szCs w:val="20"/>
        </w:rPr>
        <w:t xml:space="preserve">Tableau — Récapitulatif et modalités de paiement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"/>
        <w:gridCol w:w="6668"/>
        <w:gridCol w:w="762"/>
        <w:gridCol w:w="1428"/>
      </w:tblGrid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N°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Désignation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Q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Prix</w:t>
            </w:r>
          </w:p>
        </w:tc>
      </w:tr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{#recap_lignes}{numero}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{designation}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{quantite}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{prix_formate}{/recap_lignes}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keepNext/>
              <w:spacing w:after="80" w:before="8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Total hors taxes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{total_ht_formate}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keepNext/>
              <w:spacing w:after="80" w:before="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E1E"/>
                <w:sz w:val="20"/>
                <w:szCs w:val="20"/>
              </w:rPr>
              <w:t xml:space="preserve">TVA {tva_pct} %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3F4F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{tva_formate}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C9A96E" w:sz="4"/>
              <w:left w:val="single" w:color="C9A96E" w:sz="4"/>
              <w:bottom w:val="single" w:color="C9A96E" w:sz="4"/>
              <w:right w:val="single" w:color="C9A96E" w:sz="4"/>
            </w:tcBorders>
            <w:shd w:fill="C9A96E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 TTC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C9A9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{total_ttc_formate}</w:t>
            </w:r>
          </w:p>
        </w:tc>
      </w:tr>
    </w:tbl>
    <w:p>
      <w:pPr>
        <w:keepNext w:val="false"/>
        <w:keepLines w:val="false"/>
        <w:widowControl w:val="false"/>
        <w:spacing w:after="0" w:before="113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25"/>
      </w:tblGrid>
      <w:tr>
        <w:trPr>
          <w:cantSplit/>
        </w:trPr>
        <w:tc>
          <w:tcPr>
            <w:tcW w:type="dxa" w:w="9525"/>
            <w:tcBorders>
              <w:top w:val="none" w:color="FFFFFF" w:sz="0"/>
              <w:left w:val="single" w:color="C9A96E" w:sz="16"/>
              <w:bottom w:val="none" w:color="FFFFFF" w:sz="0"/>
              <w:right w:val="none" w:color="FFFFFF" w:sz="0"/>
            </w:tcBorders>
            <w:shd w:fill="FAF0DE" w:val="clear"/>
            <w:tcMar>
              <w:top w:type="dxa" w:w="142"/>
              <w:left w:type="dxa" w:w="227"/>
              <w:bottom w:type="dxa" w:w="142"/>
              <w:right w:type="dxa" w:w="200"/>
            </w:tcMar>
          </w:tcPr>
          <w:p>
            <w:pPr>
              <w:pStyle w:val="CalloutBTH"/>
              <w:widowControl/>
              <w:spacing w:after="0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{modalites_paiement}</w:t>
            </w:r>
          </w:p>
        </w:tc>
      </w:tr>
    </w:tbl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Inclusion et exclusion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5.1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Inclusions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Sont inclus dans le mandat, dans la limite des livrables définis à la section 2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{#inclusions_items}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{/inclusions_items}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5.2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Exclusions du mandat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éléments suivants ne sont pas inclus dans la présente offre et demeurent à la charge du client, sauf entente additionnelle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{#exclusions_items}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{/exclusions_items}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Conditions générales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Validité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La présente offre est valide pour une période de {validite_jours_lettres} ({validite_jours}) jours à compter de sa date d'émission.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Confidentialité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Les informations reçues du client et les documents produits dans le cadre du mandat sont traités de manière confidentielle et utilisés exclusivement pour les fins du projet.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Accès au site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client facilite l'accès au site et fournit les informations nécessaires. Les délais peuvent être ajustés en cas de retard de transmission.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Révisions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Une ronde de commentaires/ajustements par livrable est incluse. Toute révision majeure fera l'objet d'un avenant.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Responsabilités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consultant s'engage à produire des livrables conformes aux exigences réglementaires applicables. L'obtention de l'autorisation demeure conditionnée à la décision de l'autorité compétente.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Paiement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démarrage du mandat est conditionné par la réception de l'avance de 50 %.</w:t>
      </w:r>
    </w:p>
    <w:p>
      <w:pPr>
        <w:keepNext w:val="false"/>
        <w:keepLines w:val="false"/>
        <w:widowControl w:val="false"/>
        <w:spacing w:after="0" w:before="34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N'hésitez pas à communiquer avec nous si vous désirez des informations additionnelles.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Espérant le tout selon vos attentes, nous vous prions d'agréer, {salutation_fin}, l'expression de nos meilleurs sentiments.</w:t>
      </w:r>
    </w:p>
    <w:p>
      <w:pPr>
        <w:keepNext w:val="false"/>
        <w:keepLines w:val="false"/>
        <w:widowControl w:val="false"/>
        <w:spacing w:after="0" w:before="567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54"/>
            </w:tcMar>
          </w:tcPr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9A96E"/>
                <w:sz w:val="16"/>
                <w:szCs w:val="16"/>
              </w:rPr>
              <w:t xml:space="preserve">Responsable de l'offre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@@SIG1@@</w:t>
            </w:r>
          </w:p>
          <w:p>
            <w:pPr>
              <w:widowControl w:val="false"/>
              <w:pBdr>
                <w:bottom w:val="single" w:color="4A7A5A" w:sz="4" w:space="1"/>
              </w:pBdr>
              <w:spacing w:after="170" w:before="454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 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{signataire_1_nom}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{signataire_1_titre}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4"/>
              <w:bottom w:type="dxa" w:w="0"/>
              <w:right w:type="dxa" w:w="0"/>
            </w:tcMar>
          </w:tcPr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9A96E"/>
                <w:sz w:val="16"/>
                <w:szCs w:val="16"/>
              </w:rPr>
              <w:t xml:space="preserve">Autorisé par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@@SIG2@@</w:t>
            </w:r>
          </w:p>
          <w:p>
            <w:pPr>
              <w:widowControl w:val="false"/>
              <w:pBdr>
                <w:bottom w:val="single" w:color="4A7A5A" w:sz="4" w:space="1"/>
              </w:pBdr>
              <w:spacing w:after="170" w:before="454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 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{signataire_2_nom}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{signataire_2_titre}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28" w:right="1134" w:bottom="1134" w:left="1247" w:header="454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widowControl w:val="false"/>
      <w:pBdr>
        <w:top w:val="single" w:color="C9A96E" w:sz="4" w:space="6"/>
      </w:pBdr>
      <w:tabs>
        <w:tab w:val="right" w:pos="9525"/>
      </w:tabs>
      <w:spacing w:after="0" w:before="80"/>
    </w:pPr>
    <w:r>
      <w:rPr>
        <w:rFonts w:ascii="Calibri" w:cs="Calibri" w:eastAsia="Calibri" w:hAnsi="Calibri"/>
        <w:b w:val="false"/>
        <w:bCs w:val="false"/>
        <w:i w:val="false"/>
        <w:iCs w:val="false"/>
        <w:color w:val="C9A96E"/>
        <w:sz w:val="14"/>
        <w:szCs w:val="14"/>
      </w:rPr>
      <w:t xml:space="preserve">BTH Expert</w:t>
    </w:r>
    <w:r>
      <w:t xml:space="preserve">	</w:t>
    </w:r>
    <w:r>
      <w:rPr>
        <w:rFonts w:ascii="Calibri" w:cs="Calibri" w:eastAsia="Calibri" w:hAnsi="Calibri"/>
        <w:color w:val="4A4A4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widowControl w:val="false"/>
      <w:pBdr>
        <w:bottom w:val="single" w:color="C9A96E" w:sz="4" w:space="6"/>
      </w:pBdr>
      <w:spacing w:after="80" w:before="0" w:line="240"/>
      <w:jc w:val="right"/>
    </w:pPr>
    <w:r>
      <w:drawing>
        <wp:inline distT="0" distB="0" distL="0" distR="0">
          <wp:extent cx="200025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025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54" w:hanging="284"/>
      </w:pPr>
      <w:rPr>
        <w:rFonts w:ascii="Arial" w:cs="Arial" w:eastAsia="Arial" w:hAnsi="Arial"/>
        <w:color w:val="C9A96E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C1C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rpsBTH">
    <w:name w:val="Corps BTH"/>
    <w:basedOn w:val="Normal"/>
    <w:qFormat/>
    <w:pPr>
      <w:widowControl/>
      <w:spacing w:after="227" w:line="360"/>
      <w:jc w:val="both"/>
    </w:pPr>
    <w:rPr>
      <w:rFonts w:ascii="Arial" w:cs="Arial" w:eastAsia="Arial" w:hAnsi="Arial"/>
      <w:color w:val="1C1C1C"/>
      <w:sz w:val="20"/>
      <w:szCs w:val="20"/>
    </w:rPr>
  </w:style>
  <w:style w:type="paragraph" w:styleId="Titre1BTH">
    <w:name w:val="Titre 1 BTH"/>
    <w:basedOn w:val="Heading1"/>
    <w:qFormat/>
    <w:pPr>
      <w:keepNext/>
      <w:keepLines/>
      <w:spacing w:after="227" w:before="567" w:line="288"/>
    </w:pPr>
    <w:rPr>
      <w:rFonts w:ascii="Arial" w:cs="Arial" w:eastAsia="Arial" w:hAnsi="Arial"/>
      <w:b/>
      <w:bCs/>
      <w:color w:val="1A2E1E"/>
      <w:sz w:val="26"/>
      <w:szCs w:val="26"/>
    </w:rPr>
  </w:style>
  <w:style w:type="paragraph" w:styleId="Titre2BTH">
    <w:name w:val="Titre 2 BTH"/>
    <w:basedOn w:val="Heading2"/>
    <w:qFormat/>
    <w:pPr>
      <w:keepNext/>
      <w:keepLines/>
      <w:spacing w:after="170" w:before="397" w:line="288"/>
    </w:pPr>
    <w:rPr>
      <w:rFonts w:ascii="Arial" w:cs="Arial" w:eastAsia="Arial" w:hAnsi="Arial"/>
      <w:color w:val="2D4A30"/>
      <w:sz w:val="21"/>
      <w:szCs w:val="21"/>
    </w:rPr>
  </w:style>
  <w:style w:type="paragraph" w:styleId="PuceBTH">
    <w:name w:val="Puce BTH"/>
    <w:basedOn w:val="ListParagraph"/>
    <w:qFormat/>
    <w:pPr>
      <w:spacing w:after="100" w:before="100" w:line="360"/>
      <w:ind w:left="454" w:hanging="284"/>
      <w:jc w:val="both"/>
    </w:pPr>
    <w:rPr>
      <w:rFonts w:ascii="Arial" w:cs="Arial" w:eastAsia="Arial" w:hAnsi="Arial"/>
      <w:color w:val="1C1C1C"/>
      <w:sz w:val="19"/>
      <w:szCs w:val="19"/>
    </w:rPr>
  </w:style>
  <w:style w:type="paragraph" w:styleId="CalloutBTH">
    <w:name w:val="Callout BTH"/>
    <w:basedOn w:val="Normal"/>
    <w:qFormat/>
    <w:pPr>
      <w:spacing w:line="360"/>
      <w:jc w:val="both"/>
    </w:pPr>
    <w:rPr>
      <w:rFonts w:ascii="Arial" w:cs="Arial" w:eastAsia="Arial" w:hAnsi="Arial"/>
      <w:i w:val="false"/>
      <w:iCs w:val="false"/>
      <w:color w:val="1C1C1C"/>
      <w:sz w:val="20"/>
      <w:szCs w:val="20"/>
    </w:rPr>
  </w:style>
  <w:style w:type="paragraph" w:styleId="TitreTableauBTH">
    <w:name w:val="Titre Tableau BTH"/>
    <w:basedOn w:val="Normal"/>
    <w:qFormat/>
    <w:pPr>
      <w:keepNext/>
      <w:spacing w:after="142" w:before="340" w:line="288"/>
    </w:pPr>
    <w:rPr>
      <w:rFonts w:ascii="Arial" w:cs="Arial" w:eastAsia="Arial" w:hAnsi="Arial"/>
      <w:b/>
      <w:bCs/>
      <w:color w:val="1A2E1E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3f5df239f79b77afe9af2be6de7f98bcc8b3ec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2026-06-02T00:46:47.411Z</dcterms:created>
  <dcterms:modified xsi:type="dcterms:W3CDTF">2026-06-02T00:46:47.411Z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