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0"/>
        <w:gridCol w:w="3425"/>
      </w:tblGrid>
      <w:tr>
        <w:tc>
          <w:tcPr>
            <w:tcW w:type="dxa" w:w="6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{titre}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C1C1C"/>
                <w:sz w:val="19"/>
                <w:szCs w:val="19"/>
              </w:rPr>
              <w:t xml:space="preserve">{nom_client}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, {poste_client}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{entreprise}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{adresse}</w:t>
            </w:r>
          </w:p>
          <w:p>
            <w:pPr>
              <w:keepNext w:val="false"/>
              <w:keepLines w:val="false"/>
              <w:widowControl w:val="false"/>
              <w:spacing w:after="0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{ville}</w:t>
            </w:r>
          </w:p>
        </w:tc>
        <w:tc>
          <w:tcPr>
            <w:tcW w:type="dxa" w:w="3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Offre N° :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2"/>
                <w:szCs w:val="22"/>
              </w:rPr>
              <w:t xml:space="preserve">{numero_offre}</w:t>
            </w:r>
          </w:p>
        </w:tc>
      </w:tr>
    </w:tbl>
    <w:p>
      <w:pPr>
        <w:keepNext w:val="false"/>
        <w:keepLines w:val="false"/>
        <w:widowControl w:val="false"/>
        <w:spacing w:after="0" w:before="454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keepNext/>
        <w:keepLines/>
        <w:widowControl w:val="false"/>
        <w:spacing w:after="170" w:before="0" w:line="288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1C1C"/>
          <w:sz w:val="18"/>
          <w:szCs w:val="18"/>
        </w:rPr>
        <w:t xml:space="preserve">OBJET :</w:t>
      </w:r>
    </w:p>
    <w:p>
      <w:pPr>
        <w:keepNext/>
        <w:keepLines/>
        <w:widowControl w:val="false"/>
        <w:spacing w:after="113" w:before="0" w:line="317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C9A96E"/>
          <w:sz w:val="22"/>
          <w:szCs w:val="22"/>
        </w:rPr>
        <w:t xml:space="preserve">Offre de services professionnels</w:t>
      </w:r>
    </w:p>
    <w:p>
      <w:pPr>
        <w:keepNext w:val="false"/>
        <w:keepLines/>
        <w:widowControl w:val="false"/>
        <w:spacing w:after="0" w:before="0" w:line="317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C9A96E"/>
          <w:sz w:val="22"/>
          <w:szCs w:val="22"/>
        </w:rPr>
        <w:t xml:space="preserve">{objet_ligne1}</w:t>
      </w:r>
    </w:p>
    <w:p>
      <w:pPr>
        <w:widowControl w:val="false"/>
        <w:pBdr>
          <w:bottom w:val="single" w:color="DCE8DC" w:sz="4" w:space="1"/>
        </w:pBdr>
        <w:spacing w:after="454" w:before="34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8278"/>
      </w:tblGrid>
      <w:tr>
        <w:tc>
          <w:tcPr>
            <w:tcW w:type="dxa" w:w="12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4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113" w:before="113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5"/>
                <w:szCs w:val="15"/>
              </w:rPr>
              <w:t xml:space="preserve">DATE</w:t>
            </w:r>
          </w:p>
          <w:p>
            <w:pPr>
              <w:keepNext w:val="false"/>
              <w:keepLines w:val="false"/>
              <w:widowControl w:val="false"/>
              <w:spacing w:after="0" w:before="0" w:line="3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{date_offre}</w:t>
            </w:r>
          </w:p>
        </w:tc>
        <w:tc>
          <w:tcPr>
            <w:tcW w:type="dxa" w:w="82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22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{salutation},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{intro_paragraphe}</w:t>
            </w:r>
          </w:p>
          <w:p>
            <w:pPr>
              <w:pStyle w:val="Titre1BTH"/>
              <w:keepNext/>
              <w:keepLines/>
              <w:widowControl w:val="false"/>
              <w:pBdr>
                <w:bottom w:val="single" w:color="C9A96E" w:sz="6" w:space="6"/>
              </w:pBdr>
              <w:spacing w:after="227" w:before="567" w:line="2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Contexte et objectifs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{contexte_paragraphe_1}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{contexte_paragraphe_2}</w:t>
            </w:r>
          </w:p>
          <w:tbl>
            <w:tblPr>
              <w:tblW w:type="dxa" w:w="79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938"/>
            </w:tblGrid>
            <w:tr>
              <w:tc>
                <w:tcPr>
                  <w:tcW w:type="dxa" w:w="7938"/>
                  <w:tcBorders>
                    <w:top w:val="none" w:color="FFFFFF" w:sz="0"/>
                    <w:left w:val="single" w:color="C9A96E" w:sz="16"/>
                    <w:bottom w:val="none" w:color="FFFFFF" w:sz="0"/>
                    <w:right w:val="none" w:color="FFFFFF" w:sz="0"/>
                  </w:tcBorders>
                  <w:shd w:fill="FAF0DE" w:val="clear"/>
                  <w:tcMar>
                    <w:top w:type="dxa" w:w="142"/>
                    <w:left w:type="dxa" w:w="227"/>
                    <w:bottom w:type="dxa" w:w="142"/>
                    <w:right w:type="dxa" w:w="160"/>
                  </w:tcMar>
                </w:tcPr>
                <w:p>
                  <w:pPr>
                    <w:pStyle w:val="CalloutBTH"/>
                    <w:widowControl/>
                    <w:spacing w:after="0" w:before="0" w:line="36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C1C1C"/>
                      <w:sz w:val="20"/>
                      <w:szCs w:val="20"/>
                    </w:rPr>
                    <w:t xml:space="preserve">{callout_objectif}</w:t>
                  </w:r>
                </w:p>
              </w:tc>
            </w:tr>
          </w:tbl>
          <w:p/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pageBreakBefore/>
        <w:widowControl w:val="false"/>
        <w:spacing w:after="17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Périmètre fonctionnel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{#perimetre_items}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{/perimetre_items}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Objectifs du projet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objectifs du projet et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{#objectifs_items}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{/objectifs_items}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1.3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Hypothèses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hypothèses suivantes ont été prises en compte pour l'élaboration de la présente offre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{#hypotheses_items}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{/hypotheses_items}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widowControl w:val="false"/>
        <w:pBdr>
          <w:bottom w:val="single" w:color="C9A96E" w:sz="6" w:space="6"/>
        </w:pBdr>
        <w:spacing w:after="227" w:before="567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Livrables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livrables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{#livrables_items}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{/livrables_items}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widowControl w:val="false"/>
        <w:pBdr>
          <w:bottom w:val="single" w:color="C9A96E" w:sz="6" w:space="6"/>
        </w:pBdr>
        <w:spacing w:after="227" w:before="567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Échéancier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{description_echeancier}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Budget</w:t>
      </w:r>
    </w:p>
    <w:p>
      <w:pPr>
        <w:pStyle w:val="CorpsBTH"/>
        <w:keepNext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 mandat est réalisé au forfait conformément au devis ci-dessous (montants en DZD, hors taxes) :</w:t>
      </w:r>
    </w:p>
    <w:p>
      <w:pPr>
        <w:keepNext/>
        <w:keepLines/>
        <w:widowControl w:val="false"/>
        <w:spacing w:after="142" w:before="34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{#groupes_budget}{titre_groupe}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8"/>
                <w:szCs w:val="18"/>
              </w:rPr>
              <w:t xml:space="preserve">{#lignes}{numero}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{prix_formate}{/lignes}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{sous_total_formate}</w:t>
            </w:r>
          </w:p>
        </w:tc>
      </w:tr>
    </w:tbl>
    <w:p>
      <w:pPr>
        <w:widowControl w:val="false"/>
        <w:spacing w:after="113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FFFF"/>
          <w:sz w:val="8"/>
          <w:szCs w:val="8"/>
        </w:rPr>
        <w:t xml:space="preserve">{/groupes_budget}</w:t>
      </w:r>
    </w:p>
    <w:p>
      <w:pPr>
        <w:pStyle w:val="TitreTableauBTH"/>
        <w:keepNext/>
        <w:keepLines/>
        <w:widowControl w:val="false"/>
        <w:spacing w:after="142" w:before="454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Tableau — Récapitulatif et modalités de paiement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8"/>
                <w:szCs w:val="18"/>
              </w:rPr>
              <w:t xml:space="preserve">{#recap_lignes}{numero}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{prix_formate}{/recap_lignes}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{total_ht_formate}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E1E"/>
                <w:sz w:val="17"/>
                <w:szCs w:val="17"/>
              </w:rPr>
              <w:t xml:space="preserve">TVA {tva_pct} %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7"/>
                <w:szCs w:val="17"/>
              </w:rPr>
              <w:t xml:space="preserve">{tva_formate}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C9A96E" w:sz="4"/>
              <w:left w:val="single" w:color="C9A96E" w:sz="4"/>
              <w:bottom w:val="single" w:color="C9A96E" w:sz="4"/>
              <w:right w:val="single" w:color="C9A96E" w:sz="4"/>
            </w:tcBorders>
            <w:shd w:fill="C9A96E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Total TTC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C9A96E" w:val="clear"/>
            <w:tcMar>
              <w:top w:type="dxa" w:w="160"/>
              <w:left w:type="dxa" w:w="170"/>
              <w:bottom w:type="dxa" w:w="160"/>
              <w:right w:type="dxa" w:w="17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{total_ttc_formate}</w:t>
            </w:r>
          </w:p>
        </w:tc>
      </w:tr>
    </w:tbl>
    <w:p>
      <w:pPr>
        <w:keepNext w:val="false"/>
        <w:keepLines w:val="false"/>
        <w:widowControl w:val="false"/>
        <w:spacing w:after="0" w:before="113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5"/>
      </w:tblGrid>
      <w:tr>
        <w:tc>
          <w:tcPr>
            <w:tcW w:type="dxa" w:w="9525"/>
            <w:tcBorders>
              <w:top w:val="none" w:color="FFFFFF" w:sz="0"/>
              <w:left w:val="single" w:color="C9A96E" w:sz="16"/>
              <w:bottom w:val="none" w:color="FFFFFF" w:sz="0"/>
              <w:right w:val="none" w:color="FFFFFF" w:sz="0"/>
            </w:tcBorders>
            <w:shd w:fill="FAF0DE" w:val="clear"/>
            <w:tcMar>
              <w:top w:type="dxa" w:w="142"/>
              <w:left w:type="dxa" w:w="227"/>
              <w:bottom w:type="dxa" w:w="142"/>
              <w:right w:type="dxa" w:w="200"/>
            </w:tcMar>
          </w:tcPr>
          <w:p>
            <w:pPr>
              <w:pStyle w:val="CalloutBTH"/>
              <w:widowControl/>
              <w:spacing w:after="0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{modalites_paiement}</w:t>
            </w:r>
          </w:p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widowControl w:val="false"/>
        <w:pBdr>
          <w:bottom w:val="single" w:color="C9A96E" w:sz="6" w:space="6"/>
        </w:pBdr>
        <w:spacing w:after="227" w:before="567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Inclusion et exclusion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Inclusions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Sont inclus dans le mandat, dans la limite des livrables définis à la section 2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{#inclusions_items}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{/inclusions_items}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Exclusions du mandat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éléments suivants ne sont pas inclus dans la présente offre et demeurent à la charge du client, sauf entente additionnelle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{#exclusions_items}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{/exclusions_items}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Conditions générales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Validité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La présente offre est valide pour une période de {validite_jours_lettres} ({validite_jours}) jours à compter de sa date d'émission.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Confidentialité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Les informations reçues du client et les documents produits dans le cadre du mandat sont traités de manière confidentielle et utilisés exclusivement pour les fins du projet.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Accès au site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client facilite l'accès au site et fournit les informations nécessaires. Les délais peuvent être ajustés en cas de retard de transmission.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Révisions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Une ronde de commentaires/ajustements par livrable est incluse. Toute révision majeure fera l'objet d'un avenant.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Responsabilités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consultant s'engage à produire des livrables conformes aux exigences réglementaires applicables. L'obtention de l'autorisation demeure conditionnée à la décision de l'autorité compétente.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Paiement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démarrage du mandat est conditionné par la réception de l'avance de 50 %.</w:t>
      </w:r>
    </w:p>
    <w:p>
      <w:pPr>
        <w:keepNext w:val="false"/>
        <w:keepLines w:val="false"/>
        <w:widowControl w:val="false"/>
        <w:spacing w:after="0" w:before="34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N'hésitez pas à communiquer avec nous si vous désirez des informations additionnelles.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Espérant le tout selon vos attentes, nous vous prions d'agréer, {salutation_fin}, l'expression de nos meilleurs sentiments.</w:t>
      </w:r>
    </w:p>
    <w:p>
      <w:pPr>
        <w:keepNext w:val="false"/>
        <w:keepLines w:val="false"/>
        <w:widowControl w:val="false"/>
        <w:spacing w:after="0" w:before="567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54"/>
            </w:tcMar>
          </w:tcPr>
          <w:p>
            <w:pPr>
              <w:keepNext w:val="false"/>
              <w:keepLines w:val="false"/>
              <w:widowControl w:val="false"/>
              <w:spacing w:after="567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Responsable de l'offre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1247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{signataire_1_nom}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{signataire_1_titre}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4"/>
              <w:bottom w:type="dxa" w:w="0"/>
              <w:right w:type="dxa" w:w="0"/>
            </w:tcMar>
          </w:tcPr>
          <w:p>
            <w:pPr>
              <w:keepNext w:val="false"/>
              <w:keepLines w:val="false"/>
              <w:widowControl w:val="false"/>
              <w:spacing w:after="567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Autorisé par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1247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{signataire_2_nom}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{signataire_2_titre}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28" w:right="1134" w:bottom="1134" w:left="1247" w:header="454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widowControl w:val="false"/>
      <w:pBdr>
        <w:top w:val="single" w:color="C9A96E" w:sz="4" w:space="6"/>
      </w:pBdr>
      <w:tabs>
        <w:tab w:val="right" w:pos="9525"/>
      </w:tabs>
      <w:spacing w:after="0" w:before="80"/>
    </w:pPr>
    <w:r>
      <w:rPr>
        <w:rFonts w:ascii="Calibri" w:cs="Calibri" w:eastAsia="Calibri" w:hAnsi="Calibri"/>
        <w:b w:val="false"/>
        <w:bCs w:val="false"/>
        <w:i w:val="false"/>
        <w:iCs w:val="false"/>
        <w:color w:val="C9A96E"/>
        <w:sz w:val="14"/>
        <w:szCs w:val="14"/>
      </w:rPr>
      <w:t xml:space="preserve">BTH Expert</w:t>
    </w:r>
    <w:r>
      <w:t xml:space="preserve">	</w:t>
    </w:r>
    <w:r>
      <w:rPr>
        <w:rFonts w:ascii="Calibri" w:cs="Calibri" w:eastAsia="Calibri" w:hAnsi="Calibri"/>
        <w:color w:val="4A4A4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widowControl w:val="false"/>
      <w:pBdr>
        <w:bottom w:val="single" w:color="C9A96E" w:sz="4" w:space="6"/>
      </w:pBdr>
      <w:spacing w:after="80" w:before="0" w:line="240"/>
      <w:jc w:val="right"/>
    </w:pPr>
    <w:r>
      <w:drawing>
        <wp:inline distT="0" distB="0" distL="0" distR="0">
          <wp:extent cx="1524000" cy="4381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54" w:hanging="284"/>
      </w:pPr>
      <w:rPr>
        <w:rFonts w:ascii="Arial" w:cs="Arial" w:eastAsia="Arial" w:hAnsi="Arial"/>
        <w:color w:val="C9A96E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C1C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rpsBTH">
    <w:name w:val="Corps BTH"/>
    <w:basedOn w:val="Normal"/>
    <w:qFormat/>
    <w:pPr>
      <w:widowControl/>
      <w:spacing w:after="227" w:line="360"/>
      <w:jc w:val="both"/>
    </w:pPr>
    <w:rPr>
      <w:rFonts w:ascii="Arial" w:cs="Arial" w:eastAsia="Arial" w:hAnsi="Arial"/>
      <w:color w:val="1C1C1C"/>
      <w:sz w:val="20"/>
      <w:szCs w:val="20"/>
    </w:rPr>
  </w:style>
  <w:style w:type="paragraph" w:styleId="Titre1BTH">
    <w:name w:val="Titre 1 BTH"/>
    <w:basedOn w:val="Heading1"/>
    <w:qFormat/>
    <w:pPr>
      <w:keepNext/>
      <w:keepLines/>
      <w:spacing w:after="227" w:before="567" w:line="288"/>
    </w:pPr>
    <w:rPr>
      <w:rFonts w:ascii="Arial" w:cs="Arial" w:eastAsia="Arial" w:hAnsi="Arial"/>
      <w:b/>
      <w:bCs/>
      <w:color w:val="1A2E1E"/>
      <w:sz w:val="26"/>
      <w:szCs w:val="26"/>
    </w:rPr>
  </w:style>
  <w:style w:type="paragraph" w:styleId="Titre2BTH">
    <w:name w:val="Titre 2 BTH"/>
    <w:basedOn w:val="Heading2"/>
    <w:qFormat/>
    <w:pPr>
      <w:keepNext/>
      <w:keepLines/>
      <w:spacing w:after="170" w:before="397" w:line="288"/>
    </w:pPr>
    <w:rPr>
      <w:rFonts w:ascii="Arial" w:cs="Arial" w:eastAsia="Arial" w:hAnsi="Arial"/>
      <w:color w:val="2D4A30"/>
      <w:sz w:val="21"/>
      <w:szCs w:val="21"/>
    </w:rPr>
  </w:style>
  <w:style w:type="paragraph" w:styleId="PuceBTH">
    <w:name w:val="Puce BTH"/>
    <w:basedOn w:val="ListParagraph"/>
    <w:qFormat/>
    <w:pPr>
      <w:spacing w:after="100" w:before="100" w:line="360"/>
      <w:ind w:left="454" w:hanging="284"/>
      <w:jc w:val="both"/>
    </w:pPr>
    <w:rPr>
      <w:rFonts w:ascii="Arial" w:cs="Arial" w:eastAsia="Arial" w:hAnsi="Arial"/>
      <w:color w:val="1C1C1C"/>
      <w:sz w:val="19"/>
      <w:szCs w:val="19"/>
    </w:rPr>
  </w:style>
  <w:style w:type="paragraph" w:styleId="CalloutBTH">
    <w:name w:val="Callout BTH"/>
    <w:basedOn w:val="Normal"/>
    <w:qFormat/>
    <w:pPr>
      <w:spacing w:line="360"/>
      <w:jc w:val="both"/>
    </w:pPr>
    <w:rPr>
      <w:rFonts w:ascii="Arial" w:cs="Arial" w:eastAsia="Arial" w:hAnsi="Arial"/>
      <w:i w:val="false"/>
      <w:iCs w:val="false"/>
      <w:color w:val="1C1C1C"/>
      <w:sz w:val="20"/>
      <w:szCs w:val="20"/>
    </w:rPr>
  </w:style>
  <w:style w:type="paragraph" w:styleId="TitreTableauBTH">
    <w:name w:val="Titre Tableau BTH"/>
    <w:basedOn w:val="Normal"/>
    <w:qFormat/>
    <w:pPr>
      <w:keepNext/>
      <w:spacing w:after="142" w:before="340" w:line="288"/>
    </w:pPr>
    <w:rPr>
      <w:rFonts w:ascii="Arial" w:cs="Arial" w:eastAsia="Arial" w:hAnsi="Arial"/>
      <w:b/>
      <w:bCs/>
      <w:color w:val="1A2E1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5ada744fb6e9fe90185bd6c0dce1a8c39a5078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2026-05-26T16:34:04.017Z</dcterms:created>
  <dcterms:modified xsi:type="dcterms:W3CDTF">2026-05-26T16:34:04.017Z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