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13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Offre de services professionnels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824"/>
      </w:tblGrid>
      <w:tr>
        <w:trPr>
          <w:cantSplit w:val="false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6"/>
                <w:szCs w:val="16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{date_offre}</w:t>
            </w:r>
          </w:p>
        </w:tc>
        <w:tc>
          <w:tcPr>
            <w:tcW w:type="dxa" w:w="7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70"/>
            </w:tblGrid>
            <w:tr>
              <w:trPr>
                <w:cantSplit/>
              </w:trPr>
              <w:tc>
                <w:tcPr>
                  <w:tcW w:type="dxa" w:w="7370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20"/>
                <w:szCs w:val="20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rPr>
          <w:cantSplit/>
        </w:trP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28" w:right="1134" w:bottom="1134" w:left="1247" w:header="454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905000" cy="552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2026-05-31T06:40:55.050Z</dcterms:created>
  <dcterms:modified xsi:type="dcterms:W3CDTF">2026-05-31T06:40:55.062Z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