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DA9" w:rsidRPr="00E55DA9" w:rsidRDefault="00E55DA9" w:rsidP="00E55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Riyadh Air Performance Report: Operational Bottlenecks &amp; Solutions</w:t>
      </w:r>
    </w:p>
    <w:p w:rsidR="00E55DA9" w:rsidRPr="00E55DA9" w:rsidRDefault="00E55DA9" w:rsidP="00E55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NASION | Data Analyst</w:t>
      </w:r>
    </w:p>
    <w:p w:rsidR="00E55DA9" w:rsidRPr="00E55DA9" w:rsidRDefault="00E55DA9" w:rsidP="00E55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May 2026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DA9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55D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Performance Overview (Current Status)</w:t>
      </w:r>
    </w:p>
    <w:p w:rsidR="00E55DA9" w:rsidRPr="00E55DA9" w:rsidRDefault="00E55DA9" w:rsidP="00E55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753M SAR</w:t>
      </w:r>
    </w:p>
    <w:p w:rsidR="00E55DA9" w:rsidRPr="00E55DA9" w:rsidRDefault="00E55DA9" w:rsidP="00E55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282M SAR (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Net Profit: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471M SAR – Strong profit margin)</w:t>
      </w:r>
    </w:p>
    <w:p w:rsidR="00E55DA9" w:rsidRPr="00E55DA9" w:rsidRDefault="00E55DA9" w:rsidP="00E55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2K flights, carrying 319K passengers.</w:t>
      </w:r>
    </w:p>
    <w:p w:rsidR="00E55DA9" w:rsidRPr="00E55DA9" w:rsidRDefault="00E55DA9" w:rsidP="00E55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Growth %: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21.0%</w:t>
      </w:r>
    </w:p>
    <w:p w:rsidR="00E55DA9" w:rsidRPr="00E55DA9" w:rsidRDefault="00E55DA9" w:rsidP="00E55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Delay: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37.61 minutes.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DA9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E55D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Identified Problems &amp; Bottlenecks</w:t>
      </w:r>
    </w:p>
    <w:p w:rsidR="00E55DA9" w:rsidRPr="00E55DA9" w:rsidRDefault="00E55DA9" w:rsidP="00E55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Based on the dashboard analysis,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issues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are impacting operational efficiency and customer satisfaction: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DA9">
        <w:rPr>
          <w:rFonts w:ascii="Times New Roman" w:eastAsia="Times New Roman" w:hAnsi="Times New Roman" w:cs="Times New Roman"/>
          <w:b/>
          <w:bCs/>
          <w:sz w:val="27"/>
          <w:szCs w:val="27"/>
        </w:rPr>
        <w:t>1. High Flight Delay Rates</w:t>
      </w:r>
    </w:p>
    <w:p w:rsidR="00E55DA9" w:rsidRPr="00E55DA9" w:rsidRDefault="00E55DA9" w:rsidP="00E55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The average delay is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37.61 minutes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per flight. In the aviation industry, this is a high metric that directly hurts customer satisfaction and increases operational friction.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DA9">
        <w:rPr>
          <w:rFonts w:ascii="Times New Roman" w:eastAsia="Times New Roman" w:hAnsi="Times New Roman" w:cs="Times New Roman"/>
          <w:b/>
          <w:bCs/>
          <w:sz w:val="27"/>
          <w:szCs w:val="27"/>
        </w:rPr>
        <w:t>2. Performance Drop in Specific Cities</w:t>
      </w:r>
    </w:p>
    <w:p w:rsidR="00E55DA9" w:rsidRPr="00E55DA9" w:rsidRDefault="00E55DA9" w:rsidP="00E55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E55DA9">
        <w:rPr>
          <w:rFonts w:ascii="Times New Roman" w:eastAsia="Times New Roman" w:hAnsi="Times New Roman" w:cs="Times New Roman"/>
          <w:i/>
          <w:iCs/>
          <w:sz w:val="24"/>
          <w:szCs w:val="24"/>
        </w:rPr>
        <w:t>Avg</w:t>
      </w:r>
      <w:proofErr w:type="spellEnd"/>
      <w:r w:rsidRPr="00E55DA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Performance Score by City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chart shows a clear downward trend. While Riyadh and Jeddah hold the highest scores (~3.79), performance drops sharply in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Dammam (3.70)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Abha</w:t>
      </w:r>
      <w:proofErr w:type="spellEnd"/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(3.69)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, and hits its lowest point in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Madinah (3.67)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DA9">
        <w:rPr>
          <w:rFonts w:ascii="Times New Roman" w:eastAsia="Times New Roman" w:hAnsi="Times New Roman" w:cs="Times New Roman"/>
          <w:b/>
          <w:bCs/>
          <w:sz w:val="27"/>
          <w:szCs w:val="27"/>
        </w:rPr>
        <w:t>3. Overreliance on Part-Time Overtime</w:t>
      </w:r>
    </w:p>
    <w:p w:rsidR="00E55DA9" w:rsidRPr="00E55DA9" w:rsidRDefault="00E55DA9" w:rsidP="00E55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There is a heavy and disproportionate reliance on overtime hours.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Part-Time employees record the highest overtime (16.7K hours)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>, even surpassing full-time and contract staff. This indicates understaffing or poor shift scheduling.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DA9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55D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Recommended Solutions &amp; Action Plan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DA9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E55DA9">
        <w:rPr>
          <w:rFonts w:ascii="Times New Roman" w:eastAsia="Times New Roman" w:hAnsi="Times New Roman" w:cs="Times New Roman"/>
          <w:b/>
          <w:bCs/>
          <w:sz w:val="27"/>
          <w:szCs w:val="27"/>
        </w:rPr>
        <w:t>️ Operations &amp; Performance Fixes:</w:t>
      </w:r>
    </w:p>
    <w:p w:rsidR="00E55DA9" w:rsidRPr="00E55DA9" w:rsidRDefault="00E55DA9" w:rsidP="00E55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Investigate Low-Performing Stations: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Audit ground operations in Madinah, </w:t>
      </w:r>
      <w:proofErr w:type="spellStart"/>
      <w:r w:rsidRPr="00E55DA9">
        <w:rPr>
          <w:rFonts w:ascii="Times New Roman" w:eastAsia="Times New Roman" w:hAnsi="Times New Roman" w:cs="Times New Roman"/>
          <w:sz w:val="24"/>
          <w:szCs w:val="24"/>
        </w:rPr>
        <w:t>Abha</w:t>
      </w:r>
      <w:proofErr w:type="spellEnd"/>
      <w:r w:rsidRPr="00E55DA9">
        <w:rPr>
          <w:rFonts w:ascii="Times New Roman" w:eastAsia="Times New Roman" w:hAnsi="Times New Roman" w:cs="Times New Roman"/>
          <w:sz w:val="24"/>
          <w:szCs w:val="24"/>
        </w:rPr>
        <w:t>, and Dammam. The lower performance scores are likely tied to the 37-minute flight delays (e.g., slow baggage handling, fueling, or boarding processes).</w:t>
      </w:r>
    </w:p>
    <w:p w:rsidR="00E55DA9" w:rsidRPr="00E55DA9" w:rsidRDefault="00E55DA9" w:rsidP="00E55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Aircraft Turnaround: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Since Maintenance Cost (22M) and Crew Cost (36M) are significant, improving scheduling and preventive maintenance routines will minimize unexpected delays.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DA9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E55D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Workforce &amp; Resource Optimization:</w:t>
      </w:r>
    </w:p>
    <w:p w:rsidR="00E55DA9" w:rsidRPr="00E55DA9" w:rsidRDefault="00E55DA9" w:rsidP="00E55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Restructure Overtime Strategy: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Paying massive overtime to Part-Time workers is financially inefficient. It is highly recommended to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convert top-performing part-timers to Full-Time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or hire additional baseline staff to eliminate excess overtime costs.</w:t>
      </w:r>
    </w:p>
    <w:p w:rsidR="00E55DA9" w:rsidRPr="00E55DA9" w:rsidRDefault="00E55DA9" w:rsidP="00E55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Align Salaries with Performance: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Interestingly, Madinah accounts for the highest share of monthly salaries (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21.31%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), yet yields the lowest performance score (3.67). Management should introduce stricter </w:t>
      </w:r>
      <w:r w:rsidRPr="00E55DA9">
        <w:rPr>
          <w:rFonts w:ascii="Times New Roman" w:eastAsia="Times New Roman" w:hAnsi="Times New Roman" w:cs="Times New Roman"/>
          <w:b/>
          <w:bCs/>
          <w:sz w:val="24"/>
          <w:szCs w:val="24"/>
        </w:rPr>
        <w:t>KPI-driven incentives</w:t>
      </w:r>
      <w:r w:rsidRPr="00E55DA9">
        <w:rPr>
          <w:rFonts w:ascii="Times New Roman" w:eastAsia="Times New Roman" w:hAnsi="Times New Roman" w:cs="Times New Roman"/>
          <w:sz w:val="24"/>
          <w:szCs w:val="24"/>
        </w:rPr>
        <w:t xml:space="preserve"> in the Madinah branch to align payroll with actual operational quality.</w:t>
      </w:r>
    </w:p>
    <w:p w:rsidR="00E55DA9" w:rsidRPr="00E55DA9" w:rsidRDefault="00E55DA9" w:rsidP="00E55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C1337" w:rsidRDefault="00E55DA9"/>
    <w:sectPr w:rsidR="00EC1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223F"/>
    <w:multiLevelType w:val="multilevel"/>
    <w:tmpl w:val="E91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6A8"/>
    <w:multiLevelType w:val="multilevel"/>
    <w:tmpl w:val="4E7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A89"/>
    <w:multiLevelType w:val="multilevel"/>
    <w:tmpl w:val="F72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8A2"/>
    <w:multiLevelType w:val="multilevel"/>
    <w:tmpl w:val="D89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92E15"/>
    <w:multiLevelType w:val="multilevel"/>
    <w:tmpl w:val="529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22EE"/>
    <w:multiLevelType w:val="multilevel"/>
    <w:tmpl w:val="730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A9"/>
    <w:rsid w:val="0038316F"/>
    <w:rsid w:val="00C72E1D"/>
    <w:rsid w:val="00E5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7E12"/>
  <w15:chartTrackingRefBased/>
  <w15:docId w15:val="{BE28BBC3-71D9-48FD-B7DC-F6DD0BB1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D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D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D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bakri</dc:creator>
  <cp:keywords/>
  <dc:description/>
  <cp:lastModifiedBy>bakri</cp:lastModifiedBy>
  <cp:revision>1</cp:revision>
  <dcterms:created xsi:type="dcterms:W3CDTF">2026-05-22T20:01:00Z</dcterms:created>
  <dcterms:modified xsi:type="dcterms:W3CDTF">2026-05-22T20:01:00Z</dcterms:modified>
</cp:coreProperties>
</file>