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03F056" w14:textId="77777777" w:rsidR="00810737" w:rsidRPr="0048733A" w:rsidRDefault="000B17E4">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lang w:val="en-GB"/>
        </w:rPr>
      </w:pPr>
      <w:r w:rsidRPr="0048733A">
        <w:rPr>
          <w:rFonts w:ascii="Times New Roman" w:eastAsia="Times New Roman" w:hAnsi="Times New Roman" w:cs="Times New Roman"/>
          <w:color w:val="000000"/>
          <w:sz w:val="24"/>
          <w:szCs w:val="24"/>
          <w:lang w:val="en-GB"/>
        </w:rPr>
        <w:t xml:space="preserve">What Makes a University Sustainable in the Eyes of its Core Community? </w:t>
      </w:r>
    </w:p>
    <w:p w14:paraId="0327C61F" w14:textId="77777777" w:rsidR="00810737" w:rsidRPr="0048733A" w:rsidRDefault="000B17E4">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lang w:val="en-GB"/>
        </w:rPr>
      </w:pPr>
      <w:r w:rsidRPr="0048733A">
        <w:rPr>
          <w:rFonts w:ascii="Times New Roman" w:eastAsia="Times New Roman" w:hAnsi="Times New Roman" w:cs="Times New Roman"/>
          <w:color w:val="000000"/>
          <w:sz w:val="24"/>
          <w:szCs w:val="24"/>
          <w:lang w:val="en-GB"/>
        </w:rPr>
        <w:t>Sustainability Expectation–Perception Gap</w:t>
      </w:r>
    </w:p>
    <w:p w14:paraId="27E8538D" w14:textId="77777777" w:rsidR="00810737" w:rsidRPr="0048733A" w:rsidRDefault="00810737">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lang w:val="en-GB"/>
        </w:rPr>
      </w:pPr>
    </w:p>
    <w:p w14:paraId="3F7D79F7" w14:textId="26DD6F24" w:rsidR="00C01296" w:rsidRPr="0048733A" w:rsidRDefault="000B17E4" w:rsidP="00C0129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val="en-GB"/>
        </w:rPr>
      </w:pPr>
      <w:r w:rsidRPr="0048733A">
        <w:rPr>
          <w:rFonts w:ascii="Times New Roman" w:eastAsia="Times New Roman" w:hAnsi="Times New Roman" w:cs="Times New Roman"/>
          <w:b/>
          <w:bCs/>
          <w:color w:val="000000"/>
          <w:sz w:val="24"/>
          <w:szCs w:val="24"/>
          <w:lang w:val="en-GB"/>
        </w:rPr>
        <w:t xml:space="preserve">Purpose </w:t>
      </w:r>
      <w:r w:rsidR="00A13B45" w:rsidRPr="0048733A">
        <w:rPr>
          <w:rFonts w:ascii="Times New Roman" w:eastAsia="Times New Roman" w:hAnsi="Times New Roman" w:cs="Times New Roman"/>
          <w:b/>
          <w:bCs/>
          <w:color w:val="000000"/>
          <w:sz w:val="24"/>
          <w:szCs w:val="24"/>
          <w:lang w:val="en-GB"/>
        </w:rPr>
        <w:t>–</w:t>
      </w:r>
      <w:r w:rsidR="00C01296" w:rsidRPr="0048733A">
        <w:rPr>
          <w:rFonts w:ascii="Times New Roman" w:eastAsia="Times New Roman" w:hAnsi="Times New Roman" w:cs="Times New Roman"/>
          <w:sz w:val="24"/>
          <w:szCs w:val="24"/>
          <w:lang w:val="en-GB"/>
        </w:rPr>
        <w:t xml:space="preserve">This study adopts a </w:t>
      </w:r>
      <w:r w:rsidR="00A13B45" w:rsidRPr="0048733A">
        <w:rPr>
          <w:rFonts w:ascii="Times New Roman" w:eastAsia="Times New Roman" w:hAnsi="Times New Roman" w:cs="Times New Roman"/>
          <w:sz w:val="24"/>
          <w:szCs w:val="24"/>
          <w:lang w:val="en-GB"/>
        </w:rPr>
        <w:t>behavioural</w:t>
      </w:r>
      <w:r w:rsidR="00C01296" w:rsidRPr="0048733A">
        <w:rPr>
          <w:rFonts w:ascii="Times New Roman" w:eastAsia="Times New Roman" w:hAnsi="Times New Roman" w:cs="Times New Roman"/>
          <w:sz w:val="24"/>
          <w:szCs w:val="24"/>
          <w:lang w:val="en-GB"/>
        </w:rPr>
        <w:t>, stakeholder</w:t>
      </w:r>
      <w:r w:rsidR="00A13B45" w:rsidRPr="0048733A">
        <w:rPr>
          <w:rFonts w:ascii="Times New Roman" w:eastAsia="Times New Roman" w:hAnsi="Times New Roman" w:cs="Times New Roman"/>
          <w:sz w:val="24"/>
          <w:szCs w:val="24"/>
          <w:lang w:val="en-GB"/>
        </w:rPr>
        <w:t xml:space="preserve"> </w:t>
      </w:r>
      <w:r w:rsidR="00C01296" w:rsidRPr="0048733A">
        <w:rPr>
          <w:rFonts w:ascii="Times New Roman" w:eastAsia="Times New Roman" w:hAnsi="Times New Roman" w:cs="Times New Roman"/>
          <w:sz w:val="24"/>
          <w:szCs w:val="24"/>
          <w:lang w:val="en-GB"/>
        </w:rPr>
        <w:t>centred approach to identify the key dimensions of university sustainability valued by internal stakeholders</w:t>
      </w:r>
      <w:r w:rsidR="00400443" w:rsidRPr="0048733A">
        <w:rPr>
          <w:rFonts w:ascii="Times New Roman" w:eastAsia="Times New Roman" w:hAnsi="Times New Roman" w:cs="Times New Roman"/>
          <w:sz w:val="24"/>
          <w:szCs w:val="24"/>
          <w:lang w:val="en-GB"/>
        </w:rPr>
        <w:t xml:space="preserve"> </w:t>
      </w:r>
      <w:r w:rsidRPr="0048733A">
        <w:rPr>
          <w:rFonts w:ascii="Times New Roman" w:eastAsia="Times New Roman" w:hAnsi="Times New Roman" w:cs="Times New Roman"/>
          <w:sz w:val="24"/>
          <w:szCs w:val="24"/>
          <w:lang w:val="en-GB"/>
        </w:rPr>
        <w:t xml:space="preserve">(students, faculty members and administrative staff). </w:t>
      </w:r>
      <w:r w:rsidR="00C01296" w:rsidRPr="0048733A">
        <w:rPr>
          <w:rFonts w:ascii="Times New Roman" w:eastAsia="Times New Roman" w:hAnsi="Times New Roman" w:cs="Times New Roman"/>
          <w:sz w:val="24"/>
          <w:szCs w:val="24"/>
          <w:lang w:val="en-GB"/>
        </w:rPr>
        <w:t>It examines how they prioritize environmental, social, and economic</w:t>
      </w:r>
      <w:r w:rsidR="00400443" w:rsidRPr="0048733A">
        <w:rPr>
          <w:rFonts w:ascii="Times New Roman" w:eastAsia="Times New Roman" w:hAnsi="Times New Roman" w:cs="Times New Roman"/>
          <w:sz w:val="24"/>
          <w:szCs w:val="24"/>
          <w:lang w:val="en-GB"/>
        </w:rPr>
        <w:t xml:space="preserve"> dimensions, </w:t>
      </w:r>
      <w:r w:rsidR="00C01296" w:rsidRPr="0048733A">
        <w:rPr>
          <w:rFonts w:ascii="Times New Roman" w:eastAsia="Times New Roman" w:hAnsi="Times New Roman" w:cs="Times New Roman"/>
          <w:sz w:val="24"/>
          <w:szCs w:val="24"/>
          <w:lang w:val="en-GB"/>
        </w:rPr>
        <w:t>assesses gaps between expectations and perceived initiatives, and proposes a composite score to support the University Sustainability Performance Index (USPI).</w:t>
      </w:r>
    </w:p>
    <w:p w14:paraId="59C69C3A" w14:textId="41AD7831" w:rsidR="00C01296" w:rsidRPr="0048733A" w:rsidRDefault="000B17E4" w:rsidP="000B17E4">
      <w:pPr>
        <w:pStyle w:val="NormalWeb"/>
        <w:jc w:val="both"/>
        <w:rPr>
          <w:lang w:val="en-GB"/>
        </w:rPr>
      </w:pPr>
      <w:r w:rsidRPr="0048733A">
        <w:rPr>
          <w:b/>
          <w:bCs/>
          <w:color w:val="000000"/>
          <w:lang w:val="en-GB"/>
        </w:rPr>
        <w:t>Design/methodology/approach –</w:t>
      </w:r>
      <w:r w:rsidR="00C01296" w:rsidRPr="0048733A">
        <w:rPr>
          <w:lang w:val="en-GB"/>
        </w:rPr>
        <w:t xml:space="preserve"> This study uses a qualitative case study approach within a single university, conducting semi-structured interviews with</w:t>
      </w:r>
      <w:r w:rsidRPr="0048733A">
        <w:rPr>
          <w:lang w:val="en-GB"/>
        </w:rPr>
        <w:t xml:space="preserve"> internal stakeholders</w:t>
      </w:r>
      <w:r w:rsidR="00C01296" w:rsidRPr="0048733A">
        <w:rPr>
          <w:lang w:val="en-GB"/>
        </w:rPr>
        <w:t xml:space="preserve"> to explore perceptions of environmental, social, and economic sustainability. Thematic analysis identified</w:t>
      </w:r>
      <w:r w:rsidR="00A13B45" w:rsidRPr="0048733A">
        <w:rPr>
          <w:lang w:val="en-GB"/>
        </w:rPr>
        <w:t xml:space="preserve"> </w:t>
      </w:r>
      <w:r w:rsidR="00C01296" w:rsidRPr="0048733A">
        <w:rPr>
          <w:lang w:val="en-GB"/>
        </w:rPr>
        <w:t>sustainability</w:t>
      </w:r>
      <w:r w:rsidRPr="0048733A">
        <w:rPr>
          <w:lang w:val="en-GB"/>
        </w:rPr>
        <w:t xml:space="preserve"> university</w:t>
      </w:r>
      <w:r w:rsidR="00C01296" w:rsidRPr="0048733A">
        <w:rPr>
          <w:lang w:val="en-GB"/>
        </w:rPr>
        <w:t xml:space="preserve"> dimensions. </w:t>
      </w:r>
    </w:p>
    <w:p w14:paraId="762D5042" w14:textId="6302A73B" w:rsidR="00810737" w:rsidRPr="0048733A" w:rsidRDefault="000B17E4" w:rsidP="00C01296">
      <w:pPr>
        <w:pStyle w:val="NormalWeb"/>
        <w:jc w:val="both"/>
        <w:rPr>
          <w:lang w:val="en-GB"/>
        </w:rPr>
      </w:pPr>
      <w:r w:rsidRPr="0048733A">
        <w:rPr>
          <w:b/>
          <w:bCs/>
          <w:color w:val="000000"/>
          <w:lang w:val="en-GB"/>
        </w:rPr>
        <w:t xml:space="preserve">Findings </w:t>
      </w:r>
      <w:r w:rsidRPr="0048733A">
        <w:rPr>
          <w:color w:val="000000"/>
          <w:lang w:val="en-GB"/>
        </w:rPr>
        <w:t xml:space="preserve">– </w:t>
      </w:r>
      <w:r w:rsidR="00EA020D" w:rsidRPr="0048733A">
        <w:rPr>
          <w:lang w:val="en-GB"/>
        </w:rPr>
        <w:t>The results reveal gaps between stakeholder perceptions and expectations. Socially, student well-being and community engagement need stronger structuring. Environmental initiatives are recognized, yet sustainable mobility and awareness require better formalization. Economic gaps remain significant, especially in energy optimization, financial governance</w:t>
      </w:r>
      <w:r w:rsidR="00A13B45" w:rsidRPr="0048733A">
        <w:rPr>
          <w:lang w:val="en-GB"/>
        </w:rPr>
        <w:t xml:space="preserve"> </w:t>
      </w:r>
      <w:r w:rsidR="00EA020D" w:rsidRPr="0048733A">
        <w:rPr>
          <w:lang w:val="en-GB"/>
        </w:rPr>
        <w:t>and sustainable investment.</w:t>
      </w:r>
    </w:p>
    <w:p w14:paraId="3BF94466" w14:textId="306801D3" w:rsidR="00EA020D" w:rsidRPr="0048733A" w:rsidRDefault="000B17E4" w:rsidP="00A13B4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val="en-GB"/>
        </w:rPr>
      </w:pPr>
      <w:r w:rsidRPr="0048733A">
        <w:rPr>
          <w:rFonts w:ascii="Times New Roman" w:eastAsia="Times New Roman" w:hAnsi="Times New Roman" w:cs="Times New Roman"/>
          <w:b/>
          <w:bCs/>
          <w:color w:val="000000"/>
          <w:sz w:val="24"/>
          <w:szCs w:val="24"/>
          <w:lang w:val="en-GB"/>
        </w:rPr>
        <w:t>Research limitations</w:t>
      </w:r>
      <w:r w:rsidRPr="0048733A">
        <w:rPr>
          <w:rFonts w:ascii="Times New Roman" w:eastAsia="Times New Roman" w:hAnsi="Times New Roman" w:cs="Times New Roman"/>
          <w:color w:val="000000"/>
          <w:sz w:val="24"/>
          <w:szCs w:val="24"/>
          <w:lang w:val="en-GB"/>
        </w:rPr>
        <w:t xml:space="preserve"> – </w:t>
      </w:r>
      <w:r w:rsidR="00EA020D" w:rsidRPr="0048733A">
        <w:rPr>
          <w:rFonts w:ascii="Times New Roman" w:eastAsia="Times New Roman" w:hAnsi="Times New Roman" w:cs="Times New Roman"/>
          <w:color w:val="000000"/>
          <w:sz w:val="24"/>
          <w:szCs w:val="24"/>
          <w:lang w:val="en-GB"/>
        </w:rPr>
        <w:t xml:space="preserve">The study focuses on internal stakeholders in a specific context. Future research could include external stakeholders and cross-institutional comparisons. </w:t>
      </w:r>
    </w:p>
    <w:p w14:paraId="45A11D4E" w14:textId="38FF5108" w:rsidR="00810737" w:rsidRPr="0048733A" w:rsidRDefault="000B17E4" w:rsidP="00A13B4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val="en-GB"/>
        </w:rPr>
      </w:pPr>
      <w:r w:rsidRPr="0048733A">
        <w:rPr>
          <w:rFonts w:ascii="Times New Roman" w:eastAsia="Times New Roman" w:hAnsi="Times New Roman" w:cs="Times New Roman"/>
          <w:b/>
          <w:bCs/>
          <w:color w:val="000000"/>
          <w:sz w:val="24"/>
          <w:szCs w:val="24"/>
          <w:lang w:val="en-GB"/>
        </w:rPr>
        <w:t>Practical implications</w:t>
      </w:r>
      <w:r w:rsidRPr="0048733A">
        <w:rPr>
          <w:rFonts w:ascii="Times New Roman" w:eastAsia="Times New Roman" w:hAnsi="Times New Roman" w:cs="Times New Roman"/>
          <w:color w:val="000000"/>
          <w:sz w:val="24"/>
          <w:szCs w:val="24"/>
          <w:lang w:val="en-GB"/>
        </w:rPr>
        <w:t xml:space="preserve"> – The USPI provides university leaders with a transparent, stakeholder-driven decision-support tool to assess sustainability performance and prioritize strategic actions effectively. </w:t>
      </w:r>
    </w:p>
    <w:p w14:paraId="50EE0144" w14:textId="58AD189C" w:rsidR="00810737" w:rsidRPr="0048733A" w:rsidRDefault="000B17E4" w:rsidP="00C0129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val="en-GB"/>
        </w:rPr>
      </w:pPr>
      <w:r w:rsidRPr="0048733A">
        <w:rPr>
          <w:rFonts w:ascii="Times New Roman" w:eastAsia="Times New Roman" w:hAnsi="Times New Roman" w:cs="Times New Roman"/>
          <w:b/>
          <w:bCs/>
          <w:color w:val="000000"/>
          <w:sz w:val="24"/>
          <w:szCs w:val="24"/>
          <w:lang w:val="en-GB"/>
        </w:rPr>
        <w:t>Social implications</w:t>
      </w:r>
      <w:r w:rsidRPr="0048733A">
        <w:rPr>
          <w:rFonts w:ascii="Times New Roman" w:eastAsia="Times New Roman" w:hAnsi="Times New Roman" w:cs="Times New Roman"/>
          <w:color w:val="000000"/>
          <w:sz w:val="24"/>
          <w:szCs w:val="24"/>
          <w:lang w:val="en-GB"/>
        </w:rPr>
        <w:t xml:space="preserve"> – By aligning institutional sustainability practices with stakeholder defined priorities, universities can enhance their societal resonance, strengthen trust and contribute more effectively to the SDGs, particularly 4, 8, 9 and 17. </w:t>
      </w:r>
    </w:p>
    <w:p w14:paraId="55B375ED" w14:textId="22022923" w:rsidR="00810737" w:rsidRPr="0048733A" w:rsidRDefault="000B17E4" w:rsidP="00C0129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val="en-GB"/>
        </w:rPr>
      </w:pPr>
      <w:r w:rsidRPr="0048733A">
        <w:rPr>
          <w:rFonts w:ascii="Times New Roman" w:eastAsia="Times New Roman" w:hAnsi="Times New Roman" w:cs="Times New Roman"/>
          <w:b/>
          <w:bCs/>
          <w:color w:val="000000"/>
          <w:sz w:val="24"/>
          <w:szCs w:val="24"/>
          <w:lang w:val="en-GB"/>
        </w:rPr>
        <w:t>Originality/value</w:t>
      </w:r>
      <w:r w:rsidRPr="0048733A">
        <w:rPr>
          <w:rFonts w:ascii="Times New Roman" w:eastAsia="Times New Roman" w:hAnsi="Times New Roman" w:cs="Times New Roman"/>
          <w:color w:val="000000"/>
          <w:sz w:val="24"/>
          <w:szCs w:val="24"/>
          <w:lang w:val="en-GB"/>
        </w:rPr>
        <w:t xml:space="preserve"> – This study moves beyond traditional operational sustainability metrics by adopting a </w:t>
      </w:r>
      <w:r w:rsidR="00DA0F40" w:rsidRPr="0048733A">
        <w:rPr>
          <w:rFonts w:ascii="Times New Roman" w:eastAsia="Times New Roman" w:hAnsi="Times New Roman" w:cs="Times New Roman"/>
          <w:color w:val="000000"/>
          <w:sz w:val="24"/>
          <w:szCs w:val="24"/>
          <w:lang w:val="en-GB"/>
        </w:rPr>
        <w:t>behavioural</w:t>
      </w:r>
      <w:r w:rsidRPr="0048733A">
        <w:rPr>
          <w:rFonts w:ascii="Times New Roman" w:eastAsia="Times New Roman" w:hAnsi="Times New Roman" w:cs="Times New Roman"/>
          <w:color w:val="000000"/>
          <w:sz w:val="24"/>
          <w:szCs w:val="24"/>
          <w:lang w:val="en-GB"/>
        </w:rPr>
        <w:t xml:space="preserve"> and stakeholder-</w:t>
      </w:r>
      <w:r w:rsidR="00DA0F40" w:rsidRPr="0048733A">
        <w:rPr>
          <w:rFonts w:ascii="Times New Roman" w:eastAsia="Times New Roman" w:hAnsi="Times New Roman" w:cs="Times New Roman"/>
          <w:color w:val="000000"/>
          <w:sz w:val="24"/>
          <w:szCs w:val="24"/>
          <w:lang w:val="en-GB"/>
        </w:rPr>
        <w:t>centred</w:t>
      </w:r>
      <w:r w:rsidRPr="0048733A">
        <w:rPr>
          <w:rFonts w:ascii="Times New Roman" w:eastAsia="Times New Roman" w:hAnsi="Times New Roman" w:cs="Times New Roman"/>
          <w:color w:val="000000"/>
          <w:sz w:val="24"/>
          <w:szCs w:val="24"/>
          <w:lang w:val="en-GB"/>
        </w:rPr>
        <w:t xml:space="preserve"> approach. It introduces a composite index grounded in stakeholder preferences, offering a novel answer to the question of what defines a sustainable university. </w:t>
      </w:r>
    </w:p>
    <w:p w14:paraId="60BFF856" w14:textId="55269E0B" w:rsidR="00810737" w:rsidRPr="0048733A" w:rsidRDefault="000B17E4" w:rsidP="00C01296">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GB"/>
        </w:rPr>
      </w:pPr>
      <w:r w:rsidRPr="0048733A">
        <w:rPr>
          <w:rFonts w:ascii="Times New Roman" w:eastAsia="Times New Roman" w:hAnsi="Times New Roman" w:cs="Times New Roman"/>
          <w:color w:val="000000"/>
          <w:sz w:val="24"/>
          <w:szCs w:val="24"/>
          <w:lang w:val="en-GB"/>
        </w:rPr>
        <w:t xml:space="preserve">Keywords – University sustainability; </w:t>
      </w:r>
      <w:r w:rsidR="00C01296" w:rsidRPr="0048733A">
        <w:rPr>
          <w:rFonts w:ascii="Times New Roman" w:eastAsia="Times New Roman" w:hAnsi="Times New Roman" w:cs="Times New Roman"/>
          <w:color w:val="000000"/>
          <w:sz w:val="24"/>
          <w:szCs w:val="24"/>
          <w:lang w:val="en-GB"/>
        </w:rPr>
        <w:t>Sustainability Expectation–Perception Gap</w:t>
      </w:r>
      <w:r w:rsidRPr="0048733A">
        <w:rPr>
          <w:rFonts w:ascii="Times New Roman" w:eastAsia="Times New Roman" w:hAnsi="Times New Roman" w:cs="Times New Roman"/>
          <w:color w:val="000000"/>
          <w:sz w:val="24"/>
          <w:szCs w:val="24"/>
          <w:lang w:val="en-GB"/>
        </w:rPr>
        <w:t>; SDGs; University Sustainability Performance Index (USPI).</w:t>
      </w:r>
    </w:p>
    <w:p w14:paraId="3FA6E305" w14:textId="77777777" w:rsidR="00810737" w:rsidRPr="0048733A" w:rsidRDefault="000B17E4" w:rsidP="00C0129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val="en-GB"/>
        </w:rPr>
      </w:pPr>
      <w:r w:rsidRPr="0048733A">
        <w:rPr>
          <w:rFonts w:ascii="Times New Roman" w:eastAsia="Times New Roman" w:hAnsi="Times New Roman" w:cs="Times New Roman"/>
          <w:color w:val="000000"/>
          <w:sz w:val="24"/>
          <w:szCs w:val="24"/>
          <w:lang w:val="en-GB"/>
        </w:rPr>
        <w:t>Article Type - Research paper</w:t>
      </w:r>
    </w:p>
    <w:p w14:paraId="00600040" w14:textId="36E8D4BB" w:rsidR="00810737" w:rsidRPr="0048733A" w:rsidRDefault="00810737">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lang w:val="en-GB"/>
        </w:rPr>
      </w:pPr>
    </w:p>
    <w:p w14:paraId="1D35D71D" w14:textId="358A2A75" w:rsidR="000B17E4" w:rsidRPr="0048733A" w:rsidRDefault="000B17E4">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lang w:val="en-GB"/>
        </w:rPr>
      </w:pPr>
    </w:p>
    <w:p w14:paraId="108BA9D1" w14:textId="58FE6C33" w:rsidR="000B17E4" w:rsidRPr="0048733A" w:rsidRDefault="000B17E4">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lang w:val="en-GB"/>
        </w:rPr>
      </w:pPr>
    </w:p>
    <w:p w14:paraId="3389BFFD" w14:textId="4697101F" w:rsidR="000B17E4" w:rsidRPr="0048733A" w:rsidRDefault="000B17E4">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lang w:val="en-GB"/>
        </w:rPr>
      </w:pPr>
    </w:p>
    <w:p w14:paraId="2C524C7B" w14:textId="6C4CCEA4" w:rsidR="000B17E4" w:rsidRPr="0048733A" w:rsidRDefault="000B17E4">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lang w:val="en-GB"/>
        </w:rPr>
      </w:pPr>
    </w:p>
    <w:p w14:paraId="59A0601D" w14:textId="77777777" w:rsidR="000B17E4" w:rsidRPr="0048733A" w:rsidRDefault="000B17E4">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lang w:val="en-GB"/>
        </w:rPr>
      </w:pPr>
    </w:p>
    <w:p w14:paraId="7DF64B06" w14:textId="77777777" w:rsidR="00810737" w:rsidRPr="0048733A" w:rsidRDefault="000B17E4">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lang w:val="en-GB"/>
        </w:rPr>
      </w:pPr>
      <w:r w:rsidRPr="0048733A">
        <w:rPr>
          <w:rFonts w:ascii="Times New Roman" w:eastAsia="Times New Roman" w:hAnsi="Times New Roman" w:cs="Times New Roman"/>
          <w:b/>
          <w:bCs/>
          <w:color w:val="000000"/>
          <w:sz w:val="28"/>
          <w:szCs w:val="28"/>
          <w:lang w:val="en-GB"/>
        </w:rPr>
        <w:lastRenderedPageBreak/>
        <w:t xml:space="preserve">Introduction </w:t>
      </w:r>
    </w:p>
    <w:p w14:paraId="600A44D0" w14:textId="148A8060" w:rsidR="00790B96" w:rsidRPr="00790B96" w:rsidRDefault="00790B96" w:rsidP="00790B96">
      <w:pPr>
        <w:pStyle w:val="NormalWeb"/>
        <w:jc w:val="both"/>
        <w:rPr>
          <w:lang w:val="en-GB"/>
        </w:rPr>
      </w:pPr>
      <w:r w:rsidRPr="00790B96">
        <w:rPr>
          <w:lang w:val="en-GB"/>
        </w:rPr>
        <w:t xml:space="preserve">Sustainability in higher education institutions (HEIs) has become a strategic and societal imperative in response to growing environmental, social, economic, and governance challenges worldwide </w:t>
      </w:r>
      <w:r w:rsidRPr="00790B96">
        <w:rPr>
          <w:b/>
          <w:bCs/>
          <w:lang w:val="en-GB"/>
        </w:rPr>
        <w:t>(</w:t>
      </w:r>
      <w:r w:rsidRPr="00790B96">
        <w:rPr>
          <w:rStyle w:val="lev"/>
          <w:b w:val="0"/>
          <w:bCs w:val="0"/>
          <w:lang w:val="en-GB"/>
        </w:rPr>
        <w:t>Velazquez et al., 2006; Alshuwaikhat &amp; Abubakar, 2008)</w:t>
      </w:r>
      <w:r w:rsidRPr="00790B96">
        <w:rPr>
          <w:b/>
          <w:bCs/>
          <w:lang w:val="en-GB"/>
        </w:rPr>
        <w:t>.</w:t>
      </w:r>
      <w:r w:rsidRPr="00790B96">
        <w:rPr>
          <w:lang w:val="en-GB"/>
        </w:rPr>
        <w:t xml:space="preserve"> Universities are no longer perceived solely as knowledge-producing entities; they are increasingly expected to act as transformative agents capable of shaping sustainable development trajectories (</w:t>
      </w:r>
      <w:r w:rsidRPr="00790B96">
        <w:rPr>
          <w:rStyle w:val="lev"/>
          <w:b w:val="0"/>
          <w:bCs w:val="0"/>
          <w:lang w:val="en-GB"/>
        </w:rPr>
        <w:t>Popowska &amp; Sady, 2024; Sugiarto et al., 2022</w:t>
      </w:r>
      <w:r w:rsidRPr="00790B96">
        <w:rPr>
          <w:b/>
          <w:bCs/>
          <w:lang w:val="en-GB"/>
        </w:rPr>
        <w:t>).</w:t>
      </w:r>
      <w:r w:rsidRPr="00790B96">
        <w:rPr>
          <w:lang w:val="en-GB"/>
        </w:rPr>
        <w:t xml:space="preserve"> In alignment with the United Nations Sustainable Development Goals (SDGs), sustainability in HEIs extends beyond environmental stewardship to encompass social equity, economic viability, institutional governance, and academic excellence </w:t>
      </w:r>
      <w:r w:rsidRPr="00790B96">
        <w:rPr>
          <w:b/>
          <w:bCs/>
          <w:lang w:val="en-GB"/>
        </w:rPr>
        <w:t>(</w:t>
      </w:r>
      <w:r w:rsidRPr="00790B96">
        <w:rPr>
          <w:rStyle w:val="lev"/>
          <w:b w:val="0"/>
          <w:bCs w:val="0"/>
          <w:lang w:val="en-GB"/>
        </w:rPr>
        <w:t>Alshuwaikhat et al., 2016</w:t>
      </w:r>
      <w:r w:rsidRPr="00790B96">
        <w:rPr>
          <w:b/>
          <w:bCs/>
          <w:lang w:val="en-GB"/>
        </w:rPr>
        <w:t>).</w:t>
      </w:r>
    </w:p>
    <w:p w14:paraId="04FEC7B7" w14:textId="029CC930" w:rsidR="00790B96" w:rsidRPr="00790B96" w:rsidRDefault="00790B96" w:rsidP="00790B96">
      <w:pPr>
        <w:pStyle w:val="NormalWeb"/>
        <w:jc w:val="both"/>
        <w:rPr>
          <w:b/>
          <w:bCs/>
          <w:lang w:val="en-GB"/>
        </w:rPr>
      </w:pPr>
      <w:r w:rsidRPr="00790B96">
        <w:rPr>
          <w:lang w:val="en-GB"/>
        </w:rPr>
        <w:t>Despite the proliferation of sustainability rankings, reporting frameworks, and performance indicators, existing assessment tools often remain predominantly operational and managerial in nature (</w:t>
      </w:r>
      <w:r w:rsidRPr="00790B96">
        <w:rPr>
          <w:rStyle w:val="lev"/>
          <w:b w:val="0"/>
          <w:bCs w:val="0"/>
          <w:lang w:val="en-GB"/>
        </w:rPr>
        <w:t>Sonetti et al., 2016; Horan &amp; O’Regan, 2021</w:t>
      </w:r>
      <w:r w:rsidRPr="00790B96">
        <w:rPr>
          <w:b/>
          <w:bCs/>
          <w:lang w:val="en-GB"/>
        </w:rPr>
        <w:t>).</w:t>
      </w:r>
      <w:r w:rsidRPr="00790B96">
        <w:rPr>
          <w:lang w:val="en-GB"/>
        </w:rPr>
        <w:t xml:space="preserve"> They typically rely on externally defined metrics and institutional reporting mechanisms, while giving limited attention to how sustainability is perceived and prioritized by the university’s own academic community. This represents a significant conceptual gap. Sustainability is not merely a technical or administrative construct; it is also a socially constructed and behaviourally interpreted phenomenon shaped by stakeholder perceptions, expectations, and value systems (</w:t>
      </w:r>
      <w:r w:rsidRPr="00790B96">
        <w:rPr>
          <w:rStyle w:val="lev"/>
          <w:b w:val="0"/>
          <w:bCs w:val="0"/>
          <w:lang w:val="en-GB"/>
        </w:rPr>
        <w:t>Dagiliūtė et al., 2018; Zhao &amp; Zou, 2023</w:t>
      </w:r>
      <w:r w:rsidRPr="00790B96">
        <w:rPr>
          <w:b/>
          <w:bCs/>
          <w:lang w:val="en-GB"/>
        </w:rPr>
        <w:t>).</w:t>
      </w:r>
    </w:p>
    <w:p w14:paraId="3D407D64" w14:textId="77777777" w:rsidR="00790B96" w:rsidRPr="00790B96" w:rsidRDefault="00790B96" w:rsidP="00790B96">
      <w:pPr>
        <w:pStyle w:val="NormalWeb"/>
        <w:jc w:val="both"/>
        <w:rPr>
          <w:lang w:val="en-GB"/>
        </w:rPr>
      </w:pPr>
      <w:r w:rsidRPr="00790B96">
        <w:rPr>
          <w:lang w:val="en-GB"/>
        </w:rPr>
        <w:t>Stakeholder theory (</w:t>
      </w:r>
      <w:r w:rsidRPr="00790B96">
        <w:rPr>
          <w:rStyle w:val="lev"/>
          <w:b w:val="0"/>
          <w:bCs w:val="0"/>
          <w:lang w:val="en-GB"/>
        </w:rPr>
        <w:t>Freeman, 1984</w:t>
      </w:r>
      <w:r w:rsidRPr="00790B96">
        <w:rPr>
          <w:lang w:val="en-GB"/>
        </w:rPr>
        <w:t>) posits that organizational sustainability depends on the integration of diverse stakeholder interests. Within HEIs, internal stakeholders, particularly students and faculty, play a central role in shaping the institution’s sustainability identity (</w:t>
      </w:r>
      <w:r w:rsidRPr="00790B96">
        <w:rPr>
          <w:rStyle w:val="lev"/>
          <w:b w:val="0"/>
          <w:bCs w:val="0"/>
          <w:lang w:val="en-GB"/>
        </w:rPr>
        <w:t>Alshuwaikhat &amp; Abubakar, 2008; Disterheft et al., 2013</w:t>
      </w:r>
      <w:r w:rsidRPr="00790B96">
        <w:rPr>
          <w:lang w:val="en-GB"/>
        </w:rPr>
        <w:t>). Students seek meaningful education, employability, and ethical alignment with societal challenges, while faculty members emphasize academic integrity, research impact, and institutional mission. Yet, little empirical research has systematically examined how these core actors interpret sustainability, how they prioritize its dimensions, and how they evaluate institutional performance relative to their expectations (</w:t>
      </w:r>
      <w:r w:rsidRPr="00790B96">
        <w:rPr>
          <w:rStyle w:val="lev"/>
          <w:b w:val="0"/>
          <w:bCs w:val="0"/>
          <w:lang w:val="en-GB"/>
        </w:rPr>
        <w:t>Dagiliūtė et al., 2018; Yasin et al., 2024</w:t>
      </w:r>
      <w:r w:rsidRPr="00790B96">
        <w:rPr>
          <w:lang w:val="en-GB"/>
        </w:rPr>
        <w:t>).</w:t>
      </w:r>
    </w:p>
    <w:p w14:paraId="6E172ADC" w14:textId="77777777" w:rsidR="00790B96" w:rsidRPr="00790B96" w:rsidRDefault="00790B96" w:rsidP="00790B96">
      <w:pPr>
        <w:pStyle w:val="NormalWeb"/>
        <w:jc w:val="both"/>
        <w:rPr>
          <w:lang w:val="en-GB"/>
        </w:rPr>
      </w:pPr>
      <w:r w:rsidRPr="00790B96">
        <w:rPr>
          <w:lang w:val="en-GB"/>
        </w:rPr>
        <w:t>Addressing this gap is essential for developing assessment tools that genuinely reflect institutional realities rather than externally imposed benchmarks. If sustainability indices are to guide strategic decision-making effectively, they must be grounded in stakeholder-defined priorities (</w:t>
      </w:r>
      <w:r w:rsidRPr="00790B96">
        <w:rPr>
          <w:rStyle w:val="lev"/>
          <w:b w:val="0"/>
          <w:bCs w:val="0"/>
          <w:lang w:val="en-GB"/>
        </w:rPr>
        <w:t>Velazquez et al., 2006; Alshuwaikhat et al., 2016</w:t>
      </w:r>
      <w:r w:rsidRPr="00790B96">
        <w:rPr>
          <w:lang w:val="en-GB"/>
        </w:rPr>
        <w:t>). In this context, understanding what makes a university “sustainable” in the eyes of its core community becomes a critical research question.</w:t>
      </w:r>
    </w:p>
    <w:p w14:paraId="09D42958" w14:textId="1C2018A7" w:rsidR="00790B96" w:rsidRPr="00790B96" w:rsidRDefault="00790B96" w:rsidP="00790B96">
      <w:pPr>
        <w:pStyle w:val="NormalWeb"/>
        <w:jc w:val="both"/>
        <w:rPr>
          <w:lang w:val="en-GB"/>
        </w:rPr>
      </w:pPr>
      <w:r w:rsidRPr="00790B96">
        <w:rPr>
          <w:lang w:val="en-GB"/>
        </w:rPr>
        <w:t>This study adopts a behavioural and stakeholder centred perspective to analyse the sustainability preferences of students, faculty members, and administrative staff within a case-study university. Through qualitative inquiry, it explores how these actors interpret environmental, social, and economic sustainability dimensions, how they hierarchize them, and how they perceive institutional performance. By identifying expectation–performance gaps, the study provides an empirical foundation for proposing a composite sustainability score aligned with stakeholder-defined priorities (</w:t>
      </w:r>
      <w:r w:rsidRPr="00790B96">
        <w:rPr>
          <w:rStyle w:val="lev"/>
          <w:b w:val="0"/>
          <w:bCs w:val="0"/>
          <w:lang w:val="en-GB"/>
        </w:rPr>
        <w:t>Zhao &amp; Zou, 2023; Dagiliūtė et al., 2018</w:t>
      </w:r>
      <w:r w:rsidRPr="00790B96">
        <w:rPr>
          <w:lang w:val="en-GB"/>
        </w:rPr>
        <w:t>).</w:t>
      </w:r>
    </w:p>
    <w:p w14:paraId="56C584C3" w14:textId="165E7405" w:rsidR="00810737" w:rsidRPr="00790B96" w:rsidRDefault="00790B96" w:rsidP="00790B96">
      <w:pPr>
        <w:pStyle w:val="NormalWeb"/>
        <w:jc w:val="both"/>
        <w:rPr>
          <w:lang w:val="en-GB"/>
        </w:rPr>
      </w:pPr>
      <w:r w:rsidRPr="00790B96">
        <w:rPr>
          <w:lang w:val="en-GB"/>
        </w:rPr>
        <w:t xml:space="preserve">By doing so, this research contributes to the broader University Sustainability Performance Index (USPI) project by grounding the index in stakeholder perceptions rather than solely in technical criteria. The study advances sustainability research in higher education by integrating </w:t>
      </w:r>
      <w:r w:rsidRPr="00790B96">
        <w:rPr>
          <w:lang w:val="en-GB"/>
        </w:rPr>
        <w:lastRenderedPageBreak/>
        <w:t>stakeholder theory with a behavioural lens and by conceptualizing sustainability as a co-created outcome within the university ecosystem (</w:t>
      </w:r>
      <w:r w:rsidRPr="00790B96">
        <w:rPr>
          <w:rStyle w:val="lev"/>
          <w:b w:val="0"/>
          <w:bCs w:val="0"/>
          <w:lang w:val="en-GB"/>
        </w:rPr>
        <w:t>Velazquez et al., 2006; Alshuwaikhat &amp; Abubakar, 2008</w:t>
      </w:r>
      <w:r w:rsidRPr="00790B96">
        <w:rPr>
          <w:lang w:val="en-GB"/>
        </w:rPr>
        <w:t>). Ultimately, it seeks to provide both theoretical insight and practical guidance for developing more legitimate, inclusive, and socially resonant sustainability assessment frameworks.</w:t>
      </w:r>
    </w:p>
    <w:p w14:paraId="15197DCF" w14:textId="77777777" w:rsidR="0082774C" w:rsidRPr="0082774C" w:rsidRDefault="0082774C" w:rsidP="0082774C">
      <w:pPr>
        <w:pStyle w:val="NormalWeb"/>
        <w:spacing w:before="0" w:beforeAutospacing="0" w:after="160" w:afterAutospacing="0"/>
        <w:rPr>
          <w:lang w:val="en-US"/>
        </w:rPr>
      </w:pPr>
      <w:r w:rsidRPr="0082774C">
        <w:rPr>
          <w:b/>
          <w:bCs/>
          <w:color w:val="000000"/>
          <w:lang w:val="en-US"/>
        </w:rPr>
        <w:t>Literature review</w:t>
      </w:r>
    </w:p>
    <w:p w14:paraId="0DFC2F2A" w14:textId="77777777" w:rsidR="0082774C" w:rsidRPr="0082774C" w:rsidRDefault="0082774C" w:rsidP="0082774C">
      <w:pPr>
        <w:pStyle w:val="Titre2"/>
        <w:spacing w:before="360" w:after="80"/>
        <w:jc w:val="both"/>
        <w:rPr>
          <w:lang w:val="en-US"/>
        </w:rPr>
      </w:pPr>
      <w:r w:rsidRPr="0082774C">
        <w:rPr>
          <w:b/>
          <w:bCs/>
          <w:i/>
          <w:iCs/>
          <w:color w:val="000000"/>
          <w:sz w:val="24"/>
          <w:szCs w:val="24"/>
          <w:lang w:val="en-US"/>
        </w:rPr>
        <w:t>Stakeholder Theory and University Sustainability</w:t>
      </w:r>
    </w:p>
    <w:p w14:paraId="1EAA243E" w14:textId="77777777" w:rsidR="0082774C" w:rsidRPr="0082774C" w:rsidRDefault="0082774C" w:rsidP="0082774C">
      <w:pPr>
        <w:pStyle w:val="NormalWeb"/>
        <w:spacing w:before="240" w:beforeAutospacing="0" w:after="240" w:afterAutospacing="0"/>
        <w:jc w:val="both"/>
        <w:rPr>
          <w:lang w:val="en-US"/>
        </w:rPr>
      </w:pPr>
      <w:r w:rsidRPr="0082774C">
        <w:rPr>
          <w:color w:val="000000"/>
          <w:lang w:val="en-US"/>
        </w:rPr>
        <w:t>Stakeholder theory provides a foundational lens for understanding sustainability in higher education institutions (HEIs). Originally developed in strategic management (Freeman, 1984), the theory argues that organizational legitimacy and long-term performance depend on the ability to recognize, balance, and integrate the interests of multiple stakeholder groups rather than privileging a single dominant constituency. Organizations are embedded in networks of relationships, and value is generated through ongoing interactions among actors with diverse expectations.</w:t>
      </w:r>
    </w:p>
    <w:p w14:paraId="003D2B08" w14:textId="77777777" w:rsidR="0082774C" w:rsidRPr="0082774C" w:rsidRDefault="0082774C" w:rsidP="0082774C">
      <w:pPr>
        <w:pStyle w:val="NormalWeb"/>
        <w:spacing w:before="240" w:beforeAutospacing="0" w:after="240" w:afterAutospacing="0"/>
        <w:jc w:val="both"/>
        <w:rPr>
          <w:lang w:val="en-US"/>
        </w:rPr>
      </w:pPr>
      <w:r w:rsidRPr="0082774C">
        <w:rPr>
          <w:color w:val="000000"/>
          <w:lang w:val="en-US"/>
        </w:rPr>
        <w:t>Donaldson and Preston (1995) further conceptualized stakeholder theory along descriptive, instrumental, and normative dimensions. From a normative perspective, stakeholders possess intrinsic legitimacy; their interests are not merely strategic variables but morally relevant claims that organizations are obliged to consider. This normative foundation is particularly relevant in the context of universities, which are mission-driven institutions with societal responsibilities extending beyond economic performance.</w:t>
      </w:r>
    </w:p>
    <w:p w14:paraId="45A8707A" w14:textId="77777777" w:rsidR="0082774C" w:rsidRPr="0082774C" w:rsidRDefault="0082774C" w:rsidP="0082774C">
      <w:pPr>
        <w:pStyle w:val="NormalWeb"/>
        <w:spacing w:before="240" w:beforeAutospacing="0" w:after="240" w:afterAutospacing="0"/>
        <w:jc w:val="both"/>
        <w:rPr>
          <w:lang w:val="en-US"/>
        </w:rPr>
      </w:pPr>
      <w:r w:rsidRPr="0082774C">
        <w:rPr>
          <w:color w:val="000000"/>
          <w:lang w:val="en-US"/>
        </w:rPr>
        <w:t>Mitchell, Agle, and Wood (1997) introduced the stakeholder salience framework, emphasizing that stakeholders differ in terms of power, legitimacy, and urgency. Within HEIs, a wide range of stakeholders coexist, including students, faculty members, administrative staff, employers, accreditation bodies, local communities, and policymakers. However, internal stakeholders, particularly students and faculty, occupy a structurally central position. They are not only recipients of sustainability policies but active agents who interpret, enact, and sometimes contest institutional sustainability agendas.</w:t>
      </w:r>
    </w:p>
    <w:p w14:paraId="69EFD65B" w14:textId="77777777" w:rsidR="0082774C" w:rsidRPr="0082774C" w:rsidRDefault="0082774C" w:rsidP="0082774C">
      <w:pPr>
        <w:pStyle w:val="NormalWeb"/>
        <w:spacing w:before="240" w:beforeAutospacing="0" w:after="240" w:afterAutospacing="0"/>
        <w:jc w:val="both"/>
        <w:rPr>
          <w:lang w:val="en-US"/>
        </w:rPr>
      </w:pPr>
      <w:r w:rsidRPr="0082774C">
        <w:rPr>
          <w:color w:val="000000"/>
          <w:lang w:val="en-US"/>
        </w:rPr>
        <w:t>More recent developments in stakeholder theory emphasize relationality and value co-creation (Freeman et al., 2010). From this perspective, sustainability is not merely implemented through top-down governance mechanisms or infrastructure investments; it emerges from shared meaning-making processes and collective engagement. Universities can thus be understood as ecosystems in which sustainability outcomes are co-produced through interactions between institutional strategies and stakeholder perceptions.</w:t>
      </w:r>
    </w:p>
    <w:p w14:paraId="30FF47B6" w14:textId="77777777" w:rsidR="0082774C" w:rsidRPr="0082774C" w:rsidRDefault="0082774C" w:rsidP="0082774C">
      <w:pPr>
        <w:pStyle w:val="NormalWeb"/>
        <w:spacing w:before="240" w:beforeAutospacing="0" w:after="240" w:afterAutospacing="0"/>
        <w:jc w:val="both"/>
        <w:rPr>
          <w:lang w:val="en-US"/>
        </w:rPr>
      </w:pPr>
      <w:r w:rsidRPr="0082774C">
        <w:rPr>
          <w:color w:val="000000"/>
          <w:lang w:val="en-US"/>
        </w:rPr>
        <w:t>While stakeholder theory provides a strong normative and relational foundation for understanding sustainability in higher education, the empirical literature on campus sustainability has developed along several thematic trajectories.</w:t>
      </w:r>
    </w:p>
    <w:p w14:paraId="4C6EE51D"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 xml:space="preserve">Higher Education Institutions (HEIs) are increasingly recognized as pivotal actors in fostering sustainable development and addressing global environmental challenges. Often described as "small cities" due to their significant populations and complex operations (Alshuwaikhat; Abubakar, 2008; Velazquez et al., 2006; Min-Allah &amp; Alrashed, 2020; Murshed, 2020), universities wield substantial direct and indirect impacts on the environment through their energy consumption, material use, waste generation, and daily activities. Consequently, the concept of a "green campus" has emerged as a comprehensive approach to integrating </w:t>
      </w:r>
      <w:r w:rsidRPr="0082774C">
        <w:rPr>
          <w:color w:val="000000"/>
          <w:lang w:val="en-US"/>
        </w:rPr>
        <w:lastRenderedPageBreak/>
        <w:t>sustainability principles across physical infrastructure, academic curricula, research, and institutional governance (Disterheft et al., 2013; Sugiarto et al., 2022).</w:t>
      </w:r>
    </w:p>
    <w:p w14:paraId="555854C3"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This literature review synthesizes recent research on green campus initiatives, grouping papers by key themes. It examines various approaches to conceptualizing and assessing campus sustainability, details diverse operational strategies, explores educational and behavioral aspects, and highlights the crucial role of governance and policy. The review also identifies prominent methodological trends and concludes with a summary of key insights and directions for future research.</w:t>
      </w:r>
    </w:p>
    <w:p w14:paraId="38B8A4C4" w14:textId="77777777" w:rsidR="0082774C" w:rsidRPr="0082774C" w:rsidRDefault="0082774C" w:rsidP="0082774C">
      <w:pPr>
        <w:pStyle w:val="NormalWeb"/>
        <w:spacing w:before="0" w:beforeAutospacing="0" w:after="160" w:afterAutospacing="0"/>
        <w:jc w:val="both"/>
        <w:rPr>
          <w:lang w:val="en-US"/>
        </w:rPr>
      </w:pPr>
      <w:r w:rsidRPr="0082774C">
        <w:rPr>
          <w:b/>
          <w:bCs/>
          <w:color w:val="000000"/>
          <w:lang w:val="en-US"/>
        </w:rPr>
        <w:t> Conceptualization, Frameworks, and Assessment Tools for Green Campuses</w:t>
      </w:r>
    </w:p>
    <w:p w14:paraId="1E95CA92"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A significant portion of the literature focuses on defining, conceptualizing, and assessing sustainability within HEIs. Early work proposed comprehensive managerial models for a "sustainable university" (Velazquez et al., 2006) and integrated approaches to campus sustainability (Alshuwaikhat; Abubakar, 2008). The evolving nature of "campus sustainability" is often understood in a broad sense, encompassing physical, educational, and institutional dimensions (Disterheft et al., 2013). Researchers note a shift from simplistic "going green" trends to a more holistic, systemic understanding that integrates environmental, social, and economic dimensions (Alshuwaikhat et al., 2016; Sugiarto et al., 2022; Popowska &amp; Sady, 2024).</w:t>
      </w:r>
    </w:p>
    <w:p w14:paraId="738914EF"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The development and application of assessment tools and ranking systems are central to measuring progress and benchmarking sustainability efforts. Prominent examples include the UI GreenMetric World University Rankings (Muñoz-Suárez et al., 2020; Fatah &amp; Waro, 2025) and the Sustainability Tracking, Assessment &amp; Rating System (STARS) (Urbanski &amp; Leal, 2015; Zhu &amp; Dewancker, 2021; Washington-Ottombre, 2024). Other frameworks like AISHE (Auditing Instrument for Sustainability in Higher Education) (Lambrechts &amp; Ceulemans, 2013), SAQ (Sustainability Assessment Questionnaire) (Alshuwaikhat et al., 2016), ISCN (International Sustainable Campus Network) (Sonetti et al., 2016), CANSEC (Carbon Neutrality and Sustainability in Educational Campuses) (Jain et al., 2017), and PICSOU (Performance Indicators for Core Sustainability Objectives of Universities) (Jiang &amp; Kurnitski, 2023) are also utilized.</w:t>
      </w:r>
    </w:p>
    <w:p w14:paraId="6CF5031E"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Challenges with these tools are frequently discussed, including their potential bias towards energy efficiency indicators (Sonetti et al., 2016), lack of standardization, and difficulties in adapting to context-specific issues, especially in developing countries (Zhu &amp; Dewancker, 2021; Dawodu et al., 2024). There is also a recognized need for more robust tools that encompass social and economic dimensions holistically (Sonetti et al., 2016; Zhang et al., 2025) and ensure meaningful international comparisons (Horan &amp; O'Regan, 2021). The integration of such tools into strategic planning remains an ongoing area of research (Horan &amp; O'Regan, 2021; Alalawi &amp; Omar, 2024).</w:t>
      </w:r>
    </w:p>
    <w:p w14:paraId="0E857E21" w14:textId="77777777" w:rsidR="0082774C" w:rsidRPr="0082774C" w:rsidRDefault="0082774C" w:rsidP="0082774C">
      <w:pPr>
        <w:pStyle w:val="NormalWeb"/>
        <w:spacing w:before="0" w:beforeAutospacing="0" w:after="160" w:afterAutospacing="0"/>
        <w:jc w:val="both"/>
        <w:rPr>
          <w:lang w:val="en-US"/>
        </w:rPr>
      </w:pPr>
      <w:r w:rsidRPr="0082774C">
        <w:rPr>
          <w:b/>
          <w:bCs/>
          <w:color w:val="000000"/>
          <w:lang w:val="en-US"/>
        </w:rPr>
        <w:t>Operational Sustainability Initiatives</w:t>
      </w:r>
    </w:p>
    <w:p w14:paraId="32445E94"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A significant body of research focuses on concrete actions and initiatives to reduce the environmental footprint of campus operations.</w:t>
      </w:r>
    </w:p>
    <w:p w14:paraId="03ED1C26"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t>Energy Efficiency &amp; Renewable Energy</w:t>
      </w:r>
    </w:p>
    <w:p w14:paraId="3A5DA31D"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 xml:space="preserve">This is a dominant theme, with studies analyzing energy consumption patterns (Maistry &amp; Annegar, 2016), proposing energy efficiency plans for buildings (Soares et al., 2015; Ahmed et al., 2025; Laporte et al., 2025; Movlyanov &amp; Selçuklu, 2025), and optimizing energy systems (Amaral et al., 2020; Zhu et al., 2021). Many papers investigate the feasibility and </w:t>
      </w:r>
      <w:r w:rsidRPr="0082774C">
        <w:rPr>
          <w:color w:val="000000"/>
          <w:lang w:val="en-US"/>
        </w:rPr>
        <w:lastRenderedPageBreak/>
        <w:t>implementation of renewable energy sources, particularly solar PV systems, for on-campus electricity generation (Diniz et al., 2024; Ayadi et al., 2025). These initiatives often aim for carbon emission reduction (Mohamad et al., 2024), utilizing technologies like motion sensors (Riyanto et al., 2018) and smart grids (Sharma &amp; Kaur, 2016). Some studies explicitly link energy saving to a broader sustainability impact (Zhu et al., 2021).</w:t>
      </w:r>
    </w:p>
    <w:p w14:paraId="35476A0D"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t>Waste Management &amp; Circularity</w:t>
      </w:r>
    </w:p>
    <w:p w14:paraId="0FBC3863"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Research highlights the importance of effective waste management, including 3R (Reduce, Reuse, Recycle) initiatives. Studies assess food waste composting (Rupani et al., 2023), plastic waste reduction through bottle refill stations (Pujiati et al., 2024), and the institutionalization of waste minimization (Zen et al., 2016; Agustina et al., 2023). The concept of circularity is explored, particularly in managing IT material flows (Leclerc &amp; Badami, 2022). Waste characterization studies are key to developing tailored management strategies (Devec et al., 2025).</w:t>
      </w:r>
    </w:p>
    <w:p w14:paraId="42CBE244"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t>Water Management</w:t>
      </w:r>
    </w:p>
    <w:p w14:paraId="22B41C4D"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Initiatives focus on water conservation, rainwater harvesting systems and smart water management using IoT (Nadzri et al., 2024). Water quality assessment and waste water reuse are also explored (DeWata et al., 2025).</w:t>
      </w:r>
    </w:p>
    <w:p w14:paraId="72AE8864"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t>Transportation &amp; Mobility</w:t>
      </w:r>
    </w:p>
    <w:p w14:paraId="2CB35D0A"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Reducing the carbon footprint from commuting is a significant concern. Studies analyze travel patterns, develop sustainable mobility action plans (Ibrahim et al., 2022), and promote cycling and public transport (Ibrahim et al., 2022). The effectiveness of bus operations is also optimized (Johar et al., 2025).</w:t>
      </w:r>
    </w:p>
    <w:p w14:paraId="78051415"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t>Green Buildings &amp; Infrastructure</w:t>
      </w:r>
    </w:p>
    <w:p w14:paraId="75E06675"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Research investigates green building principles, energy-efficient refurbishment and passive design strategies for thermal comfort. The role of green infrastructure in sustainability goals is also examined (Kanchana et al., 2025).</w:t>
      </w:r>
    </w:p>
    <w:p w14:paraId="3CC78805"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t>Land Use &amp; Biodiversity</w:t>
      </w:r>
    </w:p>
    <w:p w14:paraId="4DBA08D9"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Studies address optimizing green spaces for mental health and well-being (Mustari et al., 2025), carbon sequestration by urban trees ( Yasin et al., 2024), and developing campus botanical gardens (Mustari et al., 2025).</w:t>
      </w:r>
    </w:p>
    <w:p w14:paraId="74F24F49" w14:textId="77777777" w:rsidR="0082774C" w:rsidRPr="0082774C" w:rsidRDefault="0082774C" w:rsidP="0082774C">
      <w:pPr>
        <w:pStyle w:val="NormalWeb"/>
        <w:spacing w:before="0" w:beforeAutospacing="0" w:after="160" w:afterAutospacing="0"/>
        <w:jc w:val="both"/>
        <w:rPr>
          <w:lang w:val="en-US"/>
        </w:rPr>
      </w:pPr>
      <w:r w:rsidRPr="0082774C">
        <w:rPr>
          <w:b/>
          <w:bCs/>
          <w:color w:val="000000"/>
          <w:lang w:val="en-US"/>
        </w:rPr>
        <w:t>Education, Awareness &amp; Engagement</w:t>
      </w:r>
    </w:p>
    <w:p w14:paraId="0ED89749"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HEIs have a crucial role in shaping a sustainability-conscious society through education and fostering pro-environmental behaviors.</w:t>
      </w:r>
    </w:p>
    <w:p w14:paraId="2630976C"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t>Curriculum Integration &amp; Education for Sustainable Development (ESD)</w:t>
      </w:r>
    </w:p>
    <w:p w14:paraId="312DE426"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Many papers discuss integrating sustainability into curricula ( Mendez et al., 2025; Zhu et al., 2025). This includes developing specific courses or modules (Nagatomo &amp; Wei, 2023), using living laboratories for experiential learning (Gomez &amp; Derr, 2021), and promoting interdisciplinary approaches (Nagatomo &amp; Wei, 2023). Challenges include addressing misinformation about climate change (Hess &amp; Collins, 2018) and ensuring holistic integration beyond technical knowledge (Gamage et al., 2022). The role of ESD in different contexts, including developing and emerging countries, is also highlighted.</w:t>
      </w:r>
    </w:p>
    <w:p w14:paraId="48965E72"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t>Student/Staff Awareness &amp; Behavior Change</w:t>
      </w:r>
    </w:p>
    <w:p w14:paraId="4BB210AF"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lastRenderedPageBreak/>
        <w:t>Fostering awareness and encouraging pro-environmental behaviors among students and staff is critical (Setiawati &amp; Maulana, 2021; Alalawi &amp; Omar, 2024). Studies explore factors influencing recycling behavior and energy conservation  (Thoo et al., 2022). The impact of social media in disseminating awareness is also noted (Hamid et al., 2017). Research often investigates the gap between awareness/expectations and actual behavior or university performance (Dagiliūtė et al., 2018; Zhao &amp; Zou, 2023; Yasin et al., 2024). Studies also examine interventions to promote sustainable actions, such as "green office initiatives" (Zen et al., 2016) or "energy challenges" (Boulton et al., 2017). The "heartware" approach, focusing on internal motivation and collective efforts, is highlighted as a driver for long-term sustainability (Mohamad et al., 2018).</w:t>
      </w:r>
    </w:p>
    <w:p w14:paraId="0936D82D"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t>Community Engagement &amp; Social Responsibility</w:t>
      </w:r>
    </w:p>
    <w:p w14:paraId="180FFE95"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Universities extend their sustainability efforts to the broader community through outreach programs and by acting as role models (Fatah &amp; Waro, 2025). University Social Responsibility (USR) is a concept gaining traction, emphasizing universities' impacts on society and the environment beyond their immediate operations (Gómez et al., 2018; Arias-Valle &amp; Marimón, 2024). Studies explore student leadership (Mohamed et al., 2025), faculty involvement (Alali &amp; Aboud, 2024), and the potential for campus community gardens to foster direct engagement with sustainability (De Young et al., 2016).</w:t>
      </w:r>
    </w:p>
    <w:p w14:paraId="38A65180" w14:textId="77777777" w:rsidR="0082774C" w:rsidRPr="0082774C" w:rsidRDefault="0082774C" w:rsidP="0082774C">
      <w:pPr>
        <w:pStyle w:val="NormalWeb"/>
        <w:spacing w:before="0" w:beforeAutospacing="0" w:after="160" w:afterAutospacing="0"/>
        <w:jc w:val="both"/>
        <w:rPr>
          <w:lang w:val="en-US"/>
        </w:rPr>
      </w:pPr>
      <w:r w:rsidRPr="0082774C">
        <w:rPr>
          <w:b/>
          <w:bCs/>
          <w:color w:val="000000"/>
          <w:lang w:val="en-US"/>
        </w:rPr>
        <w:t>Governance, Policy, and Organizational Change</w:t>
      </w:r>
    </w:p>
    <w:p w14:paraId="5F917E41"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Effective governance and strategic policy are crucial for embedding sustainability within HEIs.</w:t>
      </w:r>
    </w:p>
    <w:p w14:paraId="6BA56CE3"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t>Strategic Planning &amp; Institutionalization</w:t>
      </w:r>
    </w:p>
    <w:p w14:paraId="444F222C"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Papers emphasize the need for clear institutional frameworks (Alshuwaikhat et al., 2008; Abubakar et al., 2020), strategic sustainability plans (White, 2014; Romero &amp; Mulfarth, 2017), and masterplans that define policies, goals, and actions (Romero &amp; Mulfarth, 2017). The integration of sustainability into institutional policies is seen as essential for long-term commitment (Da Silva et al., 2023; Alalawi &amp; Omar, 2024). Shared governance and inclusive decision-making processes are identified as critical factors for success (Djukic-Min et al., 2025).</w:t>
      </w:r>
    </w:p>
    <w:p w14:paraId="2ADEC66E"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t>Barriers and Drivers to Implementation</w:t>
      </w:r>
    </w:p>
    <w:p w14:paraId="3F6F38A3"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Research identifies various barriers, including lack of awareness, knowledge, financial constraints, resistance to change, inefficient communication, and lack of external incentives (Alshuwaiwat et al., 2008; Alalawi &amp; Omar, 2024; Geh et al., 2024). Conversely, drivers include governmental pressure, financial savings, institutional leadership, student interest, and collaborative efforts (Geh et al., 2023). The "fear of not flying" due to career progression pressures can also hinder sustainable academic travel (Nursey-Bray et al., 2019).</w:t>
      </w:r>
    </w:p>
    <w:p w14:paraId="28DC946A"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t>Organizational Learning &amp; Reporting</w:t>
      </w:r>
    </w:p>
    <w:p w14:paraId="31368020"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Sustainability reporting is recognized as a tool for increasing organizational learning and strengthening sustainability efforts (Washington-Ottombre, 2024). The use of metrics and reporting frameworks helps track progress, but deep organizational learning is often elusive (Washington-Ottombre, 2024; Washington-Ottombre &amp; Bigalke, 2018; Rosa et al., 2024).</w:t>
      </w:r>
    </w:p>
    <w:p w14:paraId="12DE0865" w14:textId="77777777" w:rsidR="0082774C" w:rsidRPr="0082774C" w:rsidRDefault="0082774C" w:rsidP="0082774C">
      <w:pPr>
        <w:pStyle w:val="NormalWeb"/>
        <w:spacing w:before="0" w:beforeAutospacing="0" w:after="160" w:afterAutospacing="0"/>
        <w:jc w:val="both"/>
        <w:rPr>
          <w:lang w:val="en-US"/>
        </w:rPr>
      </w:pPr>
      <w:r w:rsidRPr="0082774C">
        <w:rPr>
          <w:b/>
          <w:bCs/>
          <w:color w:val="000000"/>
          <w:lang w:val="en-US"/>
        </w:rPr>
        <w:t>Smart Campus and Digitalization for Sustainability</w:t>
      </w:r>
    </w:p>
    <w:p w14:paraId="6AF4CA14"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An emerging theme is the integration of smart technologies and digitalization to enhance campus sustainability.</w:t>
      </w:r>
    </w:p>
    <w:p w14:paraId="4BF954BB"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lastRenderedPageBreak/>
        <w:t>Smart Campus Concepts and Applications</w:t>
      </w:r>
    </w:p>
    <w:p w14:paraId="37346054"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The "smart campus" concept leverages smart technologies with physical infrastructure for improved services, decision-making, and sustainability (Min-Allah &amp; Alrashed, 2020; Ahmed et al., 2023; Alalawi &amp; Omar, 2024; Sugiarto et al., 2022). This includes smart microgrids (Min-Allah &amp; Alrashed, 2020), intelligent monitoring and visualization systems (Ceccarini et al., 2021), and IoT platforms for managing energy, water, and security (Subbarao et al., 2019; Alalawi &amp; Omar, 2024).</w:t>
      </w:r>
    </w:p>
    <w:p w14:paraId="6F603A8C" w14:textId="77777777" w:rsidR="0082774C" w:rsidRPr="0082774C" w:rsidRDefault="0082774C" w:rsidP="0082774C">
      <w:pPr>
        <w:pStyle w:val="NormalWeb"/>
        <w:spacing w:before="0" w:beforeAutospacing="0" w:after="160" w:afterAutospacing="0"/>
        <w:jc w:val="both"/>
        <w:rPr>
          <w:lang w:val="en-US"/>
        </w:rPr>
      </w:pPr>
      <w:r w:rsidRPr="0082774C">
        <w:rPr>
          <w:i/>
          <w:iCs/>
          <w:color w:val="000000"/>
          <w:lang w:val="en-US"/>
        </w:rPr>
        <w:t>Digital Tools for Engagement and Efficiency</w:t>
      </w:r>
    </w:p>
    <w:p w14:paraId="59B30A5D" w14:textId="77777777" w:rsidR="0082774C" w:rsidRPr="0082774C" w:rsidRDefault="0082774C" w:rsidP="0082774C">
      <w:pPr>
        <w:pStyle w:val="NormalWeb"/>
        <w:spacing w:before="0" w:beforeAutospacing="0" w:after="160" w:afterAutospacing="0"/>
        <w:jc w:val="both"/>
        <w:rPr>
          <w:lang w:val="en-US"/>
        </w:rPr>
      </w:pPr>
      <w:r w:rsidRPr="0082774C">
        <w:rPr>
          <w:color w:val="000000"/>
          <w:lang w:val="en-US"/>
        </w:rPr>
        <w:t>Social media is identified as a potent tool for disseminating environmental sustainability awareness among students and staff (Hamid et al., 2017). Gamified Human-Machine Interfaces (HMI) can engage users in energy reduction activities (Méndez et al., 2021). The research on "green campus" underscores the multifaceted and evolving role of HEIs in advancing sustainability. Universities are increasingly seen as living laboratories and models for sustainable development, influencing society through their operations, teaching, research, and outreach. Key themes reveal a progression from focusing primarily on environmental management (e.g., energy, waste, water) to embracing holistic sustainability that integrates social equity, economic viability, and institutional governance. Significant progress has been made in developing assessment tools and ranking systems to measure sustainability performance, although challenges remain in standardization, context-specificity, and comprehensive coverage of all sustainability dimensions. Operational initiatives, particularly in energy efficiency and renewable energy adoption, waste management, and sustainable transportation, are widespread. However, achieving deep, transformative change requires addressing behavioural aspects, fostering environmental awareness among all stakeholders, and embedding sustainability into the core curriculum.</w:t>
      </w:r>
    </w:p>
    <w:p w14:paraId="44A17537" w14:textId="77777777" w:rsidR="0082774C" w:rsidRDefault="0082774C" w:rsidP="0082774C">
      <w:pPr>
        <w:pStyle w:val="NormalWeb"/>
        <w:spacing w:before="0" w:beforeAutospacing="0" w:after="160" w:afterAutospacing="0"/>
        <w:jc w:val="both"/>
      </w:pPr>
      <w:r>
        <w:rPr>
          <w:color w:val="000000"/>
        </w:rPr>
        <w:t>Table 1: Summary of Analysed Studies</w:t>
      </w:r>
    </w:p>
    <w:p w14:paraId="011A9A3F" w14:textId="77777777" w:rsidR="0082774C" w:rsidRDefault="0082774C" w:rsidP="0082774C"/>
    <w:tbl>
      <w:tblPr>
        <w:tblW w:w="0" w:type="auto"/>
        <w:tblCellMar>
          <w:top w:w="15" w:type="dxa"/>
          <w:left w:w="15" w:type="dxa"/>
          <w:bottom w:w="15" w:type="dxa"/>
          <w:right w:w="15" w:type="dxa"/>
        </w:tblCellMar>
        <w:tblLook w:val="04A0" w:firstRow="1" w:lastRow="0" w:firstColumn="1" w:lastColumn="0" w:noHBand="0" w:noVBand="1"/>
      </w:tblPr>
      <w:tblGrid>
        <w:gridCol w:w="1678"/>
        <w:gridCol w:w="1904"/>
        <w:gridCol w:w="1710"/>
        <w:gridCol w:w="1646"/>
        <w:gridCol w:w="2134"/>
      </w:tblGrid>
      <w:tr w:rsidR="0082774C" w14:paraId="3F2316FD" w14:textId="77777777" w:rsidTr="0082774C">
        <w:tc>
          <w:tcPr>
            <w:tcW w:w="0" w:type="auto"/>
            <w:tcBorders>
              <w:top w:val="single" w:sz="4" w:space="0" w:color="7F7F7F"/>
              <w:bottom w:val="single" w:sz="4" w:space="0" w:color="7F7F7F"/>
            </w:tcBorders>
            <w:tcMar>
              <w:top w:w="0" w:type="dxa"/>
              <w:left w:w="108" w:type="dxa"/>
              <w:bottom w:w="0" w:type="dxa"/>
              <w:right w:w="108" w:type="dxa"/>
            </w:tcMar>
            <w:hideMark/>
          </w:tcPr>
          <w:p w14:paraId="749C1F80" w14:textId="77777777" w:rsidR="0082774C" w:rsidRDefault="0082774C">
            <w:pPr>
              <w:pStyle w:val="NormalWeb"/>
              <w:spacing w:before="0" w:beforeAutospacing="0" w:after="160" w:afterAutospacing="0"/>
              <w:jc w:val="both"/>
            </w:pPr>
            <w:r>
              <w:rPr>
                <w:b/>
                <w:bCs/>
                <w:color w:val="000000"/>
                <w:sz w:val="20"/>
                <w:szCs w:val="20"/>
              </w:rPr>
              <w:t>Theme</w:t>
            </w:r>
          </w:p>
        </w:tc>
        <w:tc>
          <w:tcPr>
            <w:tcW w:w="0" w:type="auto"/>
            <w:tcBorders>
              <w:top w:val="single" w:sz="4" w:space="0" w:color="7F7F7F"/>
              <w:bottom w:val="single" w:sz="4" w:space="0" w:color="7F7F7F"/>
            </w:tcBorders>
            <w:tcMar>
              <w:top w:w="0" w:type="dxa"/>
              <w:left w:w="108" w:type="dxa"/>
              <w:bottom w:w="0" w:type="dxa"/>
              <w:right w:w="108" w:type="dxa"/>
            </w:tcMar>
            <w:hideMark/>
          </w:tcPr>
          <w:p w14:paraId="24716FAF" w14:textId="77777777" w:rsidR="0082774C" w:rsidRDefault="0082774C">
            <w:pPr>
              <w:pStyle w:val="NormalWeb"/>
              <w:spacing w:before="0" w:beforeAutospacing="0" w:after="160" w:afterAutospacing="0"/>
              <w:jc w:val="both"/>
            </w:pPr>
            <w:r>
              <w:rPr>
                <w:b/>
                <w:bCs/>
                <w:color w:val="000000"/>
                <w:sz w:val="20"/>
                <w:szCs w:val="20"/>
              </w:rPr>
              <w:t>Key references (non-exhaustive)</w:t>
            </w:r>
          </w:p>
        </w:tc>
        <w:tc>
          <w:tcPr>
            <w:tcW w:w="0" w:type="auto"/>
            <w:tcBorders>
              <w:top w:val="single" w:sz="4" w:space="0" w:color="7F7F7F"/>
              <w:bottom w:val="single" w:sz="4" w:space="0" w:color="7F7F7F"/>
            </w:tcBorders>
            <w:tcMar>
              <w:top w:w="0" w:type="dxa"/>
              <w:left w:w="108" w:type="dxa"/>
              <w:bottom w:w="0" w:type="dxa"/>
              <w:right w:w="108" w:type="dxa"/>
            </w:tcMar>
            <w:hideMark/>
          </w:tcPr>
          <w:p w14:paraId="2ED64718" w14:textId="77777777" w:rsidR="0082774C" w:rsidRDefault="0082774C">
            <w:pPr>
              <w:pStyle w:val="NormalWeb"/>
              <w:spacing w:before="0" w:beforeAutospacing="0" w:after="160" w:afterAutospacing="0"/>
              <w:jc w:val="both"/>
            </w:pPr>
            <w:r>
              <w:rPr>
                <w:b/>
                <w:bCs/>
                <w:color w:val="000000"/>
                <w:sz w:val="20"/>
                <w:szCs w:val="20"/>
              </w:rPr>
              <w:t>Dominant methodological approaches</w:t>
            </w:r>
          </w:p>
        </w:tc>
        <w:tc>
          <w:tcPr>
            <w:tcW w:w="0" w:type="auto"/>
            <w:tcBorders>
              <w:top w:val="single" w:sz="4" w:space="0" w:color="7F7F7F"/>
              <w:bottom w:val="single" w:sz="4" w:space="0" w:color="7F7F7F"/>
            </w:tcBorders>
            <w:tcMar>
              <w:top w:w="0" w:type="dxa"/>
              <w:left w:w="108" w:type="dxa"/>
              <w:bottom w:w="0" w:type="dxa"/>
              <w:right w:w="108" w:type="dxa"/>
            </w:tcMar>
            <w:hideMark/>
          </w:tcPr>
          <w:p w14:paraId="6D72383C" w14:textId="77777777" w:rsidR="0082774C" w:rsidRDefault="0082774C">
            <w:pPr>
              <w:pStyle w:val="NormalWeb"/>
              <w:spacing w:before="0" w:beforeAutospacing="0" w:after="160" w:afterAutospacing="0"/>
              <w:jc w:val="both"/>
            </w:pPr>
            <w:r>
              <w:rPr>
                <w:b/>
                <w:bCs/>
                <w:color w:val="000000"/>
                <w:sz w:val="20"/>
                <w:szCs w:val="20"/>
              </w:rPr>
              <w:t>Convergent findings</w:t>
            </w:r>
          </w:p>
        </w:tc>
        <w:tc>
          <w:tcPr>
            <w:tcW w:w="0" w:type="auto"/>
            <w:tcBorders>
              <w:top w:val="single" w:sz="4" w:space="0" w:color="7F7F7F"/>
              <w:bottom w:val="single" w:sz="4" w:space="0" w:color="7F7F7F"/>
            </w:tcBorders>
            <w:tcMar>
              <w:top w:w="0" w:type="dxa"/>
              <w:left w:w="108" w:type="dxa"/>
              <w:bottom w:w="0" w:type="dxa"/>
              <w:right w:w="108" w:type="dxa"/>
            </w:tcMar>
            <w:hideMark/>
          </w:tcPr>
          <w:p w14:paraId="51E451CD" w14:textId="77777777" w:rsidR="0082774C" w:rsidRDefault="0082774C">
            <w:pPr>
              <w:pStyle w:val="NormalWeb"/>
              <w:spacing w:before="0" w:beforeAutospacing="0" w:after="160" w:afterAutospacing="0"/>
              <w:jc w:val="both"/>
            </w:pPr>
            <w:r>
              <w:rPr>
                <w:b/>
                <w:bCs/>
                <w:color w:val="000000"/>
                <w:sz w:val="20"/>
                <w:szCs w:val="20"/>
              </w:rPr>
              <w:t>Persistent limitations / research gaps</w:t>
            </w:r>
          </w:p>
        </w:tc>
      </w:tr>
      <w:tr w:rsidR="0082774C" w:rsidRPr="0082774C" w14:paraId="17DC27DF" w14:textId="77777777" w:rsidTr="0082774C">
        <w:tc>
          <w:tcPr>
            <w:tcW w:w="0" w:type="auto"/>
            <w:tcBorders>
              <w:top w:val="single" w:sz="4" w:space="0" w:color="7F7F7F"/>
              <w:bottom w:val="single" w:sz="4" w:space="0" w:color="7F7F7F"/>
            </w:tcBorders>
            <w:tcMar>
              <w:top w:w="0" w:type="dxa"/>
              <w:left w:w="108" w:type="dxa"/>
              <w:bottom w:w="0" w:type="dxa"/>
              <w:right w:w="108" w:type="dxa"/>
            </w:tcMar>
            <w:hideMark/>
          </w:tcPr>
          <w:p w14:paraId="4035C8DE" w14:textId="77777777" w:rsidR="0082774C" w:rsidRPr="0082774C" w:rsidRDefault="0082774C">
            <w:pPr>
              <w:pStyle w:val="NormalWeb"/>
              <w:spacing w:before="0" w:beforeAutospacing="0" w:after="160" w:afterAutospacing="0"/>
              <w:jc w:val="both"/>
              <w:rPr>
                <w:lang w:val="en-US"/>
              </w:rPr>
            </w:pPr>
            <w:r w:rsidRPr="0082774C">
              <w:rPr>
                <w:b/>
                <w:bCs/>
                <w:color w:val="000000"/>
                <w:sz w:val="20"/>
                <w:szCs w:val="20"/>
                <w:lang w:val="en-US"/>
              </w:rPr>
              <w:t>Conceptual frameworks &amp; sustainable campus models</w:t>
            </w:r>
          </w:p>
        </w:tc>
        <w:tc>
          <w:tcPr>
            <w:tcW w:w="0" w:type="auto"/>
            <w:tcBorders>
              <w:top w:val="single" w:sz="4" w:space="0" w:color="7F7F7F"/>
              <w:bottom w:val="single" w:sz="4" w:space="0" w:color="7F7F7F"/>
            </w:tcBorders>
            <w:tcMar>
              <w:top w:w="0" w:type="dxa"/>
              <w:left w:w="108" w:type="dxa"/>
              <w:bottom w:w="0" w:type="dxa"/>
              <w:right w:w="108" w:type="dxa"/>
            </w:tcMar>
            <w:hideMark/>
          </w:tcPr>
          <w:p w14:paraId="6A67C822" w14:textId="77777777" w:rsidR="0082774C" w:rsidRDefault="0082774C">
            <w:pPr>
              <w:pStyle w:val="NormalWeb"/>
              <w:spacing w:before="0" w:beforeAutospacing="0" w:after="160" w:afterAutospacing="0"/>
              <w:jc w:val="both"/>
            </w:pPr>
            <w:r>
              <w:rPr>
                <w:color w:val="000000"/>
                <w:sz w:val="20"/>
                <w:szCs w:val="20"/>
              </w:rPr>
              <w:t>Velazquez et al. (2006); Alshuwaikhat &amp; Abubakar (2008); Disterheft et al. (2013, 2015); Sonetti et al. (2016); Sugiarto et al. (2022); Popowska &amp; Sady (2024)</w:t>
            </w:r>
          </w:p>
        </w:tc>
        <w:tc>
          <w:tcPr>
            <w:tcW w:w="0" w:type="auto"/>
            <w:tcBorders>
              <w:top w:val="single" w:sz="4" w:space="0" w:color="7F7F7F"/>
              <w:bottom w:val="single" w:sz="4" w:space="0" w:color="7F7F7F"/>
            </w:tcBorders>
            <w:tcMar>
              <w:top w:w="0" w:type="dxa"/>
              <w:left w:w="108" w:type="dxa"/>
              <w:bottom w:w="0" w:type="dxa"/>
              <w:right w:w="108" w:type="dxa"/>
            </w:tcMar>
            <w:hideMark/>
          </w:tcPr>
          <w:p w14:paraId="2A75B83D" w14:textId="77777777" w:rsidR="0082774C" w:rsidRPr="0082774C" w:rsidRDefault="0082774C">
            <w:pPr>
              <w:pStyle w:val="NormalWeb"/>
              <w:spacing w:before="0" w:beforeAutospacing="0" w:after="160" w:afterAutospacing="0"/>
              <w:jc w:val="both"/>
              <w:rPr>
                <w:lang w:val="en-US"/>
              </w:rPr>
            </w:pPr>
            <w:r w:rsidRPr="0082774C">
              <w:rPr>
                <w:color w:val="000000"/>
                <w:sz w:val="20"/>
                <w:szCs w:val="20"/>
                <w:lang w:val="en-US"/>
              </w:rPr>
              <w:t>Conceptual papers, systemic models, integrative frameworks</w:t>
            </w:r>
          </w:p>
        </w:tc>
        <w:tc>
          <w:tcPr>
            <w:tcW w:w="0" w:type="auto"/>
            <w:tcBorders>
              <w:top w:val="single" w:sz="4" w:space="0" w:color="7F7F7F"/>
              <w:bottom w:val="single" w:sz="4" w:space="0" w:color="7F7F7F"/>
            </w:tcBorders>
            <w:tcMar>
              <w:top w:w="0" w:type="dxa"/>
              <w:left w:w="108" w:type="dxa"/>
              <w:bottom w:w="0" w:type="dxa"/>
              <w:right w:w="108" w:type="dxa"/>
            </w:tcMar>
            <w:hideMark/>
          </w:tcPr>
          <w:p w14:paraId="0129C79E" w14:textId="77777777" w:rsidR="0082774C" w:rsidRPr="0082774C" w:rsidRDefault="0082774C">
            <w:pPr>
              <w:pStyle w:val="NormalWeb"/>
              <w:spacing w:before="0" w:beforeAutospacing="0" w:after="160" w:afterAutospacing="0"/>
              <w:jc w:val="both"/>
              <w:rPr>
                <w:lang w:val="en-US"/>
              </w:rPr>
            </w:pPr>
            <w:r w:rsidRPr="0082774C">
              <w:rPr>
                <w:color w:val="000000"/>
                <w:sz w:val="20"/>
                <w:szCs w:val="20"/>
                <w:lang w:val="en-US"/>
              </w:rPr>
              <w:t>Holistic vision integrating operations, teaching, research, and governance</w:t>
            </w:r>
          </w:p>
        </w:tc>
        <w:tc>
          <w:tcPr>
            <w:tcW w:w="0" w:type="auto"/>
            <w:tcBorders>
              <w:top w:val="single" w:sz="4" w:space="0" w:color="7F7F7F"/>
              <w:bottom w:val="single" w:sz="4" w:space="0" w:color="7F7F7F"/>
            </w:tcBorders>
            <w:tcMar>
              <w:top w:w="0" w:type="dxa"/>
              <w:left w:w="108" w:type="dxa"/>
              <w:bottom w:w="0" w:type="dxa"/>
              <w:right w:w="108" w:type="dxa"/>
            </w:tcMar>
            <w:hideMark/>
          </w:tcPr>
          <w:p w14:paraId="3ADBA881" w14:textId="77777777" w:rsidR="0082774C" w:rsidRPr="0082774C" w:rsidRDefault="0082774C">
            <w:pPr>
              <w:pStyle w:val="NormalWeb"/>
              <w:spacing w:before="0" w:beforeAutospacing="0" w:after="160" w:afterAutospacing="0"/>
              <w:jc w:val="both"/>
              <w:rPr>
                <w:lang w:val="en-US"/>
              </w:rPr>
            </w:pPr>
            <w:r w:rsidRPr="0082774C">
              <w:rPr>
                <w:color w:val="000000"/>
                <w:sz w:val="20"/>
                <w:szCs w:val="20"/>
                <w:lang w:val="en-US"/>
              </w:rPr>
              <w:t>Limited empirical validation and operationalization challenges</w:t>
            </w:r>
          </w:p>
        </w:tc>
      </w:tr>
      <w:tr w:rsidR="0082774C" w:rsidRPr="0082774C" w14:paraId="5B5BFDED" w14:textId="77777777" w:rsidTr="0082774C">
        <w:tc>
          <w:tcPr>
            <w:tcW w:w="0" w:type="auto"/>
            <w:tcBorders>
              <w:top w:val="single" w:sz="4" w:space="0" w:color="7F7F7F"/>
              <w:bottom w:val="single" w:sz="4" w:space="0" w:color="7F7F7F"/>
            </w:tcBorders>
            <w:tcMar>
              <w:top w:w="0" w:type="dxa"/>
              <w:left w:w="108" w:type="dxa"/>
              <w:bottom w:w="0" w:type="dxa"/>
              <w:right w:w="108" w:type="dxa"/>
            </w:tcMar>
            <w:hideMark/>
          </w:tcPr>
          <w:p w14:paraId="73F24E21" w14:textId="77777777" w:rsidR="0082774C" w:rsidRDefault="0082774C">
            <w:pPr>
              <w:pStyle w:val="NormalWeb"/>
              <w:spacing w:before="0" w:beforeAutospacing="0" w:after="160" w:afterAutospacing="0"/>
              <w:jc w:val="both"/>
            </w:pPr>
            <w:r>
              <w:rPr>
                <w:b/>
                <w:bCs/>
                <w:color w:val="000000"/>
                <w:sz w:val="20"/>
                <w:szCs w:val="20"/>
              </w:rPr>
              <w:t>Assessment tools, indicators &amp; rankings</w:t>
            </w:r>
          </w:p>
        </w:tc>
        <w:tc>
          <w:tcPr>
            <w:tcW w:w="0" w:type="auto"/>
            <w:tcBorders>
              <w:top w:val="single" w:sz="4" w:space="0" w:color="7F7F7F"/>
              <w:bottom w:val="single" w:sz="4" w:space="0" w:color="7F7F7F"/>
            </w:tcBorders>
            <w:tcMar>
              <w:top w:w="0" w:type="dxa"/>
              <w:left w:w="108" w:type="dxa"/>
              <w:bottom w:w="0" w:type="dxa"/>
              <w:right w:w="108" w:type="dxa"/>
            </w:tcMar>
            <w:hideMark/>
          </w:tcPr>
          <w:p w14:paraId="31AC4A11" w14:textId="77777777" w:rsidR="0082774C" w:rsidRDefault="0082774C">
            <w:pPr>
              <w:pStyle w:val="NormalWeb"/>
              <w:spacing w:before="0" w:beforeAutospacing="0" w:after="160" w:afterAutospacing="0"/>
              <w:jc w:val="both"/>
            </w:pPr>
            <w:r>
              <w:rPr>
                <w:color w:val="000000"/>
                <w:sz w:val="20"/>
                <w:szCs w:val="20"/>
              </w:rPr>
              <w:t>Urbanski &amp; Leal (2015); Lambrechts &amp; Ceulemans (2013 – AISHE); Sonetti et al. (2016); Zhu &amp; Dewancker (2021); Horan &amp; O’Regan (2021); Jiang &amp; Kurnitski (2023)</w:t>
            </w:r>
          </w:p>
        </w:tc>
        <w:tc>
          <w:tcPr>
            <w:tcW w:w="0" w:type="auto"/>
            <w:tcBorders>
              <w:top w:val="single" w:sz="4" w:space="0" w:color="7F7F7F"/>
              <w:bottom w:val="single" w:sz="4" w:space="0" w:color="7F7F7F"/>
            </w:tcBorders>
            <w:tcMar>
              <w:top w:w="0" w:type="dxa"/>
              <w:left w:w="108" w:type="dxa"/>
              <w:bottom w:w="0" w:type="dxa"/>
              <w:right w:w="108" w:type="dxa"/>
            </w:tcMar>
            <w:hideMark/>
          </w:tcPr>
          <w:p w14:paraId="39A22E3D" w14:textId="77777777" w:rsidR="0082774C" w:rsidRPr="0082774C" w:rsidRDefault="0082774C">
            <w:pPr>
              <w:pStyle w:val="NormalWeb"/>
              <w:spacing w:before="0" w:beforeAutospacing="0" w:after="160" w:afterAutospacing="0"/>
              <w:jc w:val="both"/>
              <w:rPr>
                <w:lang w:val="en-US"/>
              </w:rPr>
            </w:pPr>
            <w:r w:rsidRPr="0082774C">
              <w:rPr>
                <w:color w:val="000000"/>
                <w:sz w:val="20"/>
                <w:szCs w:val="20"/>
                <w:lang w:val="en-US"/>
              </w:rPr>
              <w:t>Benchmarking systems, audits, questionnaires, scoring indices</w:t>
            </w:r>
          </w:p>
        </w:tc>
        <w:tc>
          <w:tcPr>
            <w:tcW w:w="0" w:type="auto"/>
            <w:tcBorders>
              <w:top w:val="single" w:sz="4" w:space="0" w:color="7F7F7F"/>
              <w:bottom w:val="single" w:sz="4" w:space="0" w:color="7F7F7F"/>
            </w:tcBorders>
            <w:tcMar>
              <w:top w:w="0" w:type="dxa"/>
              <w:left w:w="108" w:type="dxa"/>
              <w:bottom w:w="0" w:type="dxa"/>
              <w:right w:w="108" w:type="dxa"/>
            </w:tcMar>
            <w:hideMark/>
          </w:tcPr>
          <w:p w14:paraId="1DD4BF9E" w14:textId="77777777" w:rsidR="0082774C" w:rsidRPr="0082774C" w:rsidRDefault="0082774C">
            <w:pPr>
              <w:pStyle w:val="NormalWeb"/>
              <w:spacing w:before="0" w:beforeAutospacing="0" w:after="160" w:afterAutospacing="0"/>
              <w:jc w:val="both"/>
              <w:rPr>
                <w:lang w:val="en-US"/>
              </w:rPr>
            </w:pPr>
            <w:r w:rsidRPr="0082774C">
              <w:rPr>
                <w:color w:val="000000"/>
                <w:sz w:val="20"/>
                <w:szCs w:val="20"/>
                <w:lang w:val="en-US"/>
              </w:rPr>
              <w:t>Enable reporting, comparison across universities, and strategic planning</w:t>
            </w:r>
          </w:p>
        </w:tc>
        <w:tc>
          <w:tcPr>
            <w:tcW w:w="0" w:type="auto"/>
            <w:tcBorders>
              <w:top w:val="single" w:sz="4" w:space="0" w:color="7F7F7F"/>
              <w:bottom w:val="single" w:sz="4" w:space="0" w:color="7F7F7F"/>
            </w:tcBorders>
            <w:tcMar>
              <w:top w:w="0" w:type="dxa"/>
              <w:left w:w="108" w:type="dxa"/>
              <w:bottom w:w="0" w:type="dxa"/>
              <w:right w:w="108" w:type="dxa"/>
            </w:tcMar>
            <w:hideMark/>
          </w:tcPr>
          <w:p w14:paraId="05C7C1A1" w14:textId="77777777" w:rsidR="0082774C" w:rsidRPr="0082774C" w:rsidRDefault="0082774C">
            <w:pPr>
              <w:pStyle w:val="NormalWeb"/>
              <w:spacing w:before="0" w:beforeAutospacing="0" w:after="160" w:afterAutospacing="0"/>
              <w:jc w:val="both"/>
              <w:rPr>
                <w:lang w:val="en-US"/>
              </w:rPr>
            </w:pPr>
            <w:r w:rsidRPr="0082774C">
              <w:rPr>
                <w:color w:val="000000"/>
                <w:sz w:val="20"/>
                <w:szCs w:val="20"/>
                <w:lang w:val="en-US"/>
              </w:rPr>
              <w:t>Energy/carbon bias, limited contextual adaptability, weak standardization in developing countries</w:t>
            </w:r>
          </w:p>
        </w:tc>
      </w:tr>
      <w:tr w:rsidR="0082774C" w14:paraId="0387BB92" w14:textId="77777777" w:rsidTr="0082774C">
        <w:tc>
          <w:tcPr>
            <w:tcW w:w="0" w:type="auto"/>
            <w:tcBorders>
              <w:top w:val="single" w:sz="4" w:space="0" w:color="7F7F7F"/>
              <w:bottom w:val="single" w:sz="4" w:space="0" w:color="7F7F7F"/>
            </w:tcBorders>
            <w:tcMar>
              <w:top w:w="0" w:type="dxa"/>
              <w:left w:w="108" w:type="dxa"/>
              <w:bottom w:w="0" w:type="dxa"/>
              <w:right w:w="108" w:type="dxa"/>
            </w:tcMar>
            <w:hideMark/>
          </w:tcPr>
          <w:p w14:paraId="73294F07" w14:textId="77777777" w:rsidR="0082774C" w:rsidRDefault="0082774C">
            <w:pPr>
              <w:pStyle w:val="NormalWeb"/>
              <w:spacing w:before="0" w:beforeAutospacing="0" w:after="160" w:afterAutospacing="0"/>
              <w:jc w:val="both"/>
            </w:pPr>
            <w:r>
              <w:rPr>
                <w:b/>
                <w:bCs/>
                <w:color w:val="000000"/>
                <w:sz w:val="20"/>
                <w:szCs w:val="20"/>
              </w:rPr>
              <w:lastRenderedPageBreak/>
              <w:t>Operational sustainability initiatives (energy, water, waste, mobility)</w:t>
            </w:r>
          </w:p>
        </w:tc>
        <w:tc>
          <w:tcPr>
            <w:tcW w:w="0" w:type="auto"/>
            <w:tcBorders>
              <w:top w:val="single" w:sz="4" w:space="0" w:color="7F7F7F"/>
              <w:bottom w:val="single" w:sz="4" w:space="0" w:color="7F7F7F"/>
            </w:tcBorders>
            <w:tcMar>
              <w:top w:w="0" w:type="dxa"/>
              <w:left w:w="108" w:type="dxa"/>
              <w:bottom w:w="0" w:type="dxa"/>
              <w:right w:w="108" w:type="dxa"/>
            </w:tcMar>
            <w:hideMark/>
          </w:tcPr>
          <w:p w14:paraId="12C9A8E5" w14:textId="77777777" w:rsidR="0082774C" w:rsidRDefault="0082774C">
            <w:pPr>
              <w:pStyle w:val="NormalWeb"/>
              <w:spacing w:before="0" w:beforeAutospacing="0" w:after="160" w:afterAutospacing="0"/>
              <w:jc w:val="both"/>
            </w:pPr>
            <w:r>
              <w:rPr>
                <w:color w:val="000000"/>
                <w:sz w:val="20"/>
                <w:szCs w:val="20"/>
              </w:rPr>
              <w:t>Soares et al. (2015); Amaral et al. (2020); Zen et al. (2016); Ahmed et al. (2025)</w:t>
            </w:r>
          </w:p>
        </w:tc>
        <w:tc>
          <w:tcPr>
            <w:tcW w:w="0" w:type="auto"/>
            <w:tcBorders>
              <w:top w:val="single" w:sz="4" w:space="0" w:color="7F7F7F"/>
              <w:bottom w:val="single" w:sz="4" w:space="0" w:color="7F7F7F"/>
            </w:tcBorders>
            <w:tcMar>
              <w:top w:w="0" w:type="dxa"/>
              <w:left w:w="108" w:type="dxa"/>
              <w:bottom w:w="0" w:type="dxa"/>
              <w:right w:w="108" w:type="dxa"/>
            </w:tcMar>
            <w:hideMark/>
          </w:tcPr>
          <w:p w14:paraId="5D611BA7" w14:textId="77777777" w:rsidR="0082774C" w:rsidRDefault="0082774C">
            <w:pPr>
              <w:pStyle w:val="NormalWeb"/>
              <w:spacing w:before="0" w:beforeAutospacing="0" w:after="160" w:afterAutospacing="0"/>
              <w:jc w:val="both"/>
            </w:pPr>
            <w:r>
              <w:rPr>
                <w:color w:val="000000"/>
                <w:sz w:val="20"/>
                <w:szCs w:val="20"/>
              </w:rPr>
              <w:t>Energy simulations, LCA, technical audits, case studies</w:t>
            </w:r>
          </w:p>
        </w:tc>
        <w:tc>
          <w:tcPr>
            <w:tcW w:w="0" w:type="auto"/>
            <w:tcBorders>
              <w:top w:val="single" w:sz="4" w:space="0" w:color="7F7F7F"/>
              <w:bottom w:val="single" w:sz="4" w:space="0" w:color="7F7F7F"/>
            </w:tcBorders>
            <w:tcMar>
              <w:top w:w="0" w:type="dxa"/>
              <w:left w:w="108" w:type="dxa"/>
              <w:bottom w:w="0" w:type="dxa"/>
              <w:right w:w="108" w:type="dxa"/>
            </w:tcMar>
            <w:hideMark/>
          </w:tcPr>
          <w:p w14:paraId="716EB3ED" w14:textId="77777777" w:rsidR="0082774C" w:rsidRDefault="0082774C">
            <w:pPr>
              <w:pStyle w:val="NormalWeb"/>
              <w:spacing w:before="0" w:beforeAutospacing="0" w:after="160" w:afterAutospacing="0"/>
              <w:jc w:val="both"/>
            </w:pPr>
            <w:r>
              <w:rPr>
                <w:color w:val="000000"/>
                <w:sz w:val="20"/>
                <w:szCs w:val="20"/>
              </w:rPr>
              <w:t>Measurable reductions in consumption and emissions; strong technical focus</w:t>
            </w:r>
          </w:p>
        </w:tc>
        <w:tc>
          <w:tcPr>
            <w:tcW w:w="0" w:type="auto"/>
            <w:tcBorders>
              <w:top w:val="single" w:sz="4" w:space="0" w:color="7F7F7F"/>
              <w:bottom w:val="single" w:sz="4" w:space="0" w:color="7F7F7F"/>
            </w:tcBorders>
            <w:tcMar>
              <w:top w:w="0" w:type="dxa"/>
              <w:left w:w="108" w:type="dxa"/>
              <w:bottom w:w="0" w:type="dxa"/>
              <w:right w:w="108" w:type="dxa"/>
            </w:tcMar>
            <w:hideMark/>
          </w:tcPr>
          <w:p w14:paraId="3EF97845" w14:textId="77777777" w:rsidR="0082774C" w:rsidRDefault="0082774C">
            <w:pPr>
              <w:pStyle w:val="NormalWeb"/>
              <w:spacing w:before="0" w:beforeAutospacing="0" w:after="160" w:afterAutospacing="0"/>
              <w:jc w:val="both"/>
            </w:pPr>
            <w:r>
              <w:rPr>
                <w:color w:val="000000"/>
                <w:sz w:val="20"/>
                <w:szCs w:val="20"/>
              </w:rPr>
              <w:t>Fragmented initiatives, weak integration of social and behavioral dimensions</w:t>
            </w:r>
          </w:p>
        </w:tc>
      </w:tr>
      <w:tr w:rsidR="0082774C" w14:paraId="036C8B6A" w14:textId="77777777" w:rsidTr="0082774C">
        <w:tc>
          <w:tcPr>
            <w:tcW w:w="0" w:type="auto"/>
            <w:tcBorders>
              <w:top w:val="single" w:sz="4" w:space="0" w:color="7F7F7F"/>
              <w:bottom w:val="single" w:sz="4" w:space="0" w:color="7F7F7F"/>
            </w:tcBorders>
            <w:tcMar>
              <w:top w:w="0" w:type="dxa"/>
              <w:left w:w="108" w:type="dxa"/>
              <w:bottom w:w="0" w:type="dxa"/>
              <w:right w:w="108" w:type="dxa"/>
            </w:tcMar>
            <w:hideMark/>
          </w:tcPr>
          <w:p w14:paraId="093394FA" w14:textId="77777777" w:rsidR="0082774C" w:rsidRDefault="0082774C">
            <w:pPr>
              <w:pStyle w:val="NormalWeb"/>
              <w:spacing w:before="0" w:beforeAutospacing="0" w:after="160" w:afterAutospacing="0"/>
              <w:jc w:val="both"/>
            </w:pPr>
            <w:r>
              <w:rPr>
                <w:b/>
                <w:bCs/>
                <w:color w:val="000000"/>
                <w:sz w:val="20"/>
                <w:szCs w:val="20"/>
              </w:rPr>
              <w:t>Education for Sustainable Development (ESD) &amp; curriculum integration</w:t>
            </w:r>
          </w:p>
        </w:tc>
        <w:tc>
          <w:tcPr>
            <w:tcW w:w="0" w:type="auto"/>
            <w:tcBorders>
              <w:top w:val="single" w:sz="4" w:space="0" w:color="7F7F7F"/>
              <w:bottom w:val="single" w:sz="4" w:space="0" w:color="7F7F7F"/>
            </w:tcBorders>
            <w:tcMar>
              <w:top w:w="0" w:type="dxa"/>
              <w:left w:w="108" w:type="dxa"/>
              <w:bottom w:w="0" w:type="dxa"/>
              <w:right w:w="108" w:type="dxa"/>
            </w:tcMar>
            <w:hideMark/>
          </w:tcPr>
          <w:p w14:paraId="1AE6F27F" w14:textId="77777777" w:rsidR="0082774C" w:rsidRDefault="0082774C">
            <w:pPr>
              <w:pStyle w:val="NormalWeb"/>
              <w:spacing w:before="0" w:beforeAutospacing="0" w:after="160" w:afterAutospacing="0"/>
              <w:jc w:val="both"/>
            </w:pPr>
            <w:r>
              <w:rPr>
                <w:color w:val="000000"/>
                <w:sz w:val="20"/>
                <w:szCs w:val="20"/>
              </w:rPr>
              <w:t>Burandt &amp; Barth (2010); Disterheft et al. (2013); Mendez et al. (2025)</w:t>
            </w:r>
          </w:p>
        </w:tc>
        <w:tc>
          <w:tcPr>
            <w:tcW w:w="0" w:type="auto"/>
            <w:tcBorders>
              <w:top w:val="single" w:sz="4" w:space="0" w:color="7F7F7F"/>
              <w:bottom w:val="single" w:sz="4" w:space="0" w:color="7F7F7F"/>
            </w:tcBorders>
            <w:tcMar>
              <w:top w:w="0" w:type="dxa"/>
              <w:left w:w="108" w:type="dxa"/>
              <w:bottom w:w="0" w:type="dxa"/>
              <w:right w:w="108" w:type="dxa"/>
            </w:tcMar>
            <w:hideMark/>
          </w:tcPr>
          <w:p w14:paraId="28F1A40A" w14:textId="77777777" w:rsidR="0082774C" w:rsidRDefault="0082774C">
            <w:pPr>
              <w:pStyle w:val="NormalWeb"/>
              <w:spacing w:before="0" w:beforeAutospacing="0" w:after="160" w:afterAutospacing="0"/>
              <w:jc w:val="both"/>
            </w:pPr>
            <w:r>
              <w:rPr>
                <w:color w:val="000000"/>
                <w:sz w:val="20"/>
                <w:szCs w:val="20"/>
              </w:rPr>
              <w:t>Pedagogical case studies, living labs, interdisciplinary approaches</w:t>
            </w:r>
          </w:p>
        </w:tc>
        <w:tc>
          <w:tcPr>
            <w:tcW w:w="0" w:type="auto"/>
            <w:tcBorders>
              <w:top w:val="single" w:sz="4" w:space="0" w:color="7F7F7F"/>
              <w:bottom w:val="single" w:sz="4" w:space="0" w:color="7F7F7F"/>
            </w:tcBorders>
            <w:tcMar>
              <w:top w:w="0" w:type="dxa"/>
              <w:left w:w="108" w:type="dxa"/>
              <w:bottom w:w="0" w:type="dxa"/>
              <w:right w:w="108" w:type="dxa"/>
            </w:tcMar>
            <w:hideMark/>
          </w:tcPr>
          <w:p w14:paraId="592EEC6C" w14:textId="77777777" w:rsidR="0082774C" w:rsidRDefault="0082774C">
            <w:pPr>
              <w:pStyle w:val="NormalWeb"/>
              <w:spacing w:before="0" w:beforeAutospacing="0" w:after="160" w:afterAutospacing="0"/>
              <w:jc w:val="both"/>
            </w:pPr>
            <w:r>
              <w:rPr>
                <w:color w:val="000000"/>
                <w:sz w:val="20"/>
                <w:szCs w:val="20"/>
              </w:rPr>
              <w:t>Development of sustainability competencies and experiential learning</w:t>
            </w:r>
          </w:p>
        </w:tc>
        <w:tc>
          <w:tcPr>
            <w:tcW w:w="0" w:type="auto"/>
            <w:tcBorders>
              <w:top w:val="single" w:sz="4" w:space="0" w:color="7F7F7F"/>
              <w:bottom w:val="single" w:sz="4" w:space="0" w:color="7F7F7F"/>
            </w:tcBorders>
            <w:tcMar>
              <w:top w:w="0" w:type="dxa"/>
              <w:left w:w="108" w:type="dxa"/>
              <w:bottom w:w="0" w:type="dxa"/>
              <w:right w:w="108" w:type="dxa"/>
            </w:tcMar>
            <w:hideMark/>
          </w:tcPr>
          <w:p w14:paraId="7830CE70" w14:textId="77777777" w:rsidR="0082774C" w:rsidRDefault="0082774C">
            <w:pPr>
              <w:pStyle w:val="NormalWeb"/>
              <w:spacing w:before="0" w:beforeAutospacing="0" w:after="160" w:afterAutospacing="0"/>
              <w:jc w:val="both"/>
            </w:pPr>
            <w:r>
              <w:rPr>
                <w:color w:val="000000"/>
                <w:sz w:val="20"/>
                <w:szCs w:val="20"/>
              </w:rPr>
              <w:t>Limited assessment of long-term behavioral impacts</w:t>
            </w:r>
          </w:p>
        </w:tc>
      </w:tr>
      <w:tr w:rsidR="0082774C" w14:paraId="4CED4768" w14:textId="77777777" w:rsidTr="0082774C">
        <w:tc>
          <w:tcPr>
            <w:tcW w:w="0" w:type="auto"/>
            <w:tcBorders>
              <w:top w:val="single" w:sz="4" w:space="0" w:color="7F7F7F"/>
              <w:bottom w:val="single" w:sz="4" w:space="0" w:color="7F7F7F"/>
            </w:tcBorders>
            <w:tcMar>
              <w:top w:w="0" w:type="dxa"/>
              <w:left w:w="108" w:type="dxa"/>
              <w:bottom w:w="0" w:type="dxa"/>
              <w:right w:w="108" w:type="dxa"/>
            </w:tcMar>
            <w:hideMark/>
          </w:tcPr>
          <w:p w14:paraId="762D0432" w14:textId="77777777" w:rsidR="0082774C" w:rsidRDefault="0082774C">
            <w:pPr>
              <w:pStyle w:val="NormalWeb"/>
              <w:spacing w:before="0" w:beforeAutospacing="0" w:after="160" w:afterAutospacing="0"/>
              <w:jc w:val="both"/>
            </w:pPr>
            <w:r>
              <w:rPr>
                <w:b/>
                <w:bCs/>
                <w:color w:val="000000"/>
                <w:sz w:val="20"/>
                <w:szCs w:val="20"/>
              </w:rPr>
              <w:t>Awareness, behavior &amp; stakeholder engagement</w:t>
            </w:r>
          </w:p>
        </w:tc>
        <w:tc>
          <w:tcPr>
            <w:tcW w:w="0" w:type="auto"/>
            <w:tcBorders>
              <w:top w:val="single" w:sz="4" w:space="0" w:color="7F7F7F"/>
              <w:bottom w:val="single" w:sz="4" w:space="0" w:color="7F7F7F"/>
            </w:tcBorders>
            <w:tcMar>
              <w:top w:w="0" w:type="dxa"/>
              <w:left w:w="108" w:type="dxa"/>
              <w:bottom w:w="0" w:type="dxa"/>
              <w:right w:w="108" w:type="dxa"/>
            </w:tcMar>
            <w:hideMark/>
          </w:tcPr>
          <w:p w14:paraId="3806F630" w14:textId="77777777" w:rsidR="0082774C" w:rsidRDefault="0082774C">
            <w:pPr>
              <w:pStyle w:val="NormalWeb"/>
              <w:spacing w:before="0" w:beforeAutospacing="0" w:after="160" w:afterAutospacing="0"/>
              <w:jc w:val="both"/>
            </w:pPr>
            <w:r>
              <w:rPr>
                <w:color w:val="000000"/>
                <w:sz w:val="20"/>
                <w:szCs w:val="20"/>
              </w:rPr>
              <w:t>Dagiliūtė et al. (2018); Setiawati &amp; Maulana (2021); Zhao &amp; Zou (2023); Hamid et al. (2017)</w:t>
            </w:r>
          </w:p>
        </w:tc>
        <w:tc>
          <w:tcPr>
            <w:tcW w:w="0" w:type="auto"/>
            <w:tcBorders>
              <w:top w:val="single" w:sz="4" w:space="0" w:color="7F7F7F"/>
              <w:bottom w:val="single" w:sz="4" w:space="0" w:color="7F7F7F"/>
            </w:tcBorders>
            <w:tcMar>
              <w:top w:w="0" w:type="dxa"/>
              <w:left w:w="108" w:type="dxa"/>
              <w:bottom w:w="0" w:type="dxa"/>
              <w:right w:w="108" w:type="dxa"/>
            </w:tcMar>
            <w:hideMark/>
          </w:tcPr>
          <w:p w14:paraId="7E1F6B5F" w14:textId="77777777" w:rsidR="0082774C" w:rsidRDefault="0082774C">
            <w:pPr>
              <w:pStyle w:val="NormalWeb"/>
              <w:spacing w:before="0" w:beforeAutospacing="0" w:after="160" w:afterAutospacing="0"/>
              <w:jc w:val="both"/>
            </w:pPr>
            <w:r>
              <w:rPr>
                <w:color w:val="000000"/>
                <w:sz w:val="20"/>
                <w:szCs w:val="20"/>
              </w:rPr>
              <w:t>Surveys, statistical analyses, behavioral interventions</w:t>
            </w:r>
          </w:p>
        </w:tc>
        <w:tc>
          <w:tcPr>
            <w:tcW w:w="0" w:type="auto"/>
            <w:tcBorders>
              <w:top w:val="single" w:sz="4" w:space="0" w:color="7F7F7F"/>
              <w:bottom w:val="single" w:sz="4" w:space="0" w:color="7F7F7F"/>
            </w:tcBorders>
            <w:tcMar>
              <w:top w:w="0" w:type="dxa"/>
              <w:left w:w="108" w:type="dxa"/>
              <w:bottom w:w="0" w:type="dxa"/>
              <w:right w:w="108" w:type="dxa"/>
            </w:tcMar>
            <w:hideMark/>
          </w:tcPr>
          <w:p w14:paraId="166716D9" w14:textId="77777777" w:rsidR="0082774C" w:rsidRDefault="0082774C">
            <w:pPr>
              <w:pStyle w:val="NormalWeb"/>
              <w:spacing w:before="0" w:beforeAutospacing="0" w:after="160" w:afterAutospacing="0"/>
              <w:jc w:val="both"/>
            </w:pPr>
            <w:r>
              <w:rPr>
                <w:color w:val="000000"/>
                <w:sz w:val="20"/>
                <w:szCs w:val="20"/>
              </w:rPr>
              <w:t>High environmental awareness but persistent attitude–behavior gap</w:t>
            </w:r>
          </w:p>
        </w:tc>
        <w:tc>
          <w:tcPr>
            <w:tcW w:w="0" w:type="auto"/>
            <w:tcBorders>
              <w:top w:val="single" w:sz="4" w:space="0" w:color="7F7F7F"/>
              <w:bottom w:val="single" w:sz="4" w:space="0" w:color="7F7F7F"/>
            </w:tcBorders>
            <w:tcMar>
              <w:top w:w="0" w:type="dxa"/>
              <w:left w:w="108" w:type="dxa"/>
              <w:bottom w:w="0" w:type="dxa"/>
              <w:right w:w="108" w:type="dxa"/>
            </w:tcMar>
            <w:hideMark/>
          </w:tcPr>
          <w:p w14:paraId="0BE435B6" w14:textId="77777777" w:rsidR="0082774C" w:rsidRDefault="0082774C">
            <w:pPr>
              <w:pStyle w:val="NormalWeb"/>
              <w:spacing w:before="0" w:beforeAutospacing="0" w:after="160" w:afterAutospacing="0"/>
              <w:jc w:val="both"/>
            </w:pPr>
            <w:r>
              <w:rPr>
                <w:color w:val="000000"/>
                <w:sz w:val="20"/>
                <w:szCs w:val="20"/>
              </w:rPr>
              <w:t>Insufficient understanding of underlying motivational mechanisms</w:t>
            </w:r>
          </w:p>
        </w:tc>
      </w:tr>
      <w:tr w:rsidR="0082774C" w14:paraId="366D9B81" w14:textId="77777777" w:rsidTr="0082774C">
        <w:tc>
          <w:tcPr>
            <w:tcW w:w="0" w:type="auto"/>
            <w:tcBorders>
              <w:top w:val="single" w:sz="4" w:space="0" w:color="7F7F7F"/>
              <w:bottom w:val="single" w:sz="4" w:space="0" w:color="7F7F7F"/>
            </w:tcBorders>
            <w:tcMar>
              <w:top w:w="0" w:type="dxa"/>
              <w:left w:w="108" w:type="dxa"/>
              <w:bottom w:w="0" w:type="dxa"/>
              <w:right w:w="108" w:type="dxa"/>
            </w:tcMar>
            <w:hideMark/>
          </w:tcPr>
          <w:p w14:paraId="45D934C7" w14:textId="77777777" w:rsidR="0082774C" w:rsidRDefault="0082774C">
            <w:pPr>
              <w:pStyle w:val="NormalWeb"/>
              <w:spacing w:before="0" w:beforeAutospacing="0" w:after="160" w:afterAutospacing="0"/>
              <w:jc w:val="both"/>
            </w:pPr>
            <w:r>
              <w:rPr>
                <w:b/>
                <w:bCs/>
                <w:color w:val="000000"/>
                <w:sz w:val="20"/>
                <w:szCs w:val="20"/>
              </w:rPr>
              <w:t>Governance, strategy &amp; organizational change</w:t>
            </w:r>
          </w:p>
        </w:tc>
        <w:tc>
          <w:tcPr>
            <w:tcW w:w="0" w:type="auto"/>
            <w:tcBorders>
              <w:top w:val="single" w:sz="4" w:space="0" w:color="7F7F7F"/>
              <w:bottom w:val="single" w:sz="4" w:space="0" w:color="7F7F7F"/>
            </w:tcBorders>
            <w:tcMar>
              <w:top w:w="0" w:type="dxa"/>
              <w:left w:w="108" w:type="dxa"/>
              <w:bottom w:w="0" w:type="dxa"/>
              <w:right w:w="108" w:type="dxa"/>
            </w:tcMar>
            <w:hideMark/>
          </w:tcPr>
          <w:p w14:paraId="38CA8186" w14:textId="77777777" w:rsidR="0082774C" w:rsidRDefault="0082774C">
            <w:pPr>
              <w:pStyle w:val="NormalWeb"/>
              <w:spacing w:before="0" w:beforeAutospacing="0" w:after="160" w:afterAutospacing="0"/>
              <w:jc w:val="both"/>
            </w:pPr>
            <w:r>
              <w:rPr>
                <w:color w:val="000000"/>
                <w:sz w:val="20"/>
                <w:szCs w:val="20"/>
              </w:rPr>
              <w:t>White (2014); Romero &amp; Mulfarth (2017); Abubakar et al. (2020); Rosa et al. (2024); Washington-Ottombre (2024)</w:t>
            </w:r>
          </w:p>
        </w:tc>
        <w:tc>
          <w:tcPr>
            <w:tcW w:w="0" w:type="auto"/>
            <w:tcBorders>
              <w:top w:val="single" w:sz="4" w:space="0" w:color="7F7F7F"/>
              <w:bottom w:val="single" w:sz="4" w:space="0" w:color="7F7F7F"/>
            </w:tcBorders>
            <w:tcMar>
              <w:top w:w="0" w:type="dxa"/>
              <w:left w:w="108" w:type="dxa"/>
              <w:bottom w:w="0" w:type="dxa"/>
              <w:right w:w="108" w:type="dxa"/>
            </w:tcMar>
            <w:hideMark/>
          </w:tcPr>
          <w:p w14:paraId="4BD7B33E" w14:textId="77777777" w:rsidR="0082774C" w:rsidRDefault="0082774C">
            <w:pPr>
              <w:pStyle w:val="NormalWeb"/>
              <w:spacing w:before="0" w:beforeAutospacing="0" w:after="160" w:afterAutospacing="0"/>
              <w:jc w:val="both"/>
            </w:pPr>
            <w:r>
              <w:rPr>
                <w:color w:val="000000"/>
                <w:sz w:val="20"/>
                <w:szCs w:val="20"/>
              </w:rPr>
              <w:t>Policy analysis, reporting studies, institutional case studies</w:t>
            </w:r>
          </w:p>
        </w:tc>
        <w:tc>
          <w:tcPr>
            <w:tcW w:w="0" w:type="auto"/>
            <w:tcBorders>
              <w:top w:val="single" w:sz="4" w:space="0" w:color="7F7F7F"/>
              <w:bottom w:val="single" w:sz="4" w:space="0" w:color="7F7F7F"/>
            </w:tcBorders>
            <w:tcMar>
              <w:top w:w="0" w:type="dxa"/>
              <w:left w:w="108" w:type="dxa"/>
              <w:bottom w:w="0" w:type="dxa"/>
              <w:right w:w="108" w:type="dxa"/>
            </w:tcMar>
            <w:hideMark/>
          </w:tcPr>
          <w:p w14:paraId="2D0428E4" w14:textId="77777777" w:rsidR="0082774C" w:rsidRDefault="0082774C">
            <w:pPr>
              <w:pStyle w:val="NormalWeb"/>
              <w:spacing w:before="0" w:beforeAutospacing="0" w:after="160" w:afterAutospacing="0"/>
              <w:jc w:val="both"/>
            </w:pPr>
            <w:r>
              <w:rPr>
                <w:color w:val="000000"/>
                <w:sz w:val="20"/>
                <w:szCs w:val="20"/>
              </w:rPr>
              <w:t>Leadership and strategic planning are critical drivers of sustainability performance</w:t>
            </w:r>
          </w:p>
        </w:tc>
        <w:tc>
          <w:tcPr>
            <w:tcW w:w="0" w:type="auto"/>
            <w:tcBorders>
              <w:top w:val="single" w:sz="4" w:space="0" w:color="7F7F7F"/>
              <w:bottom w:val="single" w:sz="4" w:space="0" w:color="7F7F7F"/>
            </w:tcBorders>
            <w:tcMar>
              <w:top w:w="0" w:type="dxa"/>
              <w:left w:w="108" w:type="dxa"/>
              <w:bottom w:w="0" w:type="dxa"/>
              <w:right w:w="108" w:type="dxa"/>
            </w:tcMar>
            <w:hideMark/>
          </w:tcPr>
          <w:p w14:paraId="13A184BA" w14:textId="77777777" w:rsidR="0082774C" w:rsidRDefault="0082774C">
            <w:pPr>
              <w:pStyle w:val="NormalWeb"/>
              <w:spacing w:before="0" w:beforeAutospacing="0" w:after="160" w:afterAutospacing="0"/>
              <w:jc w:val="both"/>
            </w:pPr>
            <w:r>
              <w:rPr>
                <w:color w:val="000000"/>
                <w:sz w:val="20"/>
                <w:szCs w:val="20"/>
              </w:rPr>
              <w:t>Slow cultural change and limited internal coordination</w:t>
            </w:r>
          </w:p>
        </w:tc>
      </w:tr>
      <w:tr w:rsidR="0082774C" w14:paraId="749BE295" w14:textId="77777777" w:rsidTr="0082774C">
        <w:tc>
          <w:tcPr>
            <w:tcW w:w="0" w:type="auto"/>
            <w:tcBorders>
              <w:top w:val="single" w:sz="4" w:space="0" w:color="7F7F7F"/>
              <w:bottom w:val="single" w:sz="4" w:space="0" w:color="7F7F7F"/>
            </w:tcBorders>
            <w:tcMar>
              <w:top w:w="0" w:type="dxa"/>
              <w:left w:w="108" w:type="dxa"/>
              <w:bottom w:w="0" w:type="dxa"/>
              <w:right w:w="108" w:type="dxa"/>
            </w:tcMar>
            <w:hideMark/>
          </w:tcPr>
          <w:p w14:paraId="25F365BA" w14:textId="77777777" w:rsidR="0082774C" w:rsidRDefault="0082774C">
            <w:pPr>
              <w:pStyle w:val="NormalWeb"/>
              <w:spacing w:before="0" w:beforeAutospacing="0" w:after="160" w:afterAutospacing="0"/>
              <w:jc w:val="both"/>
            </w:pPr>
            <w:r>
              <w:rPr>
                <w:b/>
                <w:bCs/>
                <w:color w:val="000000"/>
                <w:sz w:val="20"/>
                <w:szCs w:val="20"/>
              </w:rPr>
              <w:t>University social responsibility &amp; community engagement</w:t>
            </w:r>
          </w:p>
        </w:tc>
        <w:tc>
          <w:tcPr>
            <w:tcW w:w="0" w:type="auto"/>
            <w:tcBorders>
              <w:top w:val="single" w:sz="4" w:space="0" w:color="7F7F7F"/>
              <w:bottom w:val="single" w:sz="4" w:space="0" w:color="7F7F7F"/>
            </w:tcBorders>
            <w:tcMar>
              <w:top w:w="0" w:type="dxa"/>
              <w:left w:w="108" w:type="dxa"/>
              <w:bottom w:w="0" w:type="dxa"/>
              <w:right w:w="108" w:type="dxa"/>
            </w:tcMar>
            <w:hideMark/>
          </w:tcPr>
          <w:p w14:paraId="05925D73" w14:textId="77777777" w:rsidR="0082774C" w:rsidRDefault="0082774C">
            <w:pPr>
              <w:pStyle w:val="NormalWeb"/>
              <w:spacing w:before="0" w:beforeAutospacing="0" w:after="160" w:afterAutospacing="0"/>
              <w:jc w:val="both"/>
            </w:pPr>
            <w:r>
              <w:rPr>
                <w:color w:val="000000"/>
                <w:sz w:val="20"/>
                <w:szCs w:val="20"/>
              </w:rPr>
              <w:t>Gómez et al. (2021);); Arias-Valle &amp; Marimón (2024)</w:t>
            </w:r>
          </w:p>
        </w:tc>
        <w:tc>
          <w:tcPr>
            <w:tcW w:w="0" w:type="auto"/>
            <w:tcBorders>
              <w:top w:val="single" w:sz="4" w:space="0" w:color="7F7F7F"/>
              <w:bottom w:val="single" w:sz="4" w:space="0" w:color="7F7F7F"/>
            </w:tcBorders>
            <w:tcMar>
              <w:top w:w="0" w:type="dxa"/>
              <w:left w:w="108" w:type="dxa"/>
              <w:bottom w:w="0" w:type="dxa"/>
              <w:right w:w="108" w:type="dxa"/>
            </w:tcMar>
            <w:hideMark/>
          </w:tcPr>
          <w:p w14:paraId="5B17C630" w14:textId="77777777" w:rsidR="0082774C" w:rsidRDefault="0082774C">
            <w:pPr>
              <w:pStyle w:val="NormalWeb"/>
              <w:spacing w:before="0" w:beforeAutospacing="0" w:after="160" w:afterAutospacing="0"/>
              <w:jc w:val="both"/>
            </w:pPr>
            <w:r>
              <w:rPr>
                <w:color w:val="000000"/>
                <w:sz w:val="20"/>
                <w:szCs w:val="20"/>
              </w:rPr>
              <w:t>Qualitative evaluations, impact studies</w:t>
            </w:r>
          </w:p>
        </w:tc>
        <w:tc>
          <w:tcPr>
            <w:tcW w:w="0" w:type="auto"/>
            <w:tcBorders>
              <w:top w:val="single" w:sz="4" w:space="0" w:color="7F7F7F"/>
              <w:bottom w:val="single" w:sz="4" w:space="0" w:color="7F7F7F"/>
            </w:tcBorders>
            <w:tcMar>
              <w:top w:w="0" w:type="dxa"/>
              <w:left w:w="108" w:type="dxa"/>
              <w:bottom w:w="0" w:type="dxa"/>
              <w:right w:w="108" w:type="dxa"/>
            </w:tcMar>
            <w:hideMark/>
          </w:tcPr>
          <w:p w14:paraId="3A1B0F3B" w14:textId="77777777" w:rsidR="0082774C" w:rsidRDefault="0082774C">
            <w:pPr>
              <w:pStyle w:val="NormalWeb"/>
              <w:spacing w:before="0" w:beforeAutospacing="0" w:after="160" w:afterAutospacing="0"/>
              <w:jc w:val="both"/>
            </w:pPr>
            <w:r>
              <w:rPr>
                <w:color w:val="000000"/>
                <w:sz w:val="20"/>
                <w:szCs w:val="20"/>
              </w:rPr>
              <w:t>Universities increasingly act as societal sustainability leaders beyond campus boundaries</w:t>
            </w:r>
          </w:p>
        </w:tc>
        <w:tc>
          <w:tcPr>
            <w:tcW w:w="0" w:type="auto"/>
            <w:tcBorders>
              <w:top w:val="single" w:sz="4" w:space="0" w:color="7F7F7F"/>
              <w:bottom w:val="single" w:sz="4" w:space="0" w:color="7F7F7F"/>
            </w:tcBorders>
            <w:tcMar>
              <w:top w:w="0" w:type="dxa"/>
              <w:left w:w="108" w:type="dxa"/>
              <w:bottom w:w="0" w:type="dxa"/>
              <w:right w:w="108" w:type="dxa"/>
            </w:tcMar>
            <w:hideMark/>
          </w:tcPr>
          <w:p w14:paraId="3B242493" w14:textId="77777777" w:rsidR="0082774C" w:rsidRDefault="0082774C">
            <w:pPr>
              <w:pStyle w:val="NormalWeb"/>
              <w:spacing w:before="0" w:beforeAutospacing="0" w:after="160" w:afterAutospacing="0"/>
              <w:jc w:val="both"/>
            </w:pPr>
            <w:r>
              <w:rPr>
                <w:color w:val="000000"/>
                <w:sz w:val="20"/>
                <w:szCs w:val="20"/>
              </w:rPr>
              <w:t>Lack of standardized metrics for social impact assessment</w:t>
            </w:r>
          </w:p>
        </w:tc>
      </w:tr>
      <w:tr w:rsidR="0082774C" w14:paraId="66F84C35" w14:textId="77777777" w:rsidTr="0082774C">
        <w:tc>
          <w:tcPr>
            <w:tcW w:w="0" w:type="auto"/>
            <w:tcBorders>
              <w:top w:val="single" w:sz="4" w:space="0" w:color="7F7F7F"/>
              <w:bottom w:val="single" w:sz="4" w:space="0" w:color="7F7F7F"/>
            </w:tcBorders>
            <w:tcMar>
              <w:top w:w="0" w:type="dxa"/>
              <w:left w:w="108" w:type="dxa"/>
              <w:bottom w:w="0" w:type="dxa"/>
              <w:right w:w="108" w:type="dxa"/>
            </w:tcMar>
            <w:hideMark/>
          </w:tcPr>
          <w:p w14:paraId="1B505D66" w14:textId="77777777" w:rsidR="0082774C" w:rsidRDefault="0082774C">
            <w:pPr>
              <w:pStyle w:val="NormalWeb"/>
              <w:spacing w:before="0" w:beforeAutospacing="0" w:after="160" w:afterAutospacing="0"/>
              <w:jc w:val="both"/>
            </w:pPr>
            <w:r>
              <w:rPr>
                <w:b/>
                <w:bCs/>
                <w:color w:val="000000"/>
                <w:sz w:val="20"/>
                <w:szCs w:val="20"/>
              </w:rPr>
              <w:t>Smart campus &amp; digitalization for sustainability</w:t>
            </w:r>
          </w:p>
        </w:tc>
        <w:tc>
          <w:tcPr>
            <w:tcW w:w="0" w:type="auto"/>
            <w:tcBorders>
              <w:top w:val="single" w:sz="4" w:space="0" w:color="7F7F7F"/>
              <w:bottom w:val="single" w:sz="4" w:space="0" w:color="7F7F7F"/>
            </w:tcBorders>
            <w:tcMar>
              <w:top w:w="0" w:type="dxa"/>
              <w:left w:w="108" w:type="dxa"/>
              <w:bottom w:w="0" w:type="dxa"/>
              <w:right w:w="108" w:type="dxa"/>
            </w:tcMar>
            <w:hideMark/>
          </w:tcPr>
          <w:p w14:paraId="751BE1DA" w14:textId="77777777" w:rsidR="0082774C" w:rsidRDefault="0082774C">
            <w:pPr>
              <w:pStyle w:val="NormalWeb"/>
              <w:spacing w:before="0" w:beforeAutospacing="0" w:after="160" w:afterAutospacing="0"/>
              <w:jc w:val="both"/>
            </w:pPr>
            <w:r>
              <w:rPr>
                <w:color w:val="000000"/>
                <w:sz w:val="20"/>
                <w:szCs w:val="20"/>
              </w:rPr>
              <w:t>Min-Allah &amp; Alrashed (2020); Subbarao et al. (2019); Ceccarini et al. (2021); Ahmed et al. (2023)</w:t>
            </w:r>
          </w:p>
        </w:tc>
        <w:tc>
          <w:tcPr>
            <w:tcW w:w="0" w:type="auto"/>
            <w:tcBorders>
              <w:top w:val="single" w:sz="4" w:space="0" w:color="7F7F7F"/>
              <w:bottom w:val="single" w:sz="4" w:space="0" w:color="7F7F7F"/>
            </w:tcBorders>
            <w:tcMar>
              <w:top w:w="0" w:type="dxa"/>
              <w:left w:w="108" w:type="dxa"/>
              <w:bottom w:w="0" w:type="dxa"/>
              <w:right w:w="108" w:type="dxa"/>
            </w:tcMar>
            <w:hideMark/>
          </w:tcPr>
          <w:p w14:paraId="49B45331" w14:textId="77777777" w:rsidR="0082774C" w:rsidRDefault="0082774C">
            <w:pPr>
              <w:pStyle w:val="NormalWeb"/>
              <w:spacing w:before="0" w:beforeAutospacing="0" w:after="160" w:afterAutospacing="0"/>
              <w:jc w:val="both"/>
            </w:pPr>
            <w:r>
              <w:rPr>
                <w:color w:val="000000"/>
                <w:sz w:val="20"/>
                <w:szCs w:val="20"/>
              </w:rPr>
              <w:t>IoT systems, smart grids, AI-based monitoring platforms</w:t>
            </w:r>
          </w:p>
        </w:tc>
        <w:tc>
          <w:tcPr>
            <w:tcW w:w="0" w:type="auto"/>
            <w:tcBorders>
              <w:top w:val="single" w:sz="4" w:space="0" w:color="7F7F7F"/>
              <w:bottom w:val="single" w:sz="4" w:space="0" w:color="7F7F7F"/>
            </w:tcBorders>
            <w:tcMar>
              <w:top w:w="0" w:type="dxa"/>
              <w:left w:w="108" w:type="dxa"/>
              <w:bottom w:w="0" w:type="dxa"/>
              <w:right w:w="108" w:type="dxa"/>
            </w:tcMar>
            <w:hideMark/>
          </w:tcPr>
          <w:p w14:paraId="25E86754" w14:textId="77777777" w:rsidR="0082774C" w:rsidRDefault="0082774C">
            <w:pPr>
              <w:pStyle w:val="NormalWeb"/>
              <w:spacing w:before="0" w:beforeAutospacing="0" w:after="160" w:afterAutospacing="0"/>
              <w:jc w:val="both"/>
            </w:pPr>
            <w:r>
              <w:rPr>
                <w:color w:val="000000"/>
                <w:sz w:val="20"/>
                <w:szCs w:val="20"/>
              </w:rPr>
              <w:t>Real-time resource optimization and improved decision-making</w:t>
            </w:r>
          </w:p>
        </w:tc>
        <w:tc>
          <w:tcPr>
            <w:tcW w:w="0" w:type="auto"/>
            <w:tcBorders>
              <w:top w:val="single" w:sz="4" w:space="0" w:color="7F7F7F"/>
              <w:bottom w:val="single" w:sz="4" w:space="0" w:color="7F7F7F"/>
            </w:tcBorders>
            <w:tcMar>
              <w:top w:w="0" w:type="dxa"/>
              <w:left w:w="108" w:type="dxa"/>
              <w:bottom w:w="0" w:type="dxa"/>
              <w:right w:w="108" w:type="dxa"/>
            </w:tcMar>
            <w:hideMark/>
          </w:tcPr>
          <w:p w14:paraId="5FD0C3E7" w14:textId="77777777" w:rsidR="0082774C" w:rsidRDefault="0082774C">
            <w:pPr>
              <w:pStyle w:val="NormalWeb"/>
              <w:spacing w:before="0" w:beforeAutospacing="0" w:after="160" w:afterAutospacing="0"/>
              <w:jc w:val="both"/>
            </w:pPr>
            <w:r>
              <w:rPr>
                <w:color w:val="000000"/>
                <w:sz w:val="20"/>
                <w:szCs w:val="20"/>
              </w:rPr>
              <w:t>Limited longitudinal evidence and adoption/acceptance challenges</w:t>
            </w:r>
          </w:p>
        </w:tc>
      </w:tr>
    </w:tbl>
    <w:p w14:paraId="5E907E8B" w14:textId="77777777" w:rsidR="0082774C" w:rsidRDefault="0082774C" w:rsidP="0082774C">
      <w:pPr>
        <w:pStyle w:val="NormalWeb"/>
        <w:spacing w:before="0" w:beforeAutospacing="0" w:after="160" w:afterAutospacing="0"/>
        <w:jc w:val="right"/>
      </w:pPr>
      <w:r>
        <w:rPr>
          <w:color w:val="000000"/>
          <w:sz w:val="22"/>
          <w:szCs w:val="22"/>
        </w:rPr>
        <w:t>Source: Authors</w:t>
      </w:r>
    </w:p>
    <w:p w14:paraId="68538CE9" w14:textId="77777777" w:rsidR="0082774C" w:rsidRDefault="0082774C" w:rsidP="0082774C">
      <w:pPr>
        <w:pStyle w:val="NormalWeb"/>
        <w:spacing w:before="240" w:beforeAutospacing="0" w:after="240" w:afterAutospacing="0"/>
        <w:jc w:val="both"/>
      </w:pPr>
      <w:r>
        <w:rPr>
          <w:color w:val="000000"/>
        </w:rPr>
        <w:t>Despite this theoretical relevance, empirical sustainability measurement in higher education remains largely detached from stakeholder-centered approaches. Many indices prioritize quantifiable operational metrics, energy efficiency, waste management, infrastructure performance, while underrepresenting how sustainability is cognitively framed and hierarchized by internal actors. This disconnect creates a potential legitimacy gap between institutional sustainability strategies and stakeholder-defined priorities.</w:t>
      </w:r>
    </w:p>
    <w:p w14:paraId="6FC86849" w14:textId="2418D3F1" w:rsidR="00810737" w:rsidRPr="0048733A" w:rsidRDefault="0082774C" w:rsidP="0082774C">
      <w:pPr>
        <w:pStyle w:val="NormalWeb"/>
        <w:spacing w:before="240" w:beforeAutospacing="0" w:after="240" w:afterAutospacing="0"/>
        <w:jc w:val="both"/>
        <w:rPr>
          <w:color w:val="FF0000"/>
          <w:lang w:val="en-GB"/>
        </w:rPr>
      </w:pPr>
      <w:r w:rsidRPr="0082774C">
        <w:rPr>
          <w:color w:val="000000"/>
          <w:lang w:val="en-US"/>
        </w:rPr>
        <w:t>By mobilizing stakeholder theory within a behavioral framework, the present study positions sustainability as a socially negotiated construct shaped by expectation, perception dynamics. Understanding how core stakeholders define, prioritize and evaluate sustainability dimensions becomes essential for designing assessment tools that are not only technically robust but institutionally legitimate.</w:t>
      </w:r>
    </w:p>
    <w:p w14:paraId="16CFDD8F" w14:textId="77777777" w:rsidR="00480102" w:rsidRPr="0048733A" w:rsidRDefault="00480102">
      <w:pPr>
        <w:rPr>
          <w:rFonts w:ascii="Times New Roman" w:eastAsia="Times New Roman" w:hAnsi="Times New Roman" w:cs="Times New Roman"/>
          <w:lang w:val="en-GB"/>
        </w:rPr>
      </w:pPr>
      <w:bookmarkStart w:id="0" w:name="_GoBack"/>
      <w:bookmarkEnd w:id="0"/>
    </w:p>
    <w:p w14:paraId="73C1B10C" w14:textId="77777777" w:rsidR="00810737" w:rsidRPr="0048733A" w:rsidRDefault="000B17E4">
      <w:pPr>
        <w:rPr>
          <w:rFonts w:ascii="Times New Roman" w:eastAsia="Times New Roman" w:hAnsi="Times New Roman" w:cs="Times New Roman"/>
          <w:b/>
          <w:bCs/>
          <w:sz w:val="24"/>
          <w:szCs w:val="24"/>
          <w:lang w:val="en-GB"/>
        </w:rPr>
      </w:pPr>
      <w:r w:rsidRPr="0048733A">
        <w:rPr>
          <w:rFonts w:ascii="Times New Roman" w:eastAsia="Times New Roman" w:hAnsi="Times New Roman" w:cs="Times New Roman"/>
          <w:b/>
          <w:bCs/>
          <w:sz w:val="24"/>
          <w:szCs w:val="24"/>
          <w:lang w:val="en-GB"/>
        </w:rPr>
        <w:lastRenderedPageBreak/>
        <w:t>3. Methodology</w:t>
      </w:r>
    </w:p>
    <w:p w14:paraId="68B20148" w14:textId="77777777" w:rsidR="00810737" w:rsidRPr="0048733A" w:rsidRDefault="000B17E4">
      <w:pPr>
        <w:rPr>
          <w:rFonts w:ascii="Times New Roman" w:eastAsia="Times New Roman" w:hAnsi="Times New Roman" w:cs="Times New Roman"/>
          <w:b/>
          <w:bCs/>
          <w:sz w:val="24"/>
          <w:szCs w:val="24"/>
          <w:lang w:val="en-GB"/>
        </w:rPr>
      </w:pPr>
      <w:r w:rsidRPr="0048733A">
        <w:rPr>
          <w:rFonts w:ascii="Times New Roman" w:eastAsia="Times New Roman" w:hAnsi="Times New Roman" w:cs="Times New Roman"/>
          <w:b/>
          <w:bCs/>
          <w:sz w:val="24"/>
          <w:szCs w:val="24"/>
          <w:lang w:val="en-GB"/>
        </w:rPr>
        <w:t>3.1 Research Design</w:t>
      </w:r>
    </w:p>
    <w:p w14:paraId="0FE824F7" w14:textId="78901B80" w:rsidR="00810737" w:rsidRPr="0048733A" w:rsidRDefault="000B17E4" w:rsidP="00400443">
      <w:pPr>
        <w:jc w:val="both"/>
        <w:rPr>
          <w:rFonts w:ascii="Times New Roman" w:eastAsia="Times New Roman" w:hAnsi="Times New Roman" w:cs="Times New Roman"/>
          <w:b/>
          <w:bCs/>
          <w:sz w:val="24"/>
          <w:szCs w:val="24"/>
          <w:lang w:val="en-GB"/>
        </w:rPr>
      </w:pPr>
      <w:r w:rsidRPr="0048733A">
        <w:rPr>
          <w:rFonts w:ascii="Times New Roman" w:eastAsia="Times New Roman" w:hAnsi="Times New Roman" w:cs="Times New Roman"/>
          <w:sz w:val="24"/>
          <w:szCs w:val="24"/>
          <w:lang w:val="en-GB"/>
        </w:rPr>
        <w:t>This study adopts an exploratory qualitative case study design aimed at capturing stakeholders’ perceptions of university sustainability within a specific higher education institution</w:t>
      </w:r>
      <w:r w:rsidR="00D16435">
        <w:rPr>
          <w:rFonts w:ascii="Times New Roman" w:eastAsia="Times New Roman" w:hAnsi="Times New Roman" w:cs="Times New Roman"/>
          <w:sz w:val="24"/>
          <w:szCs w:val="24"/>
          <w:lang w:val="en-GB"/>
        </w:rPr>
        <w:t xml:space="preserve"> (Yin, 2018)</w:t>
      </w:r>
      <w:r w:rsidRPr="0048733A">
        <w:rPr>
          <w:rFonts w:ascii="Times New Roman" w:eastAsia="Times New Roman" w:hAnsi="Times New Roman" w:cs="Times New Roman"/>
          <w:sz w:val="24"/>
          <w:szCs w:val="24"/>
          <w:lang w:val="en-GB"/>
        </w:rPr>
        <w:t>. A single-case approach was selected to allow an in-depth understanding of how sustainability is interpreted, prioritized and evaluated by core internal stakeholders. This design is particularly appropriate when investigating complex, context-dependent phenomena such as institutional sustainability, which involves multiple dimensions and heterogeneous actor perspectives.</w:t>
      </w:r>
    </w:p>
    <w:p w14:paraId="57DECA3B" w14:textId="2131D9E8" w:rsidR="00810737" w:rsidRPr="0048733A" w:rsidRDefault="000B17E4" w:rsidP="00400443">
      <w:pPr>
        <w:jc w:val="both"/>
        <w:rPr>
          <w:rFonts w:ascii="Times New Roman" w:eastAsia="Times New Roman" w:hAnsi="Times New Roman" w:cs="Times New Roman"/>
          <w:b/>
          <w:bCs/>
          <w:sz w:val="24"/>
          <w:szCs w:val="24"/>
          <w:lang w:val="en-GB"/>
        </w:rPr>
      </w:pPr>
      <w:r w:rsidRPr="0048733A">
        <w:rPr>
          <w:rFonts w:ascii="Times New Roman" w:eastAsia="Times New Roman" w:hAnsi="Times New Roman" w:cs="Times New Roman"/>
          <w:sz w:val="24"/>
          <w:szCs w:val="24"/>
          <w:lang w:val="en-GB"/>
        </w:rPr>
        <w:t xml:space="preserve">The research is grounded in stakeholder theory (Freeman, 1984) and adopts a </w:t>
      </w:r>
      <w:r w:rsidR="00400443" w:rsidRPr="0048733A">
        <w:rPr>
          <w:rFonts w:ascii="Times New Roman" w:eastAsia="Times New Roman" w:hAnsi="Times New Roman" w:cs="Times New Roman"/>
          <w:sz w:val="24"/>
          <w:szCs w:val="24"/>
          <w:lang w:val="en-GB"/>
        </w:rPr>
        <w:t>behavioural</w:t>
      </w:r>
      <w:r w:rsidRPr="0048733A">
        <w:rPr>
          <w:rFonts w:ascii="Times New Roman" w:eastAsia="Times New Roman" w:hAnsi="Times New Roman" w:cs="Times New Roman"/>
          <w:sz w:val="24"/>
          <w:szCs w:val="24"/>
          <w:lang w:val="en-GB"/>
        </w:rPr>
        <w:t xml:space="preserve"> perspective to examine how individual actors construct meaning around environmental, social and economic sustainability objectives within the university context.</w:t>
      </w:r>
    </w:p>
    <w:p w14:paraId="1901239C" w14:textId="77777777" w:rsidR="00810737" w:rsidRPr="0048733A" w:rsidRDefault="000B17E4" w:rsidP="00400443">
      <w:pPr>
        <w:jc w:val="both"/>
        <w:rPr>
          <w:rFonts w:ascii="Times New Roman" w:eastAsia="Times New Roman" w:hAnsi="Times New Roman" w:cs="Times New Roman"/>
          <w:b/>
          <w:bCs/>
          <w:sz w:val="24"/>
          <w:szCs w:val="24"/>
          <w:lang w:val="en-GB"/>
        </w:rPr>
      </w:pPr>
      <w:r w:rsidRPr="0048733A">
        <w:rPr>
          <w:rFonts w:ascii="Times New Roman" w:eastAsia="Times New Roman" w:hAnsi="Times New Roman" w:cs="Times New Roman"/>
          <w:b/>
          <w:bCs/>
          <w:sz w:val="24"/>
          <w:szCs w:val="24"/>
          <w:lang w:val="en-GB"/>
        </w:rPr>
        <w:t>3.2 Data Collection</w:t>
      </w:r>
    </w:p>
    <w:p w14:paraId="5BBFD9E8" w14:textId="77777777" w:rsidR="00810737" w:rsidRPr="00085816" w:rsidRDefault="000B17E4" w:rsidP="00085816">
      <w:pPr>
        <w:jc w:val="both"/>
        <w:rPr>
          <w:rFonts w:asciiTheme="majorBidi" w:eastAsia="Times New Roman" w:hAnsiTheme="majorBidi" w:cstheme="majorBidi"/>
          <w:sz w:val="24"/>
          <w:szCs w:val="24"/>
          <w:lang w:val="en-GB"/>
        </w:rPr>
      </w:pPr>
      <w:r w:rsidRPr="00085816">
        <w:rPr>
          <w:rFonts w:asciiTheme="majorBidi" w:eastAsia="Times New Roman" w:hAnsiTheme="majorBidi" w:cstheme="majorBidi"/>
          <w:sz w:val="24"/>
          <w:szCs w:val="24"/>
          <w:lang w:val="en-GB"/>
        </w:rPr>
        <w:t xml:space="preserve">Data were collected through semi-structured interviews conducted with key internal stakeholders, including: 26 Students, 18 Faculty members and 10 Administrative staff. </w:t>
      </w:r>
    </w:p>
    <w:p w14:paraId="6A1788FF" w14:textId="32BEA364" w:rsidR="00810737" w:rsidRPr="00085816" w:rsidRDefault="000B17E4" w:rsidP="00085816">
      <w:pPr>
        <w:jc w:val="both"/>
        <w:rPr>
          <w:rFonts w:asciiTheme="majorBidi" w:hAnsiTheme="majorBidi" w:cstheme="majorBidi"/>
          <w:sz w:val="24"/>
          <w:szCs w:val="24"/>
          <w:lang w:val="en-GB"/>
        </w:rPr>
      </w:pPr>
      <w:r w:rsidRPr="00085816">
        <w:rPr>
          <w:rFonts w:asciiTheme="majorBidi" w:eastAsia="Times New Roman" w:hAnsiTheme="majorBidi" w:cstheme="majorBidi"/>
          <w:sz w:val="24"/>
          <w:szCs w:val="24"/>
          <w:lang w:val="en-GB"/>
        </w:rPr>
        <w:t xml:space="preserve">Participants were selected using purposive sampling to ensure the inclusion of stakeholders directly involved in sustainability-related activities and institutional processes. Specifically, students engaged in sustainability projects, faculty members involved in governance or research initiatives, and administrative staff responsible for institutional policies were intentionally recruited. </w:t>
      </w:r>
      <w:r w:rsidR="00085816" w:rsidRPr="00085816">
        <w:rPr>
          <w:rFonts w:asciiTheme="majorBidi" w:eastAsia="Times New Roman" w:hAnsiTheme="majorBidi" w:cstheme="majorBidi"/>
          <w:sz w:val="24"/>
          <w:szCs w:val="24"/>
          <w:lang w:val="en-GB"/>
        </w:rPr>
        <w:t xml:space="preserve"> S</w:t>
      </w:r>
      <w:r w:rsidR="00085816" w:rsidRPr="00D16435">
        <w:rPr>
          <w:rFonts w:asciiTheme="majorBidi" w:eastAsia="Times New Roman" w:hAnsiTheme="majorBidi" w:cstheme="majorBidi"/>
          <w:sz w:val="24"/>
          <w:szCs w:val="24"/>
          <w:lang w:val="en-GB"/>
        </w:rPr>
        <w:t xml:space="preserve">tudents and academic staff are widely recognized as central agents influencing institutional sustainability transformation </w:t>
      </w:r>
      <w:r w:rsidR="00D16435" w:rsidRPr="00D16435">
        <w:rPr>
          <w:rFonts w:asciiTheme="majorBidi" w:eastAsia="Times New Roman" w:hAnsiTheme="majorBidi" w:cstheme="majorBidi"/>
          <w:sz w:val="24"/>
          <w:szCs w:val="24"/>
          <w:lang w:val="en-GB"/>
        </w:rPr>
        <w:t>(Lozano, 2006</w:t>
      </w:r>
      <w:r w:rsidR="00D16435">
        <w:rPr>
          <w:rFonts w:asciiTheme="majorBidi" w:eastAsia="Times New Roman" w:hAnsiTheme="majorBidi" w:cstheme="majorBidi"/>
          <w:sz w:val="24"/>
          <w:szCs w:val="24"/>
          <w:lang w:val="en-GB"/>
        </w:rPr>
        <w:t xml:space="preserve">; </w:t>
      </w:r>
      <w:r w:rsidR="00D16435" w:rsidRPr="00D16435">
        <w:rPr>
          <w:rFonts w:asciiTheme="majorBidi" w:eastAsia="Times New Roman" w:hAnsiTheme="majorBidi" w:cstheme="majorBidi"/>
          <w:sz w:val="24"/>
          <w:szCs w:val="24"/>
          <w:lang w:val="en-GB"/>
        </w:rPr>
        <w:t>Leal Filho et al., 2019)</w:t>
      </w:r>
      <w:r w:rsidR="00085816" w:rsidRPr="00D16435">
        <w:rPr>
          <w:rFonts w:asciiTheme="majorBidi" w:eastAsia="Times New Roman" w:hAnsiTheme="majorBidi" w:cstheme="majorBidi"/>
          <w:sz w:val="24"/>
          <w:szCs w:val="24"/>
          <w:lang w:val="en-GB"/>
        </w:rPr>
        <w:t xml:space="preserve">. Their perceptions and expectations therefore provide essential insights into the effectiveness, legitimacy, and strategic alignment of sustainability initiatives. </w:t>
      </w:r>
      <w:r w:rsidRPr="00085816">
        <w:rPr>
          <w:rFonts w:asciiTheme="majorBidi" w:eastAsia="Times New Roman" w:hAnsiTheme="majorBidi" w:cstheme="majorBidi"/>
          <w:sz w:val="24"/>
          <w:szCs w:val="24"/>
          <w:lang w:val="en-GB"/>
        </w:rPr>
        <w:t>The objective was not statistical representativeness but rather informational richness, enabling an in-depth exploration of diverse yet relevant perspectives on university sustainability.</w:t>
      </w:r>
    </w:p>
    <w:p w14:paraId="23EF982C" w14:textId="6640F177" w:rsidR="00810737" w:rsidRPr="0048733A" w:rsidRDefault="000B17E4" w:rsidP="00400443">
      <w:pPr>
        <w:jc w:val="both"/>
        <w:rPr>
          <w:rFonts w:ascii="Times New Roman" w:eastAsia="Times New Roman" w:hAnsi="Times New Roman" w:cs="Times New Roman"/>
          <w:b/>
          <w:bCs/>
          <w:sz w:val="24"/>
          <w:szCs w:val="24"/>
          <w:lang w:val="en-GB"/>
        </w:rPr>
      </w:pPr>
      <w:r w:rsidRPr="0048733A">
        <w:rPr>
          <w:rFonts w:ascii="Times New Roman" w:eastAsia="Times New Roman" w:hAnsi="Times New Roman" w:cs="Times New Roman"/>
          <w:sz w:val="24"/>
          <w:szCs w:val="24"/>
          <w:lang w:val="en-GB"/>
        </w:rPr>
        <w:t xml:space="preserve">Interviews allowed participants to express their own understanding of sustainability and to articulate perceived gaps between institutional commitments and actual </w:t>
      </w:r>
      <w:r w:rsidR="00DA0F40" w:rsidRPr="0048733A">
        <w:rPr>
          <w:rFonts w:ascii="Times New Roman" w:eastAsia="Times New Roman" w:hAnsi="Times New Roman" w:cs="Times New Roman"/>
          <w:sz w:val="24"/>
          <w:szCs w:val="24"/>
          <w:lang w:val="en-GB"/>
        </w:rPr>
        <w:t>practices. The</w:t>
      </w:r>
      <w:r w:rsidRPr="0048733A">
        <w:rPr>
          <w:rFonts w:ascii="Times New Roman" w:eastAsia="Times New Roman" w:hAnsi="Times New Roman" w:cs="Times New Roman"/>
          <w:sz w:val="24"/>
          <w:szCs w:val="24"/>
          <w:lang w:val="en-GB"/>
        </w:rPr>
        <w:t xml:space="preserve"> interview guide was structured around three main themes: Perceived essential dimensions of university sustainability, interpretation and prioritization of sustainability objectives, expectations and perceived institutional performance</w:t>
      </w:r>
    </w:p>
    <w:p w14:paraId="39AD9B4A" w14:textId="77777777" w:rsidR="00810737" w:rsidRPr="0048733A" w:rsidRDefault="000B17E4" w:rsidP="00400443">
      <w:pPr>
        <w:jc w:val="both"/>
        <w:rPr>
          <w:rFonts w:ascii="Times New Roman" w:eastAsia="Times New Roman" w:hAnsi="Times New Roman" w:cs="Times New Roman"/>
          <w:b/>
          <w:bCs/>
          <w:sz w:val="24"/>
          <w:szCs w:val="24"/>
          <w:lang w:val="en-GB"/>
        </w:rPr>
      </w:pPr>
      <w:r w:rsidRPr="0048733A">
        <w:rPr>
          <w:rFonts w:ascii="Times New Roman" w:eastAsia="Times New Roman" w:hAnsi="Times New Roman" w:cs="Times New Roman"/>
          <w:b/>
          <w:bCs/>
          <w:sz w:val="24"/>
          <w:szCs w:val="24"/>
          <w:lang w:val="en-GB"/>
        </w:rPr>
        <w:t>3.3 Data Analysis</w:t>
      </w:r>
    </w:p>
    <w:p w14:paraId="542B2E6A" w14:textId="4F69D21C" w:rsidR="00810737" w:rsidRPr="0048733A" w:rsidRDefault="000B17E4" w:rsidP="00400443">
      <w:pPr>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 xml:space="preserve">The data were </w:t>
      </w:r>
      <w:r w:rsidR="00400443" w:rsidRPr="0048733A">
        <w:rPr>
          <w:rFonts w:ascii="Times New Roman" w:eastAsia="Times New Roman" w:hAnsi="Times New Roman" w:cs="Times New Roman"/>
          <w:sz w:val="24"/>
          <w:szCs w:val="24"/>
          <w:lang w:val="en-GB"/>
        </w:rPr>
        <w:t>analysed</w:t>
      </w:r>
      <w:r w:rsidRPr="0048733A">
        <w:rPr>
          <w:rFonts w:ascii="Times New Roman" w:eastAsia="Times New Roman" w:hAnsi="Times New Roman" w:cs="Times New Roman"/>
          <w:sz w:val="24"/>
          <w:szCs w:val="24"/>
          <w:lang w:val="en-GB"/>
        </w:rPr>
        <w:t xml:space="preserve"> using thematic analysis. The analysis followed a systematic multi-step process:</w:t>
      </w:r>
    </w:p>
    <w:p w14:paraId="17A06BC2" w14:textId="77777777" w:rsidR="00810737" w:rsidRPr="0048733A" w:rsidRDefault="000B17E4" w:rsidP="00400443">
      <w:pPr>
        <w:jc w:val="both"/>
        <w:rPr>
          <w:rFonts w:ascii="Times New Roman" w:eastAsia="Times New Roman" w:hAnsi="Times New Roman" w:cs="Times New Roman"/>
          <w:i/>
          <w:iCs/>
          <w:sz w:val="24"/>
          <w:szCs w:val="24"/>
          <w:lang w:val="en-GB"/>
        </w:rPr>
      </w:pPr>
      <w:r w:rsidRPr="0048733A">
        <w:rPr>
          <w:rFonts w:ascii="Times New Roman" w:eastAsia="Times New Roman" w:hAnsi="Times New Roman" w:cs="Times New Roman"/>
          <w:i/>
          <w:iCs/>
          <w:sz w:val="24"/>
          <w:szCs w:val="24"/>
          <w:lang w:val="en-GB"/>
        </w:rPr>
        <w:t>Transcription of interviews</w:t>
      </w:r>
    </w:p>
    <w:p w14:paraId="00529D64" w14:textId="77777777" w:rsidR="00810737" w:rsidRPr="0048733A" w:rsidRDefault="000B17E4" w:rsidP="00400443">
      <w:pPr>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Open coding to identify first-order concepts emerging from stakeholder discourse</w:t>
      </w:r>
    </w:p>
    <w:p w14:paraId="7C6CA35F" w14:textId="77777777" w:rsidR="00810737" w:rsidRPr="0048733A" w:rsidRDefault="000B17E4" w:rsidP="00400443">
      <w:pPr>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Axial coding to group concepts into broader sustainability dimensions and SDG’s</w:t>
      </w:r>
    </w:p>
    <w:p w14:paraId="6EC46D7E" w14:textId="77777777" w:rsidR="00810737" w:rsidRPr="0048733A" w:rsidRDefault="000B17E4" w:rsidP="00400443">
      <w:pPr>
        <w:jc w:val="both"/>
        <w:rPr>
          <w:rFonts w:ascii="Times New Roman" w:eastAsia="Times New Roman" w:hAnsi="Times New Roman" w:cs="Times New Roman"/>
          <w:b/>
          <w:bCs/>
          <w:sz w:val="24"/>
          <w:szCs w:val="24"/>
          <w:lang w:val="en-GB"/>
        </w:rPr>
      </w:pPr>
      <w:r w:rsidRPr="0048733A">
        <w:rPr>
          <w:rFonts w:ascii="Times New Roman" w:eastAsia="Times New Roman" w:hAnsi="Times New Roman" w:cs="Times New Roman"/>
          <w:sz w:val="24"/>
          <w:szCs w:val="24"/>
          <w:lang w:val="en-GB"/>
        </w:rPr>
        <w:t>Identification of recurring patterns related to expectations, prioritization and perceived performance gaps.</w:t>
      </w:r>
    </w:p>
    <w:p w14:paraId="00A97E47" w14:textId="77777777" w:rsidR="00810737" w:rsidRPr="0048733A" w:rsidRDefault="000B17E4" w:rsidP="00400443">
      <w:pPr>
        <w:jc w:val="both"/>
        <w:rPr>
          <w:rFonts w:ascii="Times New Roman" w:eastAsia="Times New Roman" w:hAnsi="Times New Roman" w:cs="Times New Roman"/>
          <w:b/>
          <w:bCs/>
          <w:sz w:val="24"/>
          <w:szCs w:val="24"/>
          <w:lang w:val="en-GB"/>
        </w:rPr>
      </w:pPr>
      <w:r w:rsidRPr="0048733A">
        <w:rPr>
          <w:rFonts w:ascii="Times New Roman" w:eastAsia="Times New Roman" w:hAnsi="Times New Roman" w:cs="Times New Roman"/>
          <w:sz w:val="24"/>
          <w:szCs w:val="24"/>
          <w:lang w:val="en-GB"/>
        </w:rPr>
        <w:lastRenderedPageBreak/>
        <w:t>This iterative process enabled the identification of stakeholder-defined sustainability dimensions and the evaluation criteria implicitly used by participants.</w:t>
      </w:r>
    </w:p>
    <w:p w14:paraId="015E14E2" w14:textId="77777777" w:rsidR="00810737" w:rsidRPr="0048733A" w:rsidRDefault="000B17E4" w:rsidP="00400443">
      <w:pPr>
        <w:jc w:val="both"/>
        <w:rPr>
          <w:rFonts w:ascii="Times New Roman" w:eastAsia="Times New Roman" w:hAnsi="Times New Roman" w:cs="Times New Roman"/>
          <w:b/>
          <w:bCs/>
          <w:sz w:val="24"/>
          <w:szCs w:val="24"/>
          <w:lang w:val="en-GB"/>
        </w:rPr>
      </w:pPr>
      <w:r w:rsidRPr="0048733A">
        <w:rPr>
          <w:rFonts w:ascii="Times New Roman" w:eastAsia="Times New Roman" w:hAnsi="Times New Roman" w:cs="Times New Roman"/>
          <w:sz w:val="24"/>
          <w:szCs w:val="24"/>
          <w:lang w:val="en-GB"/>
        </w:rPr>
        <w:t>The analysis aimed not only to categorize sustainability dimensions (environmental, social, economic), but also to capture how stakeholders hierarchize these dimensions and attach value to them.</w:t>
      </w:r>
    </w:p>
    <w:p w14:paraId="1153C03A" w14:textId="3F7362A2" w:rsidR="00810737" w:rsidRPr="0048733A" w:rsidRDefault="000B17E4" w:rsidP="00480102">
      <w:pPr>
        <w:jc w:val="both"/>
        <w:rPr>
          <w:rFonts w:ascii="Times New Roman" w:eastAsia="Times New Roman" w:hAnsi="Times New Roman" w:cs="Times New Roman"/>
          <w:b/>
          <w:bCs/>
          <w:sz w:val="24"/>
          <w:szCs w:val="24"/>
          <w:lang w:val="en-GB"/>
        </w:rPr>
      </w:pPr>
      <w:r w:rsidRPr="0048733A">
        <w:rPr>
          <w:rFonts w:ascii="Times New Roman" w:eastAsia="Times New Roman" w:hAnsi="Times New Roman" w:cs="Times New Roman"/>
          <w:b/>
          <w:bCs/>
          <w:sz w:val="24"/>
          <w:szCs w:val="24"/>
          <w:lang w:val="en-GB"/>
        </w:rPr>
        <w:t xml:space="preserve">3.4 Development of the Composite Score </w:t>
      </w:r>
    </w:p>
    <w:p w14:paraId="106046B2" w14:textId="3FE1D4A4" w:rsidR="00FD272C" w:rsidRPr="00080FA9" w:rsidRDefault="00480102" w:rsidP="00FD272C">
      <w:pPr>
        <w:shd w:val="clear" w:color="auto" w:fill="FFFFFF" w:themeFill="background1"/>
        <w:jc w:val="lowKashida"/>
        <w:rPr>
          <w:rFonts w:asciiTheme="majorBidi" w:hAnsiTheme="majorBidi" w:cstheme="majorBidi"/>
          <w:sz w:val="24"/>
          <w:szCs w:val="24"/>
          <w:lang w:val="en-GB"/>
        </w:rPr>
      </w:pPr>
      <w:r w:rsidRPr="00080FA9">
        <w:rPr>
          <w:rFonts w:asciiTheme="majorBidi" w:hAnsiTheme="majorBidi" w:cstheme="majorBidi"/>
          <w:sz w:val="24"/>
          <w:szCs w:val="24"/>
          <w:lang w:val="en-GB"/>
        </w:rPr>
        <w:t xml:space="preserve">The study follows an exploratory-to-structural approach, consistent with mixed conceptual </w:t>
      </w:r>
      <w:r w:rsidR="0048733A" w:rsidRPr="00080FA9">
        <w:rPr>
          <w:rFonts w:asciiTheme="majorBidi" w:hAnsiTheme="majorBidi" w:cstheme="majorBidi"/>
          <w:sz w:val="24"/>
          <w:szCs w:val="24"/>
          <w:lang w:val="en-GB"/>
        </w:rPr>
        <w:t>modelling</w:t>
      </w:r>
      <w:r w:rsidRPr="00080FA9">
        <w:rPr>
          <w:rFonts w:asciiTheme="majorBidi" w:hAnsiTheme="majorBidi" w:cstheme="majorBidi"/>
          <w:sz w:val="24"/>
          <w:szCs w:val="24"/>
          <w:lang w:val="en-GB"/>
        </w:rPr>
        <w:t xml:space="preserve"> strategies in social sciences </w:t>
      </w:r>
      <w:r w:rsidR="00080FA9" w:rsidRPr="00080FA9">
        <w:rPr>
          <w:rFonts w:asciiTheme="majorBidi" w:hAnsiTheme="majorBidi" w:cstheme="majorBidi"/>
          <w:sz w:val="24"/>
          <w:szCs w:val="24"/>
          <w:lang w:val="en-GB"/>
        </w:rPr>
        <w:t>(Yin, 1018)</w:t>
      </w:r>
      <w:r w:rsidRPr="00080FA9">
        <w:rPr>
          <w:rFonts w:asciiTheme="majorBidi" w:hAnsiTheme="majorBidi" w:cstheme="majorBidi"/>
          <w:sz w:val="24"/>
          <w:szCs w:val="24"/>
          <w:lang w:val="en-GB"/>
        </w:rPr>
        <w:t xml:space="preserve">. Qualitative insights are first collected and </w:t>
      </w:r>
      <w:r w:rsidR="0048733A" w:rsidRPr="00080FA9">
        <w:rPr>
          <w:rFonts w:asciiTheme="majorBidi" w:hAnsiTheme="majorBidi" w:cstheme="majorBidi"/>
          <w:sz w:val="24"/>
          <w:szCs w:val="24"/>
          <w:lang w:val="en-GB"/>
        </w:rPr>
        <w:t>analysed</w:t>
      </w:r>
      <w:r w:rsidRPr="00080FA9">
        <w:rPr>
          <w:rFonts w:asciiTheme="majorBidi" w:hAnsiTheme="majorBidi" w:cstheme="majorBidi"/>
          <w:sz w:val="24"/>
          <w:szCs w:val="24"/>
          <w:lang w:val="en-GB"/>
        </w:rPr>
        <w:t xml:space="preserve"> to uncover key sustainability dimensions, and subsequently formalized into a latent variable framework.</w:t>
      </w:r>
      <w:r w:rsidR="00FD272C" w:rsidRPr="00080FA9">
        <w:rPr>
          <w:rFonts w:asciiTheme="majorBidi" w:hAnsiTheme="majorBidi" w:cstheme="majorBidi"/>
          <w:sz w:val="24"/>
          <w:szCs w:val="24"/>
          <w:lang w:val="en-GB"/>
        </w:rPr>
        <w:t xml:space="preserve"> The qualitative evidence revealed a systematic divergence between stakeholder perceptions of existing sustainability initiatives and their expectations regarding institutional sustainability performance.</w:t>
      </w:r>
      <w:r w:rsidR="00080FA9" w:rsidRPr="00080FA9">
        <w:rPr>
          <w:rFonts w:asciiTheme="majorBidi" w:hAnsiTheme="majorBidi" w:cstheme="majorBidi"/>
          <w:sz w:val="24"/>
          <w:szCs w:val="24"/>
          <w:lang w:val="en-GB"/>
        </w:rPr>
        <w:t xml:space="preserve"> </w:t>
      </w:r>
      <w:r w:rsidR="00FD272C" w:rsidRPr="00080FA9">
        <w:rPr>
          <w:rFonts w:asciiTheme="majorBidi" w:hAnsiTheme="majorBidi" w:cstheme="majorBidi"/>
          <w:sz w:val="24"/>
          <w:szCs w:val="24"/>
          <w:lang w:val="en-GB"/>
        </w:rPr>
        <w:t xml:space="preserve">This divergence reflects a structural misalignment between institutional sustainability efforts and stakeholder priorities an aspect that traditional sustainability indicators often fail to capture adequately </w:t>
      </w:r>
      <w:r w:rsidR="00080FA9" w:rsidRPr="00080FA9">
        <w:rPr>
          <w:rFonts w:asciiTheme="majorBidi" w:hAnsiTheme="majorBidi" w:cstheme="majorBidi"/>
          <w:sz w:val="24"/>
          <w:szCs w:val="24"/>
          <w:lang w:val="en-GB"/>
        </w:rPr>
        <w:t>(Findler et al. 2019; Yarime and Tanaka, 2012)</w:t>
      </w:r>
      <w:r w:rsidR="00FD272C" w:rsidRPr="00080FA9">
        <w:rPr>
          <w:rFonts w:asciiTheme="majorBidi" w:hAnsiTheme="majorBidi" w:cstheme="majorBidi"/>
          <w:sz w:val="24"/>
          <w:szCs w:val="24"/>
          <w:lang w:val="en-GB"/>
        </w:rPr>
        <w:t>.</w:t>
      </w:r>
    </w:p>
    <w:p w14:paraId="7CFE690D" w14:textId="77777777" w:rsidR="00FD272C" w:rsidRPr="00080FA9" w:rsidRDefault="00FD272C" w:rsidP="00FD272C">
      <w:pPr>
        <w:pStyle w:val="NormalWeb"/>
        <w:shd w:val="clear" w:color="auto" w:fill="FFFFFF" w:themeFill="background1"/>
        <w:jc w:val="both"/>
        <w:rPr>
          <w:rFonts w:asciiTheme="majorBidi" w:hAnsiTheme="majorBidi" w:cstheme="majorBidi"/>
          <w:lang w:val="en-GB"/>
        </w:rPr>
      </w:pPr>
      <w:r w:rsidRPr="00080FA9">
        <w:rPr>
          <w:rFonts w:asciiTheme="majorBidi" w:hAnsiTheme="majorBidi" w:cstheme="majorBidi"/>
          <w:lang w:val="en-GB"/>
        </w:rPr>
        <w:t>To address this limitation, the present study introduces the Expectation–Perception Gap as a central conceptual construct for sustainability assessment. The conceptual foundation of this gap-based logic draws on the service quality literature, particularly the SERVQUAL model [8], which conceptualizes performance evaluation as the difference between expectations and perceptions. The gap represents the difference between stakeholder expectations and their perceptions of implemented sustainability initiatives, thereby capturing the degree of alignment between institutional performance and stakeholder priorities. A smaller gap indicates stronger alignment and greater perceived sustainability effectiveness, whereas a larger gap signals structural incoherence.</w:t>
      </w:r>
    </w:p>
    <w:p w14:paraId="77C3DA57" w14:textId="335C3476" w:rsidR="00FD272C" w:rsidRPr="00080FA9" w:rsidRDefault="00FD272C" w:rsidP="00FD272C">
      <w:pPr>
        <w:pStyle w:val="NormalWeb"/>
        <w:jc w:val="both"/>
        <w:rPr>
          <w:rFonts w:asciiTheme="majorBidi" w:hAnsiTheme="majorBidi" w:cstheme="majorBidi"/>
          <w:lang w:val="en-GB"/>
        </w:rPr>
      </w:pPr>
      <w:r w:rsidRPr="00080FA9">
        <w:rPr>
          <w:rFonts w:asciiTheme="majorBidi" w:hAnsiTheme="majorBidi" w:cstheme="majorBidi"/>
          <w:lang w:val="en-GB"/>
        </w:rPr>
        <w:t xml:space="preserve">Within this framework, sustainability is modelled as a hierarchical latent construct structured around three core dimensions: economic, social, and environmental sustainability. The modelling approach is grounded in structural equation </w:t>
      </w:r>
      <w:r w:rsidR="00080FA9" w:rsidRPr="00080FA9">
        <w:rPr>
          <w:rFonts w:asciiTheme="majorBidi" w:hAnsiTheme="majorBidi" w:cstheme="majorBidi"/>
          <w:lang w:val="en-GB"/>
        </w:rPr>
        <w:t>modelling</w:t>
      </w:r>
      <w:r w:rsidRPr="00080FA9">
        <w:rPr>
          <w:rFonts w:asciiTheme="majorBidi" w:hAnsiTheme="majorBidi" w:cstheme="majorBidi"/>
          <w:lang w:val="en-GB"/>
        </w:rPr>
        <w:t xml:space="preserve"> theory, which conceptualizes sustainability as a higher-order latent variable inferred from observed indicators </w:t>
      </w:r>
      <w:r w:rsidR="00080FA9" w:rsidRPr="00080FA9">
        <w:rPr>
          <w:rFonts w:asciiTheme="majorBidi" w:hAnsiTheme="majorBidi" w:cstheme="majorBidi"/>
          <w:lang w:val="en-GB"/>
        </w:rPr>
        <w:t>(Bollens, 1989; Hair, 2019)</w:t>
      </w:r>
      <w:r w:rsidRPr="00080FA9">
        <w:rPr>
          <w:rFonts w:asciiTheme="majorBidi" w:hAnsiTheme="majorBidi" w:cstheme="majorBidi"/>
          <w:lang w:val="en-GB"/>
        </w:rPr>
        <w:t>. Each dimension is jointly shaped by stakeholder perception and stakeholder expectation, and their interaction determines the level of institutional alignment.</w:t>
      </w:r>
    </w:p>
    <w:p w14:paraId="14AFC867" w14:textId="1A2DA59D" w:rsidR="00FD272C" w:rsidRPr="00080FA9" w:rsidRDefault="00FD272C" w:rsidP="00FD272C">
      <w:pPr>
        <w:pStyle w:val="NormalWeb"/>
        <w:jc w:val="both"/>
        <w:rPr>
          <w:rFonts w:asciiTheme="majorBidi" w:hAnsiTheme="majorBidi" w:cstheme="majorBidi"/>
          <w:lang w:val="en-GB"/>
        </w:rPr>
      </w:pPr>
      <w:r w:rsidRPr="00080FA9">
        <w:rPr>
          <w:rFonts w:asciiTheme="majorBidi" w:hAnsiTheme="majorBidi" w:cstheme="majorBidi"/>
          <w:lang w:val="en-GB"/>
        </w:rPr>
        <w:t>Building upon this gap</w:t>
      </w:r>
      <w:r w:rsidR="00080FA9">
        <w:rPr>
          <w:rFonts w:asciiTheme="majorBidi" w:hAnsiTheme="majorBidi" w:cstheme="majorBidi"/>
          <w:lang w:val="en-GB"/>
        </w:rPr>
        <w:t xml:space="preserve"> </w:t>
      </w:r>
      <w:r w:rsidRPr="00080FA9">
        <w:rPr>
          <w:rFonts w:asciiTheme="majorBidi" w:hAnsiTheme="majorBidi" w:cstheme="majorBidi"/>
          <w:lang w:val="en-GB"/>
        </w:rPr>
        <w:t>cent</w:t>
      </w:r>
      <w:r w:rsidR="00080FA9">
        <w:rPr>
          <w:rFonts w:asciiTheme="majorBidi" w:hAnsiTheme="majorBidi" w:cstheme="majorBidi"/>
          <w:lang w:val="en-GB"/>
        </w:rPr>
        <w:t>r</w:t>
      </w:r>
      <w:r w:rsidRPr="00080FA9">
        <w:rPr>
          <w:rFonts w:asciiTheme="majorBidi" w:hAnsiTheme="majorBidi" w:cstheme="majorBidi"/>
          <w:lang w:val="en-GB"/>
        </w:rPr>
        <w:t>ed perspective, the University Sustainability Index (USI) is introduced as an integrative higher-order latent construct representing overall institutional sustainability. Rather than relying exclusively on operational indicators, the USI reflects the degree of alignment between institutional sustainability initiatives and stakeholder expectations. This formulation advances stakeholder</w:t>
      </w:r>
      <w:r w:rsidR="00080FA9">
        <w:rPr>
          <w:rFonts w:asciiTheme="majorBidi" w:hAnsiTheme="majorBidi" w:cstheme="majorBidi"/>
          <w:lang w:val="en-GB"/>
        </w:rPr>
        <w:t xml:space="preserve"> </w:t>
      </w:r>
      <w:r w:rsidRPr="00080FA9">
        <w:rPr>
          <w:rFonts w:asciiTheme="majorBidi" w:hAnsiTheme="majorBidi" w:cstheme="majorBidi"/>
          <w:lang w:val="en-GB"/>
        </w:rPr>
        <w:t>cent</w:t>
      </w:r>
      <w:r w:rsidR="00080FA9">
        <w:rPr>
          <w:rFonts w:asciiTheme="majorBidi" w:hAnsiTheme="majorBidi" w:cstheme="majorBidi"/>
          <w:lang w:val="en-GB"/>
        </w:rPr>
        <w:t>r</w:t>
      </w:r>
      <w:r w:rsidRPr="00080FA9">
        <w:rPr>
          <w:rFonts w:asciiTheme="majorBidi" w:hAnsiTheme="majorBidi" w:cstheme="majorBidi"/>
          <w:lang w:val="en-GB"/>
        </w:rPr>
        <w:t>ed sustainability assessment in higher education and responds to recent calls for more integrative and perception-based sustainability measurement frameworks</w:t>
      </w:r>
      <w:r w:rsidR="00080FA9" w:rsidRPr="00080FA9">
        <w:rPr>
          <w:rFonts w:asciiTheme="majorBidi" w:hAnsiTheme="majorBidi" w:cstheme="majorBidi"/>
          <w:lang w:val="en-GB"/>
        </w:rPr>
        <w:t xml:space="preserve"> (Findler, 2019)</w:t>
      </w:r>
      <w:r w:rsidRPr="00080FA9">
        <w:rPr>
          <w:rFonts w:asciiTheme="majorBidi" w:hAnsiTheme="majorBidi" w:cstheme="majorBidi"/>
          <w:lang w:val="en-GB"/>
        </w:rPr>
        <w:t>.</w:t>
      </w:r>
    </w:p>
    <w:p w14:paraId="1478C3AA" w14:textId="77777777" w:rsidR="00810737" w:rsidRPr="0048733A" w:rsidRDefault="000B17E4">
      <w:pPr>
        <w:rPr>
          <w:rFonts w:ascii="Times New Roman" w:eastAsia="Times New Roman" w:hAnsi="Times New Roman" w:cs="Times New Roman"/>
          <w:b/>
          <w:bCs/>
          <w:color w:val="00B050"/>
          <w:sz w:val="28"/>
          <w:szCs w:val="28"/>
          <w:lang w:val="en-GB"/>
        </w:rPr>
      </w:pPr>
      <w:r w:rsidRPr="0048733A">
        <w:rPr>
          <w:rFonts w:ascii="Times New Roman" w:eastAsia="Times New Roman" w:hAnsi="Times New Roman" w:cs="Times New Roman"/>
          <w:b/>
          <w:bCs/>
          <w:sz w:val="28"/>
          <w:szCs w:val="28"/>
          <w:lang w:val="en-GB"/>
        </w:rPr>
        <w:t xml:space="preserve">Results </w:t>
      </w:r>
    </w:p>
    <w:p w14:paraId="429896A5" w14:textId="77777777" w:rsidR="00480102" w:rsidRPr="0048733A" w:rsidRDefault="00480102" w:rsidP="00480102">
      <w:pPr>
        <w:pStyle w:val="NormalWeb"/>
        <w:spacing w:before="0" w:beforeAutospacing="0" w:after="160" w:afterAutospacing="0"/>
        <w:jc w:val="both"/>
        <w:rPr>
          <w:lang w:val="en-GB"/>
        </w:rPr>
      </w:pPr>
      <w:r w:rsidRPr="0048733A">
        <w:rPr>
          <w:color w:val="000000"/>
          <w:lang w:val="en-GB"/>
        </w:rPr>
        <w:t>This section presents the conceptualization of the University Expectation–Perception Gap, based on qualitative analyses with the university’s internal stakeholders. The findings reveal areas of partial alignment as well as notable divergences between stakeholder perceptions and institutional initiatives.</w:t>
      </w:r>
    </w:p>
    <w:p w14:paraId="53D91036" w14:textId="6285D065" w:rsidR="00480102" w:rsidRPr="0048733A" w:rsidRDefault="00480102" w:rsidP="00480102">
      <w:pPr>
        <w:pStyle w:val="NormalWeb"/>
        <w:spacing w:before="0" w:beforeAutospacing="0" w:after="160" w:afterAutospacing="0"/>
        <w:jc w:val="both"/>
        <w:rPr>
          <w:lang w:val="en-GB"/>
        </w:rPr>
      </w:pPr>
      <w:r w:rsidRPr="0048733A">
        <w:rPr>
          <w:b/>
          <w:bCs/>
          <w:color w:val="000000"/>
          <w:lang w:val="en-GB"/>
        </w:rPr>
        <w:lastRenderedPageBreak/>
        <w:t> Qualitative conceptualization of the University Expectation–Perception Gap </w:t>
      </w:r>
    </w:p>
    <w:p w14:paraId="494FC5CD" w14:textId="77777777" w:rsidR="00480102" w:rsidRPr="0048733A" w:rsidRDefault="00480102" w:rsidP="00480102">
      <w:pPr>
        <w:pStyle w:val="NormalWeb"/>
        <w:spacing w:before="0" w:beforeAutospacing="0" w:after="160" w:afterAutospacing="0"/>
        <w:jc w:val="both"/>
        <w:rPr>
          <w:lang w:val="en-GB"/>
        </w:rPr>
      </w:pPr>
      <w:r w:rsidRPr="0048733A">
        <w:rPr>
          <w:color w:val="000000"/>
          <w:lang w:val="en-GB"/>
        </w:rPr>
        <w:t>The dimension-based analysis identifies three main types of gaps (economic, social, and environmental) reflecting varying levels of misalignment between the university’s perceived performance and stakeholders’ expectations.</w:t>
      </w:r>
    </w:p>
    <w:p w14:paraId="0FE54295" w14:textId="77777777" w:rsidR="00810737" w:rsidRPr="0048733A" w:rsidRDefault="000B17E4">
      <w:pPr>
        <w:numPr>
          <w:ilvl w:val="0"/>
          <w:numId w:val="1"/>
        </w:numPr>
        <w:jc w:val="both"/>
        <w:rPr>
          <w:rFonts w:ascii="Times New Roman" w:eastAsia="Times New Roman" w:hAnsi="Times New Roman" w:cs="Times New Roman"/>
          <w:b/>
          <w:bCs/>
          <w:sz w:val="24"/>
          <w:szCs w:val="24"/>
          <w:lang w:val="en-GB"/>
        </w:rPr>
      </w:pPr>
      <w:r w:rsidRPr="0048733A">
        <w:rPr>
          <w:rFonts w:ascii="Times New Roman" w:eastAsia="Times New Roman" w:hAnsi="Times New Roman" w:cs="Times New Roman"/>
          <w:b/>
          <w:bCs/>
          <w:sz w:val="24"/>
          <w:szCs w:val="24"/>
          <w:lang w:val="en-GB"/>
        </w:rPr>
        <w:t>Economic Expectation–Perception Gap</w:t>
      </w:r>
    </w:p>
    <w:p w14:paraId="693803DA" w14:textId="77777777" w:rsidR="00810737" w:rsidRPr="0048733A" w:rsidRDefault="000B17E4">
      <w:pPr>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 xml:space="preserve">The analysis of perceptions in the economic dimension reveals a predominantly operational understanding of sustainability, structured around three main themes: 1) digitalization, 2) energy optimization, and 3) human capital development. </w:t>
      </w:r>
    </w:p>
    <w:p w14:paraId="24F8A51A" w14:textId="18CE3B8E" w:rsidR="00810737" w:rsidRPr="0048733A" w:rsidRDefault="000B17E4">
      <w:pPr>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 xml:space="preserve">Digitalization emerges as the dominant reference point, primarily associated with paper reduction, the dematerialization of administrative and pedagogical procedures, and the implementation of technological tools such as smart classrooms. This reflects a resource-efficiency logic </w:t>
      </w:r>
      <w:r w:rsidR="00D16435" w:rsidRPr="0048733A">
        <w:rPr>
          <w:rFonts w:ascii="Times New Roman" w:eastAsia="Times New Roman" w:hAnsi="Times New Roman" w:cs="Times New Roman"/>
          <w:sz w:val="24"/>
          <w:szCs w:val="24"/>
          <w:lang w:val="en-GB"/>
        </w:rPr>
        <w:t>centred</w:t>
      </w:r>
      <w:r w:rsidRPr="0048733A">
        <w:rPr>
          <w:rFonts w:ascii="Times New Roman" w:eastAsia="Times New Roman" w:hAnsi="Times New Roman" w:cs="Times New Roman"/>
          <w:sz w:val="24"/>
          <w:szCs w:val="24"/>
          <w:lang w:val="en-GB"/>
        </w:rPr>
        <w:t xml:space="preserve"> on tangible and immediately observable material savings, particularly emphasized by students. In contrast, development of human capital constitutes a more strategic dimension, less spontaneously identified and mainly highlighted by faculty members.</w:t>
      </w:r>
    </w:p>
    <w:p w14:paraId="71E2A74A" w14:textId="77777777" w:rsidR="00810737" w:rsidRPr="0048733A" w:rsidRDefault="000B17E4">
      <w:pPr>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 xml:space="preserve">Stakeholders’ expectations emphasize resource optimization and human capital development, while also introducing two previously unrecognized themes: 4-Responsible Financial Governance and 5- Responsible and Sustainable Investment. </w:t>
      </w:r>
    </w:p>
    <w:p w14:paraId="1F38C1B6" w14:textId="6B72BB07" w:rsidR="00810737" w:rsidRPr="0048733A" w:rsidRDefault="000B17E4">
      <w:pPr>
        <w:spacing w:before="280" w:after="280" w:line="240" w:lineRule="auto"/>
        <w:jc w:val="both"/>
        <w:rPr>
          <w:rFonts w:ascii="Times New Roman" w:eastAsia="Times New Roman" w:hAnsi="Times New Roman" w:cs="Times New Roman"/>
          <w:i/>
          <w:iCs/>
          <w:sz w:val="24"/>
          <w:szCs w:val="24"/>
          <w:highlight w:val="white"/>
          <w:lang w:val="en-GB"/>
        </w:rPr>
      </w:pPr>
      <w:r w:rsidRPr="0048733A">
        <w:rPr>
          <w:rFonts w:ascii="Times New Roman" w:eastAsia="Times New Roman" w:hAnsi="Times New Roman" w:cs="Times New Roman"/>
          <w:i/>
          <w:iCs/>
          <w:sz w:val="24"/>
          <w:szCs w:val="24"/>
          <w:highlight w:val="white"/>
          <w:lang w:val="en-GB"/>
        </w:rPr>
        <w:t xml:space="preserve">Strategic </w:t>
      </w:r>
      <w:r w:rsidR="00D16435" w:rsidRPr="0048733A">
        <w:rPr>
          <w:rFonts w:ascii="Times New Roman" w:eastAsia="Times New Roman" w:hAnsi="Times New Roman" w:cs="Times New Roman"/>
          <w:i/>
          <w:iCs/>
          <w:sz w:val="24"/>
          <w:szCs w:val="24"/>
          <w:highlight w:val="white"/>
          <w:lang w:val="en-GB"/>
        </w:rPr>
        <w:t>Alignment:</w:t>
      </w:r>
      <w:r w:rsidRPr="0048733A">
        <w:rPr>
          <w:rFonts w:ascii="Times New Roman" w:eastAsia="Times New Roman" w:hAnsi="Times New Roman" w:cs="Times New Roman"/>
          <w:i/>
          <w:iCs/>
          <w:sz w:val="24"/>
          <w:szCs w:val="24"/>
          <w:highlight w:val="white"/>
          <w:lang w:val="en-GB"/>
        </w:rPr>
        <w:t xml:space="preserve"> Digitalization </w:t>
      </w:r>
    </w:p>
    <w:p w14:paraId="5F6C3875"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Digitalization emerges as a central theme in perceived economic sustainability, mentioned by the majority of respondents. It mainly includes paper reduction, the digitalization of administrative procedures, document dematerialization, and connected classrooms, with paper reduction being the most visible and most frequently cited measure. Economic sustainability is therefore primarily understood in operational terms, through a logic of direct material resource savings. Students particularly emphasize this dimension, while faculty members and administrative staff adopt a more balanced perspective.</w:t>
      </w:r>
    </w:p>
    <w:p w14:paraId="55BEDC6F"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From a gap perspective, digitalization appears only in perceptions and not in expectations, indicating alignment between perceptions and expectations. Stakeholders acknowledge the existing institutional efforts in this area without expressing additional demands, suggesting that this dimension reflects perceived operational performance rather than a strategic shortfall.</w:t>
      </w:r>
    </w:p>
    <w:p w14:paraId="161B78CD" w14:textId="79D00350" w:rsidR="00810737" w:rsidRPr="0048733A" w:rsidRDefault="000B17E4">
      <w:pPr>
        <w:spacing w:before="280" w:after="280" w:line="240" w:lineRule="auto"/>
        <w:jc w:val="both"/>
        <w:rPr>
          <w:rFonts w:ascii="Times New Roman" w:eastAsia="Times New Roman" w:hAnsi="Times New Roman" w:cs="Times New Roman"/>
          <w:i/>
          <w:iCs/>
          <w:sz w:val="24"/>
          <w:szCs w:val="24"/>
          <w:highlight w:val="white"/>
          <w:lang w:val="en-GB"/>
        </w:rPr>
      </w:pPr>
      <w:r w:rsidRPr="0048733A">
        <w:rPr>
          <w:rFonts w:ascii="Times New Roman" w:eastAsia="Times New Roman" w:hAnsi="Times New Roman" w:cs="Times New Roman"/>
          <w:i/>
          <w:iCs/>
          <w:sz w:val="24"/>
          <w:szCs w:val="24"/>
          <w:highlight w:val="white"/>
          <w:lang w:val="en-GB"/>
        </w:rPr>
        <w:t xml:space="preserve"> Alignment Reinforcement Gap: Energy Optimization</w:t>
      </w:r>
    </w:p>
    <w:p w14:paraId="36F60838"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 xml:space="preserve">Energy optimization is a central sustainability theme within the organization, aiming to reduce consumption while maintaining comfort and service levels. It is divided into two main sub-themes: resource optimization and energy control. Resource optimization, frequently highlighted, includes smart space management, efficient use of equipment and consumables, and waste reduction, reflecting attention to daily practices. Energy control involves regulating lighting, heating, and air conditioning, as well as using sensors and automatic systems to monitor and manage energy consumption. </w:t>
      </w:r>
    </w:p>
    <w:p w14:paraId="17A62B95"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 xml:space="preserve">Analysis of the interviews reveals a significant gap between perceived initiatives and expectations. Current actions are largely visible, whereas expectations are more technical, systematic, and ambitious. These include wider deployment of solar panels, greater use of renewable energy, building insulation, widespread use of LED lighting, smart energy </w:t>
      </w:r>
      <w:r w:rsidRPr="0048733A">
        <w:rPr>
          <w:rFonts w:ascii="Times New Roman" w:eastAsia="Times New Roman" w:hAnsi="Times New Roman" w:cs="Times New Roman"/>
          <w:sz w:val="24"/>
          <w:szCs w:val="24"/>
          <w:highlight w:val="white"/>
          <w:lang w:val="en-GB"/>
        </w:rPr>
        <w:lastRenderedPageBreak/>
        <w:t>management systems, regular energy audits, and measurable performance monitoring regarding energy control.</w:t>
      </w:r>
    </w:p>
    <w:p w14:paraId="5CE2A16F" w14:textId="77777777" w:rsidR="00810737" w:rsidRPr="0048733A" w:rsidRDefault="000B17E4">
      <w:pPr>
        <w:spacing w:before="240" w:after="240" w:line="240" w:lineRule="auto"/>
        <w:ind w:left="720"/>
        <w:jc w:val="both"/>
        <w:rPr>
          <w:rFonts w:ascii="Times New Roman" w:eastAsia="Times New Roman" w:hAnsi="Times New Roman" w:cs="Times New Roman"/>
          <w:sz w:val="20"/>
          <w:szCs w:val="20"/>
          <w:highlight w:val="white"/>
          <w:lang w:val="en-GB"/>
        </w:rPr>
      </w:pPr>
      <w:r w:rsidRPr="0048733A">
        <w:rPr>
          <w:rFonts w:ascii="Times New Roman" w:eastAsia="Times New Roman" w:hAnsi="Times New Roman" w:cs="Times New Roman"/>
          <w:sz w:val="20"/>
          <w:szCs w:val="20"/>
          <w:highlight w:val="white"/>
          <w:lang w:val="en-GB"/>
        </w:rPr>
        <w:t>I would like the school to make greater investments in energy efficiency solutions, such as the installation of solar panels, LED lighting systems, and other technologies that reduce energy consumption while maintaining comfort and performance of the facilities (Respondent 38, F</w:t>
      </w:r>
      <w:r w:rsidRPr="0048733A">
        <w:rPr>
          <w:rFonts w:ascii="Times New Roman" w:eastAsia="Times New Roman" w:hAnsi="Times New Roman" w:cs="Times New Roman"/>
          <w:sz w:val="20"/>
          <w:szCs w:val="20"/>
          <w:lang w:val="en-GB"/>
        </w:rPr>
        <w:t>aculty members</w:t>
      </w:r>
      <w:r w:rsidRPr="0048733A">
        <w:rPr>
          <w:rFonts w:ascii="Times New Roman" w:eastAsia="Times New Roman" w:hAnsi="Times New Roman" w:cs="Times New Roman"/>
          <w:sz w:val="20"/>
          <w:szCs w:val="20"/>
          <w:highlight w:val="white"/>
          <w:lang w:val="en-GB"/>
        </w:rPr>
        <w:t>)</w:t>
      </w:r>
    </w:p>
    <w:p w14:paraId="7D5802E7" w14:textId="37C7387B" w:rsidR="00810737" w:rsidRPr="0048733A" w:rsidRDefault="000B17E4">
      <w:pPr>
        <w:spacing w:before="240" w:after="240" w:line="240" w:lineRule="auto"/>
        <w:jc w:val="both"/>
        <w:rPr>
          <w:rFonts w:ascii="Times New Roman" w:eastAsia="Times New Roman" w:hAnsi="Times New Roman" w:cs="Times New Roman"/>
          <w:i/>
          <w:iCs/>
          <w:sz w:val="24"/>
          <w:szCs w:val="24"/>
          <w:lang w:val="en-GB"/>
        </w:rPr>
      </w:pPr>
      <w:r w:rsidRPr="0048733A">
        <w:rPr>
          <w:rFonts w:ascii="Times New Roman" w:eastAsia="Times New Roman" w:hAnsi="Times New Roman" w:cs="Times New Roman"/>
          <w:i/>
          <w:iCs/>
          <w:sz w:val="24"/>
          <w:szCs w:val="24"/>
          <w:highlight w:val="white"/>
          <w:lang w:val="en-GB"/>
        </w:rPr>
        <w:t xml:space="preserve">Support </w:t>
      </w:r>
      <w:r w:rsidR="0022362C" w:rsidRPr="0048733A">
        <w:rPr>
          <w:rFonts w:ascii="Times New Roman" w:eastAsia="Times New Roman" w:hAnsi="Times New Roman" w:cs="Times New Roman"/>
          <w:i/>
          <w:iCs/>
          <w:sz w:val="24"/>
          <w:szCs w:val="24"/>
          <w:highlight w:val="white"/>
          <w:lang w:val="en-GB"/>
        </w:rPr>
        <w:t>Gap:</w:t>
      </w:r>
      <w:r w:rsidRPr="0048733A">
        <w:rPr>
          <w:rFonts w:ascii="Times New Roman" w:eastAsia="Times New Roman" w:hAnsi="Times New Roman" w:cs="Times New Roman"/>
          <w:i/>
          <w:iCs/>
          <w:sz w:val="24"/>
          <w:szCs w:val="24"/>
          <w:lang w:val="en-GB"/>
        </w:rPr>
        <w:t xml:space="preserve"> Human Capital Development</w:t>
      </w:r>
    </w:p>
    <w:p w14:paraId="3474411E" w14:textId="77777777" w:rsidR="00810737" w:rsidRPr="0048733A" w:rsidRDefault="000B17E4">
      <w:pPr>
        <w:spacing w:before="240" w:after="240"/>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Human capital development is the least perceived and spontaneously mentioned theme by respondents. Unlike more tangible themes, such as resource optimization, this dimension is less directly visible. Observations indicate that faculty members particularly those involved in training programs, academic partnerships, and initiatives supporting professional integration are the main reporters of existing efforts.</w:t>
      </w:r>
    </w:p>
    <w:p w14:paraId="6AF2F6A2" w14:textId="77777777" w:rsidR="00810737" w:rsidRPr="0048733A" w:rsidRDefault="000B17E4">
      <w:pPr>
        <w:spacing w:before="240" w:after="240"/>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In this domain, perceptions and expectations are largely aligned. Stakeholders recognize initiatives such as the integration of CSR into courses, sustainable entrepreneurship projects, incorporation of SDGs into programs, the internal incubator, and training aimed at future-oriented careers. Their expectations focus on expanding responsible internships, strengthening incubators, and enhancing training in responsible management.</w:t>
      </w:r>
    </w:p>
    <w:p w14:paraId="05ECA3C9" w14:textId="77777777" w:rsidR="00810737" w:rsidRPr="0048733A" w:rsidRDefault="000B17E4">
      <w:pPr>
        <w:spacing w:before="240" w:after="240"/>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lang w:val="en-GB"/>
        </w:rPr>
        <w:t>Overall, the gap in this area is low, indicating strong coherence between existing initiatives and stakeholder expectations. This alignment suggests that current efforts in human capital development effectively meet anticipated needs, demonstrating that the institution’s strategic and operational actions in this domain are largely on target.</w:t>
      </w:r>
    </w:p>
    <w:p w14:paraId="6253FE1B" w14:textId="574C9B4C" w:rsidR="00810737" w:rsidRPr="0048733A" w:rsidRDefault="000B17E4">
      <w:pPr>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 xml:space="preserve"> Institutional Gap: Responsible Financial Governance </w:t>
      </w:r>
    </w:p>
    <w:p w14:paraId="4B483277" w14:textId="77777777" w:rsidR="00810737" w:rsidRPr="0048733A" w:rsidRDefault="000B17E4">
      <w:pPr>
        <w:spacing w:before="240" w:after="240"/>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This theme primarily emerged at the level of stakeholders’ expectations, with 30 mentions, highlighting its strategic importance. Expectations in this domain are far more explicit than the perceived initiatives of the organization. Regarding budget transparency, this sub-theme is entirely absent from perceptions: no mechanisms for monitoring or reporting on budget usage were reported. Stakeholders express clear and ambitious expectations, including the establishment of a dedicated sustainability budget, institutionalized green funds, public financial reports, and quantifiable indicators to track the impact of sustainability actions.</w:t>
      </w:r>
    </w:p>
    <w:p w14:paraId="2BC4E536" w14:textId="17F2A49C" w:rsidR="00810737" w:rsidRPr="0048733A" w:rsidRDefault="000B17E4">
      <w:pPr>
        <w:spacing w:before="240" w:after="240"/>
        <w:ind w:left="600" w:right="600"/>
        <w:jc w:val="both"/>
        <w:rPr>
          <w:rFonts w:ascii="Times New Roman" w:eastAsia="Times New Roman" w:hAnsi="Times New Roman" w:cs="Times New Roman"/>
          <w:sz w:val="20"/>
          <w:szCs w:val="20"/>
          <w:lang w:val="en-GB"/>
        </w:rPr>
      </w:pPr>
      <w:r w:rsidRPr="0048733A">
        <w:rPr>
          <w:rFonts w:ascii="Times New Roman" w:eastAsia="Times New Roman" w:hAnsi="Times New Roman" w:cs="Times New Roman"/>
          <w:sz w:val="20"/>
          <w:szCs w:val="20"/>
          <w:lang w:val="en-GB"/>
        </w:rPr>
        <w:t xml:space="preserve">I would like to see greater transparency in the use of budgets related to sustainability, so that everyone can clearly understand how financial resources are allocated and utilized, as well as the creation of dedicated funds for green </w:t>
      </w:r>
      <w:r w:rsidR="00D16435" w:rsidRPr="0048733A">
        <w:rPr>
          <w:rFonts w:ascii="Times New Roman" w:eastAsia="Times New Roman" w:hAnsi="Times New Roman" w:cs="Times New Roman"/>
          <w:sz w:val="20"/>
          <w:szCs w:val="20"/>
          <w:lang w:val="en-GB"/>
        </w:rPr>
        <w:t>projects (</w:t>
      </w:r>
      <w:r w:rsidRPr="0048733A">
        <w:rPr>
          <w:rFonts w:ascii="Times New Roman" w:eastAsia="Times New Roman" w:hAnsi="Times New Roman" w:cs="Times New Roman"/>
          <w:sz w:val="20"/>
          <w:szCs w:val="20"/>
          <w:lang w:val="en-GB"/>
        </w:rPr>
        <w:t>Respondent 18, Administrative staff)</w:t>
      </w:r>
    </w:p>
    <w:p w14:paraId="3B9A0443" w14:textId="77777777" w:rsidR="00810737" w:rsidRPr="0048733A" w:rsidRDefault="000B17E4">
      <w:pPr>
        <w:spacing w:before="240" w:after="240"/>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Similarly, for the communication of results, perceived actions remain largely invisible to stakeholders. They expect a well-defined communication strategy, the publication of an annual CSR report, and regular dissemination of sustainability outcomes.</w:t>
      </w:r>
    </w:p>
    <w:p w14:paraId="1EA2484C" w14:textId="77777777" w:rsidR="00810737" w:rsidRPr="0048733A" w:rsidRDefault="000B17E4">
      <w:pPr>
        <w:spacing w:before="240" w:after="240"/>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The gap identified is therefore institutional in nature, reflecting a lack of formalization and structured processes for existing initiatives. Stakeholders’ expectations emphasize the need to establish robust institutional mechanisms that ensure financial transparency and effective communication of results, thereby strengthening the organization’s credibility and commitment to sustainability.</w:t>
      </w:r>
    </w:p>
    <w:p w14:paraId="52BC49CD" w14:textId="1042BD43" w:rsidR="00810737" w:rsidRPr="0048733A" w:rsidRDefault="000B17E4">
      <w:pPr>
        <w:spacing w:before="240" w:after="240"/>
        <w:jc w:val="both"/>
        <w:rPr>
          <w:rFonts w:ascii="Times New Roman" w:eastAsia="Times New Roman" w:hAnsi="Times New Roman" w:cs="Times New Roman"/>
          <w:i/>
          <w:iCs/>
          <w:sz w:val="24"/>
          <w:szCs w:val="24"/>
          <w:lang w:val="en-GB"/>
        </w:rPr>
      </w:pPr>
      <w:r w:rsidRPr="0048733A">
        <w:rPr>
          <w:rFonts w:ascii="Times New Roman" w:eastAsia="Times New Roman" w:hAnsi="Times New Roman" w:cs="Times New Roman"/>
          <w:i/>
          <w:iCs/>
          <w:sz w:val="24"/>
          <w:szCs w:val="24"/>
          <w:lang w:val="en-GB"/>
        </w:rPr>
        <w:lastRenderedPageBreak/>
        <w:t xml:space="preserve"> Strategic Gap: Responsible Investment</w:t>
      </w:r>
    </w:p>
    <w:p w14:paraId="1C680E2C" w14:textId="77777777" w:rsidR="00810737" w:rsidRPr="0048733A" w:rsidRDefault="000B17E4">
      <w:pPr>
        <w:spacing w:before="240" w:after="240"/>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The theme of responsible and sustainable investment also emerged prominently in stakeholders’ expectations, with 24 mentions, underscoring its strategic significance. While some sustainability-related economic initiatives exist, such as resource optimization, digitization of processes, and a few student projects, perceived actions remain limited compared to stakeholder expectations. Two main sub-themes are identified: green budgets and ecological investment. Stakeholders express the need for institutionalized budgets dedicated to sustainability, enabling the planned and sustainable funding of green and responsible projects.</w:t>
      </w:r>
    </w:p>
    <w:p w14:paraId="5EF47983" w14:textId="77777777" w:rsidR="00810737" w:rsidRPr="0048733A" w:rsidRDefault="000B17E4">
      <w:pPr>
        <w:spacing w:before="240" w:after="240"/>
        <w:ind w:left="600" w:right="600"/>
        <w:jc w:val="both"/>
        <w:rPr>
          <w:rFonts w:ascii="Times New Roman" w:eastAsia="Times New Roman" w:hAnsi="Times New Roman" w:cs="Times New Roman"/>
          <w:sz w:val="20"/>
          <w:szCs w:val="20"/>
          <w:lang w:val="en-GB"/>
        </w:rPr>
      </w:pPr>
      <w:r w:rsidRPr="0048733A">
        <w:rPr>
          <w:rFonts w:ascii="Times New Roman" w:eastAsia="Times New Roman" w:hAnsi="Times New Roman" w:cs="Times New Roman"/>
          <w:sz w:val="20"/>
          <w:szCs w:val="20"/>
          <w:lang w:val="en-GB"/>
        </w:rPr>
        <w:t>The school has already undertaken certain sustainability initiatives, but I would like to see greater transparency regarding the budgets allocated to sustainable development, in order to better understand how resources are used and to strengthen the credibility and impact of the actions undertaken. (Respondent 28, Student)</w:t>
      </w:r>
    </w:p>
    <w:p w14:paraId="63E67406" w14:textId="77777777" w:rsidR="00810737" w:rsidRPr="0048733A" w:rsidRDefault="000B17E4">
      <w:pPr>
        <w:spacing w:before="240" w:after="240"/>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Regarding ecological investment, perceived initiatives largely involve occasional energy savings and digitalization efforts. However, stakeholders expect a broader and more structured approach, including diversified investments in ecological solutions, responsible procurement practices, energy-efficient equipment, and regular monitoring of environmental impact.</w:t>
      </w:r>
    </w:p>
    <w:p w14:paraId="1AFDF76D" w14:textId="1EB0D394" w:rsidR="00400443" w:rsidRPr="0048733A" w:rsidRDefault="000B17E4">
      <w:pPr>
        <w:spacing w:before="240" w:after="240"/>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The identified gap is therefore strategic, reflecting the need to strengthen the planning and formalization of sustainable investments. Current initiatives remain visible, whereas stakeholder expectations align with a comprehensive strategic vision encompassing resource allocation, systematic monitoring, planning, and continuous improvement of sustainable economic practices.</w:t>
      </w:r>
      <w:r w:rsidR="00400443" w:rsidRPr="0048733A">
        <w:rPr>
          <w:rFonts w:ascii="Times New Roman" w:eastAsia="Times New Roman" w:hAnsi="Times New Roman" w:cs="Times New Roman"/>
          <w:sz w:val="24"/>
          <w:szCs w:val="24"/>
          <w:lang w:val="en-GB"/>
        </w:rPr>
        <w:br w:type="page"/>
      </w:r>
    </w:p>
    <w:p w14:paraId="78765E2D" w14:textId="77777777" w:rsidR="00400443" w:rsidRPr="0048733A" w:rsidRDefault="00400443">
      <w:pPr>
        <w:spacing w:before="240" w:after="240"/>
        <w:jc w:val="both"/>
        <w:rPr>
          <w:rFonts w:ascii="Times New Roman" w:eastAsia="Times New Roman" w:hAnsi="Times New Roman" w:cs="Times New Roman"/>
          <w:sz w:val="24"/>
          <w:szCs w:val="24"/>
          <w:lang w:val="en-GB"/>
        </w:rPr>
        <w:sectPr w:rsidR="00400443" w:rsidRPr="0048733A">
          <w:pgSz w:w="11906" w:h="16838"/>
          <w:pgMar w:top="1417" w:right="1417" w:bottom="1417" w:left="1417" w:header="708" w:footer="708" w:gutter="0"/>
          <w:pgNumType w:start="1"/>
          <w:cols w:space="720"/>
        </w:sectPr>
      </w:pPr>
    </w:p>
    <w:tbl>
      <w:tblPr>
        <w:tblpPr w:leftFromText="141" w:rightFromText="141" w:vertAnchor="text" w:tblpY="1"/>
        <w:tblOverlap w:val="neve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88"/>
        <w:gridCol w:w="2409"/>
        <w:gridCol w:w="3119"/>
        <w:gridCol w:w="3118"/>
        <w:gridCol w:w="2552"/>
        <w:gridCol w:w="2268"/>
      </w:tblGrid>
      <w:tr w:rsidR="00400443" w:rsidRPr="0048733A" w14:paraId="03CC9041" w14:textId="77777777" w:rsidTr="000B17E4">
        <w:trPr>
          <w:trHeight w:val="630"/>
        </w:trPr>
        <w:tc>
          <w:tcPr>
            <w:tcW w:w="988" w:type="dxa"/>
            <w:shd w:val="clear" w:color="auto" w:fill="auto"/>
            <w:noWrap/>
            <w:vAlign w:val="bottom"/>
            <w:hideMark/>
          </w:tcPr>
          <w:p w14:paraId="34D1E2EB" w14:textId="77777777" w:rsidR="00400443" w:rsidRPr="0048733A" w:rsidRDefault="00400443" w:rsidP="000B17E4">
            <w:pPr>
              <w:spacing w:after="0" w:line="240" w:lineRule="auto"/>
              <w:rPr>
                <w:rFonts w:asciiTheme="majorBidi" w:eastAsia="Times New Roman" w:hAnsiTheme="majorBidi" w:cstheme="majorBidi"/>
                <w:sz w:val="24"/>
                <w:szCs w:val="24"/>
                <w:lang w:val="en-GB"/>
              </w:rPr>
            </w:pPr>
          </w:p>
        </w:tc>
        <w:tc>
          <w:tcPr>
            <w:tcW w:w="2409" w:type="dxa"/>
            <w:shd w:val="clear" w:color="auto" w:fill="auto"/>
            <w:vAlign w:val="center"/>
            <w:hideMark/>
          </w:tcPr>
          <w:p w14:paraId="72FB201E" w14:textId="77777777" w:rsidR="00400443" w:rsidRPr="0048733A" w:rsidRDefault="00400443" w:rsidP="000B17E4">
            <w:pPr>
              <w:spacing w:after="0" w:line="240" w:lineRule="auto"/>
              <w:jc w:val="center"/>
              <w:rPr>
                <w:rFonts w:asciiTheme="majorBidi" w:eastAsia="Times New Roman" w:hAnsiTheme="majorBidi" w:cstheme="majorBidi"/>
                <w:b/>
                <w:bCs/>
                <w:color w:val="000000"/>
                <w:sz w:val="24"/>
                <w:szCs w:val="24"/>
                <w:lang w:val="en-GB"/>
              </w:rPr>
            </w:pPr>
            <w:r w:rsidRPr="0048733A">
              <w:rPr>
                <w:rFonts w:asciiTheme="majorBidi" w:eastAsia="Times New Roman" w:hAnsiTheme="majorBidi" w:cstheme="majorBidi"/>
                <w:b/>
                <w:bCs/>
                <w:color w:val="000000"/>
                <w:sz w:val="24"/>
                <w:szCs w:val="24"/>
                <w:lang w:val="en-GB"/>
              </w:rPr>
              <w:t xml:space="preserve">Sub-theme </w:t>
            </w:r>
          </w:p>
        </w:tc>
        <w:tc>
          <w:tcPr>
            <w:tcW w:w="3119" w:type="dxa"/>
            <w:shd w:val="clear" w:color="auto" w:fill="auto"/>
            <w:vAlign w:val="center"/>
            <w:hideMark/>
          </w:tcPr>
          <w:p w14:paraId="270C1B6E" w14:textId="77777777" w:rsidR="00400443" w:rsidRPr="0048733A" w:rsidRDefault="00400443" w:rsidP="000B17E4">
            <w:pPr>
              <w:spacing w:after="0" w:line="240" w:lineRule="auto"/>
              <w:jc w:val="center"/>
              <w:rPr>
                <w:rFonts w:asciiTheme="majorBidi" w:eastAsia="Times New Roman" w:hAnsiTheme="majorBidi" w:cstheme="majorBidi"/>
                <w:b/>
                <w:bCs/>
                <w:color w:val="000000"/>
                <w:sz w:val="24"/>
                <w:szCs w:val="24"/>
                <w:lang w:val="en-GB"/>
              </w:rPr>
            </w:pPr>
            <w:r w:rsidRPr="0048733A">
              <w:rPr>
                <w:rFonts w:asciiTheme="majorBidi" w:eastAsia="Times New Roman" w:hAnsiTheme="majorBidi" w:cstheme="majorBidi"/>
                <w:b/>
                <w:bCs/>
                <w:color w:val="000000"/>
                <w:sz w:val="24"/>
                <w:szCs w:val="24"/>
                <w:lang w:val="en-GB"/>
              </w:rPr>
              <w:t>Perception (existing initiatives)</w:t>
            </w:r>
          </w:p>
        </w:tc>
        <w:tc>
          <w:tcPr>
            <w:tcW w:w="3118" w:type="dxa"/>
            <w:shd w:val="clear" w:color="auto" w:fill="auto"/>
            <w:vAlign w:val="center"/>
            <w:hideMark/>
          </w:tcPr>
          <w:p w14:paraId="1685209B" w14:textId="77777777" w:rsidR="00400443" w:rsidRPr="0048733A" w:rsidRDefault="00400443" w:rsidP="000B17E4">
            <w:pPr>
              <w:spacing w:after="0" w:line="240" w:lineRule="auto"/>
              <w:jc w:val="center"/>
              <w:rPr>
                <w:rFonts w:asciiTheme="majorBidi" w:eastAsia="Times New Roman" w:hAnsiTheme="majorBidi" w:cstheme="majorBidi"/>
                <w:b/>
                <w:bCs/>
                <w:color w:val="000000"/>
                <w:sz w:val="24"/>
                <w:szCs w:val="24"/>
                <w:lang w:val="en-GB"/>
              </w:rPr>
            </w:pPr>
            <w:r w:rsidRPr="0048733A">
              <w:rPr>
                <w:rFonts w:asciiTheme="majorBidi" w:eastAsia="Times New Roman" w:hAnsiTheme="majorBidi" w:cstheme="majorBidi"/>
                <w:b/>
                <w:bCs/>
                <w:color w:val="000000"/>
                <w:sz w:val="24"/>
                <w:szCs w:val="24"/>
                <w:lang w:val="en-GB"/>
              </w:rPr>
              <w:t>Priority expectations</w:t>
            </w:r>
          </w:p>
        </w:tc>
        <w:tc>
          <w:tcPr>
            <w:tcW w:w="2552" w:type="dxa"/>
            <w:shd w:val="clear" w:color="auto" w:fill="auto"/>
            <w:vAlign w:val="center"/>
            <w:hideMark/>
          </w:tcPr>
          <w:p w14:paraId="0C40A564" w14:textId="77777777" w:rsidR="00400443" w:rsidRPr="0048733A" w:rsidRDefault="00400443" w:rsidP="000B17E4">
            <w:pPr>
              <w:spacing w:after="0" w:line="240" w:lineRule="auto"/>
              <w:jc w:val="center"/>
              <w:rPr>
                <w:rFonts w:asciiTheme="majorBidi" w:eastAsia="Times New Roman" w:hAnsiTheme="majorBidi" w:cstheme="majorBidi"/>
                <w:b/>
                <w:bCs/>
                <w:color w:val="000000"/>
                <w:sz w:val="24"/>
                <w:szCs w:val="24"/>
                <w:lang w:val="en-GB"/>
              </w:rPr>
            </w:pPr>
            <w:r w:rsidRPr="0048733A">
              <w:rPr>
                <w:rFonts w:asciiTheme="majorBidi" w:eastAsia="Times New Roman" w:hAnsiTheme="majorBidi" w:cstheme="majorBidi"/>
                <w:b/>
                <w:bCs/>
                <w:color w:val="000000"/>
                <w:sz w:val="24"/>
                <w:szCs w:val="24"/>
                <w:lang w:val="en-GB"/>
              </w:rPr>
              <w:t>Nature of the Gap</w:t>
            </w:r>
          </w:p>
        </w:tc>
        <w:tc>
          <w:tcPr>
            <w:tcW w:w="2268" w:type="dxa"/>
            <w:shd w:val="clear" w:color="auto" w:fill="auto"/>
            <w:vAlign w:val="center"/>
            <w:hideMark/>
          </w:tcPr>
          <w:p w14:paraId="2715A0F5" w14:textId="77777777" w:rsidR="00400443" w:rsidRPr="0048733A" w:rsidRDefault="00400443" w:rsidP="000B17E4">
            <w:pPr>
              <w:spacing w:after="0" w:line="240" w:lineRule="auto"/>
              <w:jc w:val="center"/>
              <w:rPr>
                <w:rFonts w:asciiTheme="majorBidi" w:eastAsia="Times New Roman" w:hAnsiTheme="majorBidi" w:cstheme="majorBidi"/>
                <w:b/>
                <w:bCs/>
                <w:color w:val="000000"/>
                <w:sz w:val="24"/>
                <w:szCs w:val="24"/>
                <w:lang w:val="en-GB"/>
              </w:rPr>
            </w:pPr>
            <w:r w:rsidRPr="0048733A">
              <w:rPr>
                <w:rFonts w:asciiTheme="majorBidi" w:eastAsia="Times New Roman" w:hAnsiTheme="majorBidi" w:cstheme="majorBidi"/>
                <w:b/>
                <w:bCs/>
                <w:color w:val="000000"/>
                <w:sz w:val="24"/>
                <w:szCs w:val="24"/>
                <w:lang w:val="en-GB"/>
              </w:rPr>
              <w:t>Gap level</w:t>
            </w:r>
          </w:p>
        </w:tc>
      </w:tr>
      <w:tr w:rsidR="00400443" w:rsidRPr="0048733A" w14:paraId="4CAA8193" w14:textId="77777777" w:rsidTr="000B17E4">
        <w:trPr>
          <w:trHeight w:val="1191"/>
        </w:trPr>
        <w:tc>
          <w:tcPr>
            <w:tcW w:w="988" w:type="dxa"/>
            <w:shd w:val="clear" w:color="auto" w:fill="auto"/>
            <w:noWrap/>
            <w:textDirection w:val="btLr"/>
            <w:vAlign w:val="center"/>
          </w:tcPr>
          <w:p w14:paraId="59C6B865" w14:textId="77777777" w:rsidR="00400443" w:rsidRPr="0048733A" w:rsidRDefault="00400443" w:rsidP="000B17E4">
            <w:pPr>
              <w:spacing w:after="0" w:line="240" w:lineRule="auto"/>
              <w:ind w:left="113" w:right="113"/>
              <w:jc w:val="center"/>
              <w:rPr>
                <w:rFonts w:asciiTheme="majorBidi" w:eastAsia="Times New Roman" w:hAnsiTheme="majorBidi" w:cstheme="majorBidi"/>
                <w:b/>
                <w:bCs/>
                <w:color w:val="000000"/>
                <w:sz w:val="24"/>
                <w:szCs w:val="24"/>
                <w:lang w:val="en-GB"/>
              </w:rPr>
            </w:pPr>
            <w:r w:rsidRPr="0048733A">
              <w:rPr>
                <w:rFonts w:asciiTheme="majorBidi" w:eastAsia="Times New Roman" w:hAnsiTheme="majorBidi" w:cstheme="majorBidi"/>
                <w:b/>
                <w:bCs/>
                <w:color w:val="000000"/>
                <w:sz w:val="24"/>
                <w:szCs w:val="24"/>
                <w:lang w:val="en-GB"/>
              </w:rPr>
              <w:t>Digitalization</w:t>
            </w:r>
          </w:p>
        </w:tc>
        <w:tc>
          <w:tcPr>
            <w:tcW w:w="2409" w:type="dxa"/>
            <w:shd w:val="clear" w:color="auto" w:fill="auto"/>
            <w:vAlign w:val="center"/>
          </w:tcPr>
          <w:p w14:paraId="379CF008" w14:textId="77777777" w:rsidR="00400443" w:rsidRPr="0048733A" w:rsidRDefault="00400443" w:rsidP="000B17E4">
            <w:pPr>
              <w:spacing w:after="0" w:line="240" w:lineRule="auto"/>
              <w:rPr>
                <w:rFonts w:asciiTheme="majorBidi" w:eastAsiaTheme="minorHAnsi" w:hAnsiTheme="majorBidi" w:cstheme="majorBidi"/>
                <w:sz w:val="24"/>
                <w:szCs w:val="24"/>
                <w:lang w:val="en-GB" w:eastAsia="en-US"/>
              </w:rPr>
            </w:pPr>
            <w:r w:rsidRPr="0048733A">
              <w:rPr>
                <w:rFonts w:asciiTheme="majorBidi" w:hAnsiTheme="majorBidi" w:cstheme="majorBidi"/>
                <w:sz w:val="24"/>
                <w:szCs w:val="24"/>
                <w:lang w:val="en-GB"/>
              </w:rPr>
              <w:t>Digitalization and paper reduction</w:t>
            </w:r>
          </w:p>
        </w:tc>
        <w:tc>
          <w:tcPr>
            <w:tcW w:w="3119" w:type="dxa"/>
            <w:shd w:val="clear" w:color="auto" w:fill="auto"/>
            <w:vAlign w:val="center"/>
          </w:tcPr>
          <w:p w14:paraId="1AB1279E"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Digitalization of administrative procedures, teaching materials, connected classrooms, paper reduction;</w:t>
            </w:r>
          </w:p>
        </w:tc>
        <w:tc>
          <w:tcPr>
            <w:tcW w:w="3118" w:type="dxa"/>
            <w:shd w:val="clear" w:color="auto" w:fill="auto"/>
            <w:vAlign w:val="center"/>
          </w:tcPr>
          <w:p w14:paraId="1949A188" w14:textId="77777777" w:rsidR="00400443" w:rsidRPr="0048733A" w:rsidRDefault="00400443" w:rsidP="00400443">
            <w:pPr>
              <w:pStyle w:val="Paragraphedeliste"/>
              <w:numPr>
                <w:ilvl w:val="0"/>
                <w:numId w:val="2"/>
              </w:numPr>
              <w:spacing w:after="0" w:line="240" w:lineRule="auto"/>
              <w:jc w:val="center"/>
              <w:rPr>
                <w:rFonts w:asciiTheme="majorBidi" w:eastAsia="Times New Roman" w:hAnsiTheme="majorBidi" w:cstheme="majorBidi"/>
                <w:color w:val="000000"/>
                <w:sz w:val="24"/>
                <w:szCs w:val="24"/>
                <w:lang w:val="en-GB"/>
              </w:rPr>
            </w:pPr>
          </w:p>
        </w:tc>
        <w:tc>
          <w:tcPr>
            <w:tcW w:w="2552" w:type="dxa"/>
            <w:shd w:val="clear" w:color="auto" w:fill="auto"/>
            <w:vAlign w:val="center"/>
          </w:tcPr>
          <w:p w14:paraId="38C69CAC" w14:textId="1B6FB137" w:rsidR="00400443" w:rsidRPr="0048733A" w:rsidRDefault="00400443" w:rsidP="00400443">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Strategic Alignment</w:t>
            </w:r>
          </w:p>
        </w:tc>
        <w:tc>
          <w:tcPr>
            <w:tcW w:w="2268" w:type="dxa"/>
            <w:shd w:val="clear" w:color="auto" w:fill="auto"/>
            <w:vAlign w:val="center"/>
          </w:tcPr>
          <w:p w14:paraId="36754A27" w14:textId="6EED219B" w:rsidR="00400443" w:rsidRPr="0048733A" w:rsidRDefault="00400443" w:rsidP="00400443">
            <w:pPr>
              <w:pStyle w:val="Paragraphedeliste"/>
              <w:spacing w:after="0" w:line="240" w:lineRule="auto"/>
              <w:ind w:left="420"/>
              <w:jc w:val="center"/>
              <w:rPr>
                <w:rFonts w:asciiTheme="majorBidi" w:eastAsia="Times New Roman" w:hAnsiTheme="majorBidi" w:cstheme="majorBidi"/>
                <w:color w:val="000000"/>
                <w:sz w:val="24"/>
                <w:szCs w:val="24"/>
                <w:lang w:val="en-GB"/>
              </w:rPr>
            </w:pPr>
            <w:r w:rsidRPr="0048733A">
              <w:rPr>
                <w:rFonts w:asciiTheme="majorBidi" w:eastAsia="Times New Roman" w:hAnsiTheme="majorBidi" w:cstheme="majorBidi"/>
                <w:color w:val="000000"/>
                <w:sz w:val="24"/>
                <w:szCs w:val="24"/>
                <w:lang w:val="en-GB"/>
              </w:rPr>
              <w:t>No GAP</w:t>
            </w:r>
          </w:p>
        </w:tc>
      </w:tr>
      <w:tr w:rsidR="00400443" w:rsidRPr="0048733A" w14:paraId="002364E5" w14:textId="77777777" w:rsidTr="000B17E4">
        <w:trPr>
          <w:trHeight w:val="630"/>
        </w:trPr>
        <w:tc>
          <w:tcPr>
            <w:tcW w:w="988" w:type="dxa"/>
            <w:vMerge w:val="restart"/>
            <w:shd w:val="clear" w:color="auto" w:fill="auto"/>
            <w:noWrap/>
            <w:textDirection w:val="btLr"/>
            <w:hideMark/>
          </w:tcPr>
          <w:p w14:paraId="4439C236" w14:textId="77777777" w:rsidR="00400443" w:rsidRPr="0048733A" w:rsidRDefault="00400443" w:rsidP="000B17E4">
            <w:pPr>
              <w:spacing w:after="0" w:line="240" w:lineRule="auto"/>
              <w:ind w:left="113" w:right="113"/>
              <w:jc w:val="center"/>
              <w:rPr>
                <w:rFonts w:asciiTheme="majorBidi" w:eastAsia="Times New Roman" w:hAnsiTheme="majorBidi" w:cstheme="majorBidi"/>
                <w:b/>
                <w:bCs/>
                <w:color w:val="000000"/>
                <w:sz w:val="24"/>
                <w:szCs w:val="24"/>
                <w:lang w:val="en-GB"/>
              </w:rPr>
            </w:pPr>
            <w:r w:rsidRPr="0048733A">
              <w:rPr>
                <w:rFonts w:asciiTheme="majorBidi" w:hAnsiTheme="majorBidi" w:cstheme="majorBidi"/>
                <w:b/>
                <w:bCs/>
                <w:sz w:val="24"/>
                <w:szCs w:val="24"/>
                <w:lang w:val="en-GB"/>
              </w:rPr>
              <w:t>Energy Optimization</w:t>
            </w:r>
          </w:p>
        </w:tc>
        <w:tc>
          <w:tcPr>
            <w:tcW w:w="2409" w:type="dxa"/>
            <w:shd w:val="clear" w:color="auto" w:fill="auto"/>
            <w:vAlign w:val="center"/>
            <w:hideMark/>
          </w:tcPr>
          <w:p w14:paraId="76DC7B57"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Resources optimization</w:t>
            </w:r>
          </w:p>
        </w:tc>
        <w:tc>
          <w:tcPr>
            <w:tcW w:w="3119" w:type="dxa"/>
            <w:shd w:val="clear" w:color="auto" w:fill="auto"/>
            <w:vAlign w:val="center"/>
            <w:hideMark/>
          </w:tcPr>
          <w:p w14:paraId="03749DC3"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Absence or limited presence of solar panels, occasional optimization efforts</w:t>
            </w:r>
          </w:p>
        </w:tc>
        <w:tc>
          <w:tcPr>
            <w:tcW w:w="3118" w:type="dxa"/>
            <w:shd w:val="clear" w:color="auto" w:fill="auto"/>
            <w:vAlign w:val="center"/>
            <w:hideMark/>
          </w:tcPr>
          <w:p w14:paraId="2BD4FDB6"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eastAsia="Times New Roman" w:hAnsiTheme="majorBidi" w:cstheme="majorBidi"/>
                <w:color w:val="000000"/>
                <w:sz w:val="24"/>
                <w:szCs w:val="24"/>
                <w:lang w:val="en-GB"/>
              </w:rPr>
              <w:t xml:space="preserve"> </w:t>
            </w:r>
            <w:r w:rsidRPr="0048733A">
              <w:rPr>
                <w:rFonts w:asciiTheme="majorBidi" w:hAnsiTheme="majorBidi" w:cstheme="majorBidi"/>
                <w:sz w:val="24"/>
                <w:szCs w:val="24"/>
                <w:lang w:val="en-GB"/>
              </w:rPr>
              <w:t>Energy audits, LED systems, thermal insulation, smart systems, precise monitoring, Wider deployment, of renewable solutions</w:t>
            </w:r>
          </w:p>
        </w:tc>
        <w:tc>
          <w:tcPr>
            <w:tcW w:w="2552" w:type="dxa"/>
            <w:shd w:val="clear" w:color="auto" w:fill="auto"/>
            <w:vAlign w:val="center"/>
            <w:hideMark/>
          </w:tcPr>
          <w:p w14:paraId="2515E79D"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Alignment Reinforcement Gap</w:t>
            </w:r>
          </w:p>
        </w:tc>
        <w:tc>
          <w:tcPr>
            <w:tcW w:w="2268" w:type="dxa"/>
            <w:shd w:val="clear" w:color="auto" w:fill="auto"/>
            <w:vAlign w:val="center"/>
            <w:hideMark/>
          </w:tcPr>
          <w:p w14:paraId="54634A3A" w14:textId="77777777" w:rsidR="00400443" w:rsidRPr="0048733A" w:rsidRDefault="00400443" w:rsidP="000B17E4">
            <w:pPr>
              <w:spacing w:after="0" w:line="240" w:lineRule="auto"/>
              <w:jc w:val="center"/>
              <w:rPr>
                <w:rFonts w:asciiTheme="majorBidi" w:eastAsia="Times New Roman" w:hAnsiTheme="majorBidi" w:cstheme="majorBidi"/>
                <w:color w:val="000000"/>
                <w:sz w:val="24"/>
                <w:szCs w:val="24"/>
                <w:lang w:val="en-GB"/>
              </w:rPr>
            </w:pPr>
            <w:r w:rsidRPr="0048733A">
              <w:rPr>
                <w:rFonts w:asciiTheme="majorBidi" w:eastAsia="Times New Roman" w:hAnsiTheme="majorBidi" w:cstheme="majorBidi"/>
                <w:color w:val="000000"/>
                <w:sz w:val="24"/>
                <w:szCs w:val="24"/>
                <w:lang w:val="en-GB"/>
              </w:rPr>
              <w:t>Moderate</w:t>
            </w:r>
          </w:p>
        </w:tc>
      </w:tr>
      <w:tr w:rsidR="00400443" w:rsidRPr="0048733A" w14:paraId="2A084399" w14:textId="77777777" w:rsidTr="000B17E4">
        <w:trPr>
          <w:trHeight w:val="854"/>
        </w:trPr>
        <w:tc>
          <w:tcPr>
            <w:tcW w:w="988" w:type="dxa"/>
            <w:vMerge/>
            <w:shd w:val="clear" w:color="auto" w:fill="auto"/>
            <w:vAlign w:val="center"/>
            <w:hideMark/>
          </w:tcPr>
          <w:p w14:paraId="68E26627" w14:textId="77777777" w:rsidR="00400443" w:rsidRPr="0048733A" w:rsidRDefault="00400443" w:rsidP="000B17E4">
            <w:pPr>
              <w:spacing w:after="0" w:line="240" w:lineRule="auto"/>
              <w:jc w:val="center"/>
              <w:rPr>
                <w:rFonts w:asciiTheme="majorBidi" w:eastAsia="Times New Roman" w:hAnsiTheme="majorBidi" w:cstheme="majorBidi"/>
                <w:b/>
                <w:bCs/>
                <w:color w:val="000000"/>
                <w:sz w:val="24"/>
                <w:szCs w:val="24"/>
                <w:lang w:val="en-GB"/>
              </w:rPr>
            </w:pPr>
          </w:p>
        </w:tc>
        <w:tc>
          <w:tcPr>
            <w:tcW w:w="2409" w:type="dxa"/>
            <w:shd w:val="clear" w:color="auto" w:fill="auto"/>
            <w:vAlign w:val="center"/>
            <w:hideMark/>
          </w:tcPr>
          <w:p w14:paraId="5075D284"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eastAsia="Times New Roman" w:hAnsiTheme="majorBidi" w:cstheme="majorBidi"/>
                <w:color w:val="000000"/>
                <w:sz w:val="24"/>
                <w:szCs w:val="24"/>
                <w:lang w:val="en-GB"/>
              </w:rPr>
              <w:t xml:space="preserve"> </w:t>
            </w:r>
            <w:r w:rsidRPr="0048733A">
              <w:rPr>
                <w:rFonts w:asciiTheme="majorBidi" w:hAnsiTheme="majorBidi" w:cstheme="majorBidi"/>
                <w:sz w:val="24"/>
                <w:szCs w:val="24"/>
                <w:lang w:val="en-GB"/>
              </w:rPr>
              <w:t>Energy control and monitoring</w:t>
            </w:r>
          </w:p>
        </w:tc>
        <w:tc>
          <w:tcPr>
            <w:tcW w:w="3119" w:type="dxa"/>
            <w:shd w:val="clear" w:color="auto" w:fill="auto"/>
            <w:vAlign w:val="center"/>
          </w:tcPr>
          <w:p w14:paraId="5319ECD7"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Energy control perceived as weakly structured or not visible</w:t>
            </w:r>
          </w:p>
        </w:tc>
        <w:tc>
          <w:tcPr>
            <w:tcW w:w="3118" w:type="dxa"/>
            <w:shd w:val="clear" w:color="auto" w:fill="auto"/>
            <w:vAlign w:val="center"/>
          </w:tcPr>
          <w:p w14:paraId="249FDA9C"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Strategic governance, public indicators, regular monitoring</w:t>
            </w:r>
          </w:p>
        </w:tc>
        <w:tc>
          <w:tcPr>
            <w:tcW w:w="2552" w:type="dxa"/>
            <w:shd w:val="clear" w:color="auto" w:fill="auto"/>
            <w:vAlign w:val="center"/>
          </w:tcPr>
          <w:p w14:paraId="239258BB"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Alignment Reinforcement Gap</w:t>
            </w:r>
          </w:p>
        </w:tc>
        <w:tc>
          <w:tcPr>
            <w:tcW w:w="2268" w:type="dxa"/>
            <w:shd w:val="clear" w:color="auto" w:fill="auto"/>
            <w:vAlign w:val="center"/>
          </w:tcPr>
          <w:p w14:paraId="4062D167" w14:textId="77777777" w:rsidR="00400443" w:rsidRPr="0048733A" w:rsidRDefault="00400443" w:rsidP="000B17E4">
            <w:pPr>
              <w:spacing w:after="0" w:line="240" w:lineRule="auto"/>
              <w:jc w:val="center"/>
              <w:rPr>
                <w:rFonts w:asciiTheme="majorBidi" w:eastAsia="Times New Roman" w:hAnsiTheme="majorBidi" w:cstheme="majorBidi"/>
                <w:color w:val="000000"/>
                <w:sz w:val="24"/>
                <w:szCs w:val="24"/>
                <w:lang w:val="en-GB"/>
              </w:rPr>
            </w:pPr>
            <w:r w:rsidRPr="0048733A">
              <w:rPr>
                <w:rFonts w:asciiTheme="majorBidi" w:eastAsia="Times New Roman" w:hAnsiTheme="majorBidi" w:cstheme="majorBidi"/>
                <w:color w:val="000000"/>
                <w:sz w:val="24"/>
                <w:szCs w:val="24"/>
                <w:lang w:val="en-GB"/>
              </w:rPr>
              <w:t xml:space="preserve">Moderate </w:t>
            </w:r>
          </w:p>
        </w:tc>
      </w:tr>
      <w:tr w:rsidR="00400443" w:rsidRPr="0048733A" w14:paraId="39413B22" w14:textId="77777777" w:rsidTr="000B17E4">
        <w:trPr>
          <w:trHeight w:val="735"/>
        </w:trPr>
        <w:tc>
          <w:tcPr>
            <w:tcW w:w="988" w:type="dxa"/>
            <w:vMerge w:val="restart"/>
            <w:shd w:val="clear" w:color="auto" w:fill="auto"/>
            <w:textDirection w:val="btLr"/>
            <w:vAlign w:val="center"/>
          </w:tcPr>
          <w:p w14:paraId="1A15FCA2" w14:textId="77777777" w:rsidR="00400443" w:rsidRPr="0048733A" w:rsidRDefault="00400443" w:rsidP="000B17E4">
            <w:pPr>
              <w:spacing w:after="0" w:line="240" w:lineRule="auto"/>
              <w:ind w:left="113" w:right="113"/>
              <w:jc w:val="center"/>
              <w:rPr>
                <w:rFonts w:asciiTheme="majorBidi" w:eastAsia="Times New Roman" w:hAnsiTheme="majorBidi" w:cstheme="majorBidi"/>
                <w:b/>
                <w:bCs/>
                <w:color w:val="000000"/>
                <w:sz w:val="24"/>
                <w:szCs w:val="24"/>
                <w:lang w:val="en-GB"/>
              </w:rPr>
            </w:pPr>
            <w:r w:rsidRPr="0048733A">
              <w:rPr>
                <w:rFonts w:asciiTheme="majorBidi" w:hAnsiTheme="majorBidi" w:cstheme="majorBidi"/>
                <w:b/>
                <w:bCs/>
                <w:color w:val="000000"/>
                <w:sz w:val="24"/>
                <w:szCs w:val="24"/>
                <w:lang w:val="en-GB"/>
              </w:rPr>
              <w:t>Development of Human Capital</w:t>
            </w:r>
          </w:p>
        </w:tc>
        <w:tc>
          <w:tcPr>
            <w:tcW w:w="2409" w:type="dxa"/>
            <w:shd w:val="clear" w:color="auto" w:fill="auto"/>
            <w:vAlign w:val="center"/>
          </w:tcPr>
          <w:p w14:paraId="5889813B"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Training and employability</w:t>
            </w:r>
          </w:p>
        </w:tc>
        <w:tc>
          <w:tcPr>
            <w:tcW w:w="3119" w:type="dxa"/>
            <w:shd w:val="clear" w:color="auto" w:fill="auto"/>
            <w:vAlign w:val="center"/>
          </w:tcPr>
          <w:p w14:paraId="2E2F9EFC"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CSR integration in curricula, future-oriented skills development</w:t>
            </w:r>
          </w:p>
        </w:tc>
        <w:tc>
          <w:tcPr>
            <w:tcW w:w="3118" w:type="dxa"/>
            <w:shd w:val="clear" w:color="auto" w:fill="auto"/>
            <w:vAlign w:val="center"/>
          </w:tcPr>
          <w:p w14:paraId="73F2E842"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Stronger alignment with green careers</w:t>
            </w:r>
          </w:p>
        </w:tc>
        <w:tc>
          <w:tcPr>
            <w:tcW w:w="2552" w:type="dxa"/>
            <w:shd w:val="clear" w:color="auto" w:fill="auto"/>
            <w:vAlign w:val="center"/>
          </w:tcPr>
          <w:p w14:paraId="48C52D74"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Alignment Reinforcement Gap</w:t>
            </w:r>
          </w:p>
        </w:tc>
        <w:tc>
          <w:tcPr>
            <w:tcW w:w="2268" w:type="dxa"/>
            <w:shd w:val="clear" w:color="auto" w:fill="auto"/>
            <w:vAlign w:val="center"/>
          </w:tcPr>
          <w:p w14:paraId="4F6D902F" w14:textId="77777777" w:rsidR="00400443" w:rsidRPr="0048733A" w:rsidRDefault="00400443" w:rsidP="000B17E4">
            <w:pPr>
              <w:spacing w:after="0" w:line="240" w:lineRule="auto"/>
              <w:jc w:val="center"/>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Moderate</w:t>
            </w:r>
          </w:p>
        </w:tc>
      </w:tr>
      <w:tr w:rsidR="00400443" w:rsidRPr="0048733A" w14:paraId="70B2CB37" w14:textId="77777777" w:rsidTr="000B17E4">
        <w:trPr>
          <w:trHeight w:val="729"/>
        </w:trPr>
        <w:tc>
          <w:tcPr>
            <w:tcW w:w="988" w:type="dxa"/>
            <w:vMerge/>
            <w:shd w:val="clear" w:color="auto" w:fill="auto"/>
            <w:textDirection w:val="btLr"/>
            <w:vAlign w:val="center"/>
          </w:tcPr>
          <w:p w14:paraId="16865BF3" w14:textId="77777777" w:rsidR="00400443" w:rsidRPr="0048733A" w:rsidRDefault="00400443" w:rsidP="000B17E4">
            <w:pPr>
              <w:spacing w:after="0" w:line="240" w:lineRule="auto"/>
              <w:ind w:left="113" w:right="113"/>
              <w:jc w:val="center"/>
              <w:rPr>
                <w:rFonts w:asciiTheme="majorBidi" w:eastAsia="Times New Roman" w:hAnsiTheme="majorBidi" w:cstheme="majorBidi"/>
                <w:b/>
                <w:bCs/>
                <w:color w:val="000000"/>
                <w:sz w:val="24"/>
                <w:szCs w:val="24"/>
                <w:lang w:val="en-GB"/>
              </w:rPr>
            </w:pPr>
          </w:p>
        </w:tc>
        <w:tc>
          <w:tcPr>
            <w:tcW w:w="2409" w:type="dxa"/>
            <w:shd w:val="clear" w:color="auto" w:fill="auto"/>
            <w:vAlign w:val="center"/>
          </w:tcPr>
          <w:p w14:paraId="3B822F87"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Partnerships with companies</w:t>
            </w:r>
          </w:p>
        </w:tc>
        <w:tc>
          <w:tcPr>
            <w:tcW w:w="3119" w:type="dxa"/>
            <w:shd w:val="clear" w:color="auto" w:fill="auto"/>
            <w:vAlign w:val="center"/>
          </w:tcPr>
          <w:p w14:paraId="0C661501" w14:textId="77777777" w:rsidR="00400443" w:rsidRPr="0048733A" w:rsidRDefault="00400443" w:rsidP="000B17E4">
            <w:pPr>
              <w:spacing w:after="0" w:line="240" w:lineRule="auto"/>
              <w:rPr>
                <w:rFonts w:asciiTheme="majorBidi" w:eastAsia="Times New Roman" w:hAnsiTheme="majorBidi" w:cstheme="majorBidi"/>
                <w:sz w:val="24"/>
                <w:szCs w:val="24"/>
                <w:lang w:val="en-GB"/>
              </w:rPr>
            </w:pPr>
            <w:r w:rsidRPr="0048733A">
              <w:rPr>
                <w:rFonts w:asciiTheme="majorBidi" w:hAnsiTheme="majorBidi" w:cstheme="majorBidi"/>
                <w:sz w:val="24"/>
                <w:szCs w:val="24"/>
                <w:lang w:val="en-GB"/>
              </w:rPr>
              <w:t>Existing partnerships but not always sustainability-oriented</w:t>
            </w:r>
          </w:p>
        </w:tc>
        <w:tc>
          <w:tcPr>
            <w:tcW w:w="3118" w:type="dxa"/>
            <w:shd w:val="clear" w:color="auto" w:fill="auto"/>
            <w:vAlign w:val="center"/>
          </w:tcPr>
          <w:p w14:paraId="43407B5D" w14:textId="77777777" w:rsidR="00400443" w:rsidRPr="0048733A" w:rsidRDefault="00400443" w:rsidP="000B17E4">
            <w:pPr>
              <w:spacing w:after="0" w:line="240" w:lineRule="auto"/>
              <w:rPr>
                <w:rFonts w:asciiTheme="majorBidi" w:eastAsia="Times New Roman" w:hAnsiTheme="majorBidi" w:cstheme="majorBidi"/>
                <w:sz w:val="24"/>
                <w:szCs w:val="24"/>
                <w:lang w:val="en-GB"/>
              </w:rPr>
            </w:pPr>
            <w:r w:rsidRPr="0048733A">
              <w:rPr>
                <w:rFonts w:asciiTheme="majorBidi" w:hAnsiTheme="majorBidi" w:cstheme="majorBidi"/>
                <w:sz w:val="24"/>
                <w:szCs w:val="24"/>
                <w:lang w:val="en-GB"/>
              </w:rPr>
              <w:t>More responsible partnerships, certified companies, NGOs</w:t>
            </w:r>
          </w:p>
        </w:tc>
        <w:tc>
          <w:tcPr>
            <w:tcW w:w="2552" w:type="dxa"/>
            <w:shd w:val="clear" w:color="auto" w:fill="auto"/>
            <w:vAlign w:val="center"/>
          </w:tcPr>
          <w:p w14:paraId="1BC97AE0" w14:textId="77777777" w:rsidR="00400443" w:rsidRPr="0048733A" w:rsidRDefault="00400443" w:rsidP="000B17E4">
            <w:pPr>
              <w:spacing w:after="0" w:line="240" w:lineRule="auto"/>
              <w:rPr>
                <w:rFonts w:asciiTheme="majorBidi" w:eastAsia="Times New Roman" w:hAnsiTheme="majorBidi" w:cstheme="majorBidi"/>
                <w:sz w:val="24"/>
                <w:szCs w:val="24"/>
                <w:lang w:val="en-GB"/>
              </w:rPr>
            </w:pPr>
            <w:r w:rsidRPr="0048733A">
              <w:rPr>
                <w:rFonts w:asciiTheme="majorBidi" w:hAnsiTheme="majorBidi" w:cstheme="majorBidi"/>
                <w:sz w:val="24"/>
                <w:szCs w:val="24"/>
                <w:lang w:val="en-GB"/>
              </w:rPr>
              <w:t>Support Gap</w:t>
            </w:r>
          </w:p>
        </w:tc>
        <w:tc>
          <w:tcPr>
            <w:tcW w:w="2268" w:type="dxa"/>
            <w:shd w:val="clear" w:color="auto" w:fill="auto"/>
            <w:vAlign w:val="center"/>
          </w:tcPr>
          <w:p w14:paraId="1B7B9FEB" w14:textId="77777777" w:rsidR="00400443" w:rsidRPr="0048733A" w:rsidRDefault="00400443" w:rsidP="000B17E4">
            <w:pPr>
              <w:spacing w:after="0" w:line="240" w:lineRule="auto"/>
              <w:jc w:val="center"/>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Moderate</w:t>
            </w:r>
          </w:p>
        </w:tc>
      </w:tr>
      <w:tr w:rsidR="00400443" w:rsidRPr="0048733A" w14:paraId="6A8BB6E0" w14:textId="77777777" w:rsidTr="000B17E4">
        <w:trPr>
          <w:trHeight w:val="639"/>
        </w:trPr>
        <w:tc>
          <w:tcPr>
            <w:tcW w:w="988" w:type="dxa"/>
            <w:vMerge/>
            <w:shd w:val="clear" w:color="auto" w:fill="auto"/>
            <w:vAlign w:val="center"/>
          </w:tcPr>
          <w:p w14:paraId="162AFCD0" w14:textId="77777777" w:rsidR="00400443" w:rsidRPr="0048733A" w:rsidRDefault="00400443" w:rsidP="000B17E4">
            <w:pPr>
              <w:spacing w:after="0" w:line="240" w:lineRule="auto"/>
              <w:jc w:val="center"/>
              <w:rPr>
                <w:rFonts w:asciiTheme="majorBidi" w:eastAsia="Times New Roman" w:hAnsiTheme="majorBidi" w:cstheme="majorBidi"/>
                <w:b/>
                <w:bCs/>
                <w:color w:val="000000"/>
                <w:sz w:val="24"/>
                <w:szCs w:val="24"/>
                <w:lang w:val="en-GB"/>
              </w:rPr>
            </w:pPr>
          </w:p>
        </w:tc>
        <w:tc>
          <w:tcPr>
            <w:tcW w:w="2409" w:type="dxa"/>
            <w:shd w:val="clear" w:color="auto" w:fill="auto"/>
            <w:vAlign w:val="center"/>
          </w:tcPr>
          <w:p w14:paraId="0A31668C"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Student projects in sustainable entrepreneurship</w:t>
            </w:r>
          </w:p>
        </w:tc>
        <w:tc>
          <w:tcPr>
            <w:tcW w:w="3119" w:type="dxa"/>
            <w:shd w:val="clear" w:color="auto" w:fill="auto"/>
            <w:vAlign w:val="center"/>
          </w:tcPr>
          <w:p w14:paraId="2437B811"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Existing sustainable student projects</w:t>
            </w:r>
          </w:p>
        </w:tc>
        <w:tc>
          <w:tcPr>
            <w:tcW w:w="3118" w:type="dxa"/>
            <w:shd w:val="clear" w:color="auto" w:fill="auto"/>
            <w:vAlign w:val="center"/>
          </w:tcPr>
          <w:p w14:paraId="089D284A"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Dedicated incubators, sustainability-focused internships</w:t>
            </w:r>
          </w:p>
        </w:tc>
        <w:tc>
          <w:tcPr>
            <w:tcW w:w="2552" w:type="dxa"/>
            <w:shd w:val="clear" w:color="auto" w:fill="auto"/>
            <w:vAlign w:val="center"/>
          </w:tcPr>
          <w:p w14:paraId="101F56A2" w14:textId="77777777" w:rsidR="00400443" w:rsidRPr="0048733A" w:rsidRDefault="00400443" w:rsidP="000B17E4">
            <w:pPr>
              <w:spacing w:after="0" w:line="240" w:lineRule="auto"/>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Support Gap</w:t>
            </w:r>
          </w:p>
        </w:tc>
        <w:tc>
          <w:tcPr>
            <w:tcW w:w="2268" w:type="dxa"/>
            <w:shd w:val="clear" w:color="auto" w:fill="auto"/>
            <w:vAlign w:val="center"/>
          </w:tcPr>
          <w:p w14:paraId="1D4B3DB9" w14:textId="77777777" w:rsidR="00400443" w:rsidRPr="0048733A" w:rsidRDefault="00400443" w:rsidP="000B17E4">
            <w:pPr>
              <w:spacing w:after="0" w:line="240" w:lineRule="auto"/>
              <w:jc w:val="center"/>
              <w:rPr>
                <w:rFonts w:asciiTheme="majorBidi" w:eastAsia="Times New Roman" w:hAnsiTheme="majorBidi" w:cstheme="majorBidi"/>
                <w:color w:val="000000"/>
                <w:sz w:val="24"/>
                <w:szCs w:val="24"/>
                <w:lang w:val="en-GB"/>
              </w:rPr>
            </w:pPr>
            <w:r w:rsidRPr="0048733A">
              <w:rPr>
                <w:rFonts w:asciiTheme="majorBidi" w:hAnsiTheme="majorBidi" w:cstheme="majorBidi"/>
                <w:sz w:val="24"/>
                <w:szCs w:val="24"/>
                <w:lang w:val="en-GB"/>
              </w:rPr>
              <w:t>Moderate</w:t>
            </w:r>
          </w:p>
        </w:tc>
      </w:tr>
      <w:tr w:rsidR="00400443" w:rsidRPr="0048733A" w14:paraId="708102F9" w14:textId="77777777" w:rsidTr="000B17E4">
        <w:trPr>
          <w:trHeight w:val="639"/>
        </w:trPr>
        <w:tc>
          <w:tcPr>
            <w:tcW w:w="988" w:type="dxa"/>
            <w:vMerge w:val="restart"/>
            <w:shd w:val="clear" w:color="auto" w:fill="auto"/>
            <w:textDirection w:val="btLr"/>
            <w:vAlign w:val="center"/>
          </w:tcPr>
          <w:p w14:paraId="0CF392F5" w14:textId="77777777" w:rsidR="00400443" w:rsidRPr="0048733A" w:rsidRDefault="00400443" w:rsidP="000B17E4">
            <w:pPr>
              <w:spacing w:after="0" w:line="240" w:lineRule="auto"/>
              <w:jc w:val="center"/>
              <w:rPr>
                <w:rFonts w:asciiTheme="majorBidi" w:eastAsia="Times New Roman" w:hAnsiTheme="majorBidi" w:cstheme="majorBidi"/>
                <w:b/>
                <w:bCs/>
                <w:color w:val="000000"/>
                <w:sz w:val="24"/>
                <w:szCs w:val="24"/>
                <w:lang w:val="en-GB"/>
              </w:rPr>
            </w:pPr>
            <w:r w:rsidRPr="0048733A">
              <w:rPr>
                <w:rFonts w:asciiTheme="majorBidi" w:hAnsiTheme="majorBidi" w:cstheme="majorBidi"/>
                <w:b/>
                <w:bCs/>
                <w:sz w:val="24"/>
                <w:szCs w:val="24"/>
                <w:lang w:val="en-GB"/>
              </w:rPr>
              <w:t>Responsible Financial Governance</w:t>
            </w:r>
          </w:p>
        </w:tc>
        <w:tc>
          <w:tcPr>
            <w:tcW w:w="2409" w:type="dxa"/>
            <w:shd w:val="clear" w:color="auto" w:fill="auto"/>
            <w:vAlign w:val="center"/>
          </w:tcPr>
          <w:p w14:paraId="775983D6"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Transparency in budgeting</w:t>
            </w:r>
          </w:p>
        </w:tc>
        <w:tc>
          <w:tcPr>
            <w:tcW w:w="3119" w:type="dxa"/>
            <w:shd w:val="clear" w:color="auto" w:fill="auto"/>
            <w:vAlign w:val="center"/>
          </w:tcPr>
          <w:p w14:paraId="4023A9D8"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Theme absent in perceptions (no explicit mention of budget transparency)</w:t>
            </w:r>
          </w:p>
        </w:tc>
        <w:tc>
          <w:tcPr>
            <w:tcW w:w="3118" w:type="dxa"/>
            <w:shd w:val="clear" w:color="auto" w:fill="auto"/>
            <w:vAlign w:val="center"/>
          </w:tcPr>
          <w:p w14:paraId="33379C1C"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Dedicated sustainability budget, green funds, public financial reports, quantified indicators</w:t>
            </w:r>
          </w:p>
        </w:tc>
        <w:tc>
          <w:tcPr>
            <w:tcW w:w="2552" w:type="dxa"/>
            <w:shd w:val="clear" w:color="auto" w:fill="auto"/>
            <w:vAlign w:val="center"/>
          </w:tcPr>
          <w:p w14:paraId="776CB370"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Institutional Gap</w:t>
            </w:r>
          </w:p>
        </w:tc>
        <w:tc>
          <w:tcPr>
            <w:tcW w:w="2268" w:type="dxa"/>
            <w:shd w:val="clear" w:color="auto" w:fill="auto"/>
            <w:vAlign w:val="center"/>
          </w:tcPr>
          <w:p w14:paraId="202CC4A7" w14:textId="77777777" w:rsidR="00400443" w:rsidRPr="0048733A" w:rsidRDefault="00400443" w:rsidP="000B17E4">
            <w:pPr>
              <w:spacing w:after="0" w:line="240" w:lineRule="auto"/>
              <w:jc w:val="center"/>
              <w:rPr>
                <w:rFonts w:asciiTheme="majorBidi" w:hAnsiTheme="majorBidi" w:cstheme="majorBidi"/>
                <w:sz w:val="24"/>
                <w:szCs w:val="24"/>
                <w:lang w:val="en-GB"/>
              </w:rPr>
            </w:pPr>
            <w:r w:rsidRPr="0048733A">
              <w:rPr>
                <w:rFonts w:asciiTheme="majorBidi" w:eastAsia="Times New Roman" w:hAnsiTheme="majorBidi" w:cstheme="majorBidi"/>
                <w:color w:val="000000"/>
                <w:sz w:val="24"/>
                <w:szCs w:val="24"/>
                <w:lang w:val="en-GB"/>
              </w:rPr>
              <w:t>High</w:t>
            </w:r>
          </w:p>
        </w:tc>
      </w:tr>
      <w:tr w:rsidR="00400443" w:rsidRPr="0048733A" w14:paraId="27527BBE" w14:textId="77777777" w:rsidTr="000B17E4">
        <w:trPr>
          <w:trHeight w:val="639"/>
        </w:trPr>
        <w:tc>
          <w:tcPr>
            <w:tcW w:w="988" w:type="dxa"/>
            <w:vMerge/>
            <w:shd w:val="clear" w:color="auto" w:fill="auto"/>
            <w:vAlign w:val="center"/>
          </w:tcPr>
          <w:p w14:paraId="205BEF2A" w14:textId="77777777" w:rsidR="00400443" w:rsidRPr="0048733A" w:rsidRDefault="00400443" w:rsidP="000B17E4">
            <w:pPr>
              <w:spacing w:after="0" w:line="240" w:lineRule="auto"/>
              <w:jc w:val="center"/>
              <w:rPr>
                <w:rFonts w:asciiTheme="majorBidi" w:eastAsia="Times New Roman" w:hAnsiTheme="majorBidi" w:cstheme="majorBidi"/>
                <w:b/>
                <w:bCs/>
                <w:color w:val="000000"/>
                <w:sz w:val="24"/>
                <w:szCs w:val="24"/>
                <w:lang w:val="en-GB"/>
              </w:rPr>
            </w:pPr>
          </w:p>
        </w:tc>
        <w:tc>
          <w:tcPr>
            <w:tcW w:w="2409" w:type="dxa"/>
            <w:shd w:val="clear" w:color="auto" w:fill="auto"/>
            <w:vAlign w:val="center"/>
          </w:tcPr>
          <w:p w14:paraId="01F2D688" w14:textId="77777777" w:rsidR="00400443" w:rsidRPr="0048733A" w:rsidRDefault="00400443" w:rsidP="000B17E4">
            <w:pPr>
              <w:spacing w:after="0" w:line="240" w:lineRule="auto"/>
              <w:rPr>
                <w:rFonts w:asciiTheme="majorBidi" w:eastAsia="Times New Roman" w:hAnsiTheme="majorBidi" w:cstheme="majorBidi"/>
                <w:vanish/>
                <w:sz w:val="24"/>
                <w:szCs w:val="24"/>
                <w:lang w:val="en-GB"/>
              </w:rPr>
            </w:pPr>
          </w:p>
          <w:p w14:paraId="5C1CE2B1"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eastAsia="Times New Roman" w:hAnsiTheme="majorBidi" w:cstheme="majorBidi"/>
                <w:color w:val="000000"/>
                <w:sz w:val="24"/>
                <w:szCs w:val="24"/>
                <w:lang w:val="en-GB"/>
              </w:rPr>
              <w:t>Communication on results</w:t>
            </w:r>
          </w:p>
        </w:tc>
        <w:tc>
          <w:tcPr>
            <w:tcW w:w="3119" w:type="dxa"/>
            <w:shd w:val="clear" w:color="auto" w:fill="auto"/>
            <w:vAlign w:val="center"/>
          </w:tcPr>
          <w:p w14:paraId="5B317E7D"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Theme absent in perceptions</w:t>
            </w:r>
          </w:p>
        </w:tc>
        <w:tc>
          <w:tcPr>
            <w:tcW w:w="3118" w:type="dxa"/>
            <w:shd w:val="clear" w:color="auto" w:fill="auto"/>
            <w:vAlign w:val="center"/>
          </w:tcPr>
          <w:p w14:paraId="14CE5841"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Clear communication strategy, annual CSR report, publication of results</w:t>
            </w:r>
          </w:p>
        </w:tc>
        <w:tc>
          <w:tcPr>
            <w:tcW w:w="2552" w:type="dxa"/>
            <w:shd w:val="clear" w:color="auto" w:fill="auto"/>
            <w:vAlign w:val="center"/>
          </w:tcPr>
          <w:p w14:paraId="4B1C7D18"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Institutional Gap</w:t>
            </w:r>
          </w:p>
        </w:tc>
        <w:tc>
          <w:tcPr>
            <w:tcW w:w="2268" w:type="dxa"/>
            <w:shd w:val="clear" w:color="auto" w:fill="auto"/>
            <w:vAlign w:val="center"/>
          </w:tcPr>
          <w:p w14:paraId="1EF7E680" w14:textId="77777777" w:rsidR="00400443" w:rsidRPr="0048733A" w:rsidRDefault="00400443" w:rsidP="000B17E4">
            <w:pPr>
              <w:spacing w:after="0" w:line="240" w:lineRule="auto"/>
              <w:jc w:val="center"/>
              <w:rPr>
                <w:rFonts w:asciiTheme="majorBidi" w:hAnsiTheme="majorBidi" w:cstheme="majorBidi"/>
                <w:sz w:val="24"/>
                <w:szCs w:val="24"/>
                <w:lang w:val="en-GB"/>
              </w:rPr>
            </w:pPr>
            <w:r w:rsidRPr="0048733A">
              <w:rPr>
                <w:rFonts w:asciiTheme="majorBidi" w:hAnsiTheme="majorBidi" w:cstheme="majorBidi"/>
                <w:sz w:val="24"/>
                <w:szCs w:val="24"/>
                <w:lang w:val="en-GB"/>
              </w:rPr>
              <w:t>High</w:t>
            </w:r>
          </w:p>
        </w:tc>
      </w:tr>
      <w:tr w:rsidR="00400443" w:rsidRPr="0048733A" w14:paraId="13DE8FD8" w14:textId="77777777" w:rsidTr="000B17E4">
        <w:trPr>
          <w:trHeight w:val="639"/>
        </w:trPr>
        <w:tc>
          <w:tcPr>
            <w:tcW w:w="988" w:type="dxa"/>
            <w:vMerge w:val="restart"/>
            <w:shd w:val="clear" w:color="auto" w:fill="auto"/>
            <w:textDirection w:val="btLr"/>
            <w:vAlign w:val="center"/>
          </w:tcPr>
          <w:p w14:paraId="2261E731" w14:textId="77777777" w:rsidR="00400443" w:rsidRPr="0048733A" w:rsidRDefault="00400443" w:rsidP="000B17E4">
            <w:pPr>
              <w:spacing w:after="0" w:line="240" w:lineRule="auto"/>
              <w:jc w:val="center"/>
              <w:rPr>
                <w:rFonts w:asciiTheme="majorBidi" w:eastAsia="Times New Roman" w:hAnsiTheme="majorBidi" w:cstheme="majorBidi"/>
                <w:b/>
                <w:bCs/>
                <w:color w:val="000000"/>
                <w:sz w:val="24"/>
                <w:szCs w:val="24"/>
                <w:lang w:val="en-GB"/>
              </w:rPr>
            </w:pPr>
            <w:r w:rsidRPr="0048733A">
              <w:rPr>
                <w:rFonts w:asciiTheme="majorBidi" w:hAnsiTheme="majorBidi" w:cstheme="majorBidi"/>
                <w:b/>
                <w:bCs/>
                <w:sz w:val="24"/>
                <w:szCs w:val="24"/>
                <w:lang w:val="en-GB"/>
              </w:rPr>
              <w:lastRenderedPageBreak/>
              <w:t>Responsible Investment</w:t>
            </w:r>
          </w:p>
        </w:tc>
        <w:tc>
          <w:tcPr>
            <w:tcW w:w="2409" w:type="dxa"/>
            <w:shd w:val="clear" w:color="auto" w:fill="auto"/>
            <w:vAlign w:val="center"/>
          </w:tcPr>
          <w:p w14:paraId="20EEFB00"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Green budgets</w:t>
            </w:r>
          </w:p>
        </w:tc>
        <w:tc>
          <w:tcPr>
            <w:tcW w:w="3119" w:type="dxa"/>
            <w:shd w:val="clear" w:color="auto" w:fill="auto"/>
            <w:vAlign w:val="center"/>
          </w:tcPr>
          <w:p w14:paraId="0B1FEB52"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No explicitly identified “green budget”</w:t>
            </w:r>
          </w:p>
        </w:tc>
        <w:tc>
          <w:tcPr>
            <w:tcW w:w="3118" w:type="dxa"/>
            <w:shd w:val="clear" w:color="auto" w:fill="auto"/>
            <w:vAlign w:val="center"/>
          </w:tcPr>
          <w:p w14:paraId="629364BB"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Creation of institutionalized green funds, dedicated sustainability budget line</w:t>
            </w:r>
          </w:p>
        </w:tc>
        <w:tc>
          <w:tcPr>
            <w:tcW w:w="2552" w:type="dxa"/>
            <w:shd w:val="clear" w:color="auto" w:fill="auto"/>
            <w:vAlign w:val="center"/>
          </w:tcPr>
          <w:p w14:paraId="4B8C3FC3"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Strategic Gap</w:t>
            </w:r>
          </w:p>
        </w:tc>
        <w:tc>
          <w:tcPr>
            <w:tcW w:w="2268" w:type="dxa"/>
            <w:shd w:val="clear" w:color="auto" w:fill="auto"/>
            <w:vAlign w:val="center"/>
          </w:tcPr>
          <w:p w14:paraId="5E76EFE8" w14:textId="77777777" w:rsidR="00400443" w:rsidRPr="0048733A" w:rsidRDefault="00400443" w:rsidP="000B17E4">
            <w:pPr>
              <w:spacing w:after="0" w:line="240" w:lineRule="auto"/>
              <w:jc w:val="center"/>
              <w:rPr>
                <w:rFonts w:asciiTheme="majorBidi" w:hAnsiTheme="majorBidi" w:cstheme="majorBidi"/>
                <w:sz w:val="24"/>
                <w:szCs w:val="24"/>
                <w:lang w:val="en-GB"/>
              </w:rPr>
            </w:pPr>
            <w:r w:rsidRPr="0048733A">
              <w:rPr>
                <w:rFonts w:asciiTheme="majorBidi" w:hAnsiTheme="majorBidi" w:cstheme="majorBidi"/>
                <w:sz w:val="24"/>
                <w:szCs w:val="24"/>
                <w:lang w:val="en-GB"/>
              </w:rPr>
              <w:t>High</w:t>
            </w:r>
          </w:p>
        </w:tc>
      </w:tr>
      <w:tr w:rsidR="00400443" w:rsidRPr="0048733A" w14:paraId="4BF96250" w14:textId="77777777" w:rsidTr="000B17E4">
        <w:trPr>
          <w:trHeight w:val="639"/>
        </w:trPr>
        <w:tc>
          <w:tcPr>
            <w:tcW w:w="988" w:type="dxa"/>
            <w:vMerge/>
            <w:shd w:val="clear" w:color="auto" w:fill="auto"/>
            <w:vAlign w:val="center"/>
          </w:tcPr>
          <w:p w14:paraId="5C410EE9" w14:textId="77777777" w:rsidR="00400443" w:rsidRPr="0048733A" w:rsidRDefault="00400443" w:rsidP="000B17E4">
            <w:pPr>
              <w:spacing w:after="0" w:line="240" w:lineRule="auto"/>
              <w:jc w:val="center"/>
              <w:rPr>
                <w:rFonts w:asciiTheme="majorBidi" w:eastAsia="Times New Roman" w:hAnsiTheme="majorBidi" w:cstheme="majorBidi"/>
                <w:b/>
                <w:bCs/>
                <w:color w:val="000000"/>
                <w:sz w:val="24"/>
                <w:szCs w:val="24"/>
                <w:lang w:val="en-GB"/>
              </w:rPr>
            </w:pPr>
          </w:p>
        </w:tc>
        <w:tc>
          <w:tcPr>
            <w:tcW w:w="2409" w:type="dxa"/>
            <w:shd w:val="clear" w:color="auto" w:fill="auto"/>
            <w:vAlign w:val="center"/>
          </w:tcPr>
          <w:p w14:paraId="46E5D863"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Ecological investments</w:t>
            </w:r>
          </w:p>
        </w:tc>
        <w:tc>
          <w:tcPr>
            <w:tcW w:w="3119" w:type="dxa"/>
            <w:shd w:val="clear" w:color="auto" w:fill="auto"/>
            <w:vAlign w:val="center"/>
          </w:tcPr>
          <w:p w14:paraId="7AAB1C56"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 xml:space="preserve">Digitalization, resource optimization, </w:t>
            </w:r>
          </w:p>
        </w:tc>
        <w:tc>
          <w:tcPr>
            <w:tcW w:w="3118" w:type="dxa"/>
            <w:shd w:val="clear" w:color="auto" w:fill="auto"/>
            <w:vAlign w:val="center"/>
          </w:tcPr>
          <w:p w14:paraId="116B0F4C"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Strengthened ecological procurement policy, diversification of sustainable investments</w:t>
            </w:r>
          </w:p>
        </w:tc>
        <w:tc>
          <w:tcPr>
            <w:tcW w:w="2552" w:type="dxa"/>
            <w:shd w:val="clear" w:color="auto" w:fill="auto"/>
            <w:vAlign w:val="center"/>
          </w:tcPr>
          <w:p w14:paraId="53369A6B" w14:textId="77777777" w:rsidR="00400443" w:rsidRPr="0048733A" w:rsidRDefault="00400443" w:rsidP="000B17E4">
            <w:pPr>
              <w:spacing w:after="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Strategic Gap</w:t>
            </w:r>
          </w:p>
        </w:tc>
        <w:tc>
          <w:tcPr>
            <w:tcW w:w="2268" w:type="dxa"/>
            <w:shd w:val="clear" w:color="auto" w:fill="auto"/>
            <w:vAlign w:val="center"/>
          </w:tcPr>
          <w:p w14:paraId="70CEE378" w14:textId="77777777" w:rsidR="00400443" w:rsidRPr="0048733A" w:rsidRDefault="00400443" w:rsidP="000B17E4">
            <w:pPr>
              <w:spacing w:after="0" w:line="240" w:lineRule="auto"/>
              <w:jc w:val="center"/>
              <w:rPr>
                <w:rFonts w:asciiTheme="majorBidi" w:hAnsiTheme="majorBidi" w:cstheme="majorBidi"/>
                <w:sz w:val="24"/>
                <w:szCs w:val="24"/>
                <w:lang w:val="en-GB"/>
              </w:rPr>
            </w:pPr>
            <w:r w:rsidRPr="0048733A">
              <w:rPr>
                <w:rFonts w:asciiTheme="majorBidi" w:hAnsiTheme="majorBidi" w:cstheme="majorBidi"/>
                <w:sz w:val="24"/>
                <w:szCs w:val="24"/>
                <w:lang w:val="en-GB"/>
              </w:rPr>
              <w:t>Moderate</w:t>
            </w:r>
          </w:p>
        </w:tc>
      </w:tr>
    </w:tbl>
    <w:p w14:paraId="787916BE" w14:textId="586A81DD" w:rsidR="00400443" w:rsidRPr="0048733A" w:rsidRDefault="00400443">
      <w:pPr>
        <w:jc w:val="center"/>
        <w:rPr>
          <w:rFonts w:ascii="Times New Roman" w:eastAsia="Times New Roman" w:hAnsi="Times New Roman" w:cs="Times New Roman"/>
          <w:sz w:val="24"/>
          <w:szCs w:val="24"/>
          <w:lang w:val="en-GB"/>
        </w:rPr>
      </w:pPr>
    </w:p>
    <w:p w14:paraId="0904EB75" w14:textId="7CCFC66A" w:rsidR="00400443" w:rsidRPr="0048733A" w:rsidRDefault="00400443">
      <w:pPr>
        <w:jc w:val="center"/>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br w:type="page"/>
      </w:r>
    </w:p>
    <w:p w14:paraId="0628657F" w14:textId="77777777" w:rsidR="00400443" w:rsidRPr="0048733A" w:rsidRDefault="00400443">
      <w:pPr>
        <w:jc w:val="center"/>
        <w:rPr>
          <w:rFonts w:ascii="Times New Roman" w:eastAsia="Times New Roman" w:hAnsi="Times New Roman" w:cs="Times New Roman"/>
          <w:color w:val="00B050"/>
          <w:sz w:val="24"/>
          <w:szCs w:val="24"/>
          <w:lang w:val="en-GB"/>
        </w:rPr>
        <w:sectPr w:rsidR="00400443" w:rsidRPr="0048733A" w:rsidSect="00400443">
          <w:pgSz w:w="16838" w:h="11906" w:orient="landscape"/>
          <w:pgMar w:top="1417" w:right="1417" w:bottom="1417" w:left="1417" w:header="708" w:footer="708" w:gutter="0"/>
          <w:pgNumType w:start="1"/>
          <w:cols w:space="720"/>
          <w:docGrid w:linePitch="299"/>
        </w:sectPr>
      </w:pPr>
    </w:p>
    <w:p w14:paraId="49FBC1A6" w14:textId="5A40E1EF" w:rsidR="00400443" w:rsidRPr="0048733A" w:rsidRDefault="00400443">
      <w:pPr>
        <w:jc w:val="center"/>
        <w:rPr>
          <w:rFonts w:ascii="Times New Roman" w:eastAsia="Times New Roman" w:hAnsi="Times New Roman" w:cs="Times New Roman"/>
          <w:color w:val="00B050"/>
          <w:sz w:val="24"/>
          <w:szCs w:val="24"/>
          <w:lang w:val="en-GB"/>
        </w:rPr>
      </w:pPr>
    </w:p>
    <w:p w14:paraId="427C677B" w14:textId="77777777" w:rsidR="00810737" w:rsidRPr="0048733A" w:rsidRDefault="000B17E4">
      <w:pPr>
        <w:ind w:left="720"/>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b/>
          <w:bCs/>
          <w:sz w:val="24"/>
          <w:szCs w:val="24"/>
          <w:lang w:val="en-GB"/>
        </w:rPr>
        <w:t xml:space="preserve">  2- Social Expectation–Perception Gap</w:t>
      </w:r>
    </w:p>
    <w:p w14:paraId="399ABC37" w14:textId="77777777" w:rsidR="00810737" w:rsidRPr="0048733A" w:rsidRDefault="000B17E4">
      <w:pPr>
        <w:spacing w:before="240" w:after="240"/>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The analysis of the social dimension reveals a partial alignment between perceived initiatives and stakeholder expectations, yet with significant qualitative gaps. While respondents acknowledge the existence of inclusion efforts, student clubs, integration events, and community engagement activities, expectations tend to emphasize the need for greater institutionalization and structural reinforcement, particularly regarding psychological support services and anti-discrimination mechanisms. Perception gaps are mainly observed in the following themes: inclusion and equity, well-being and psychological support, and community engagement. The theme clubs and leisure activities is considered largely aligned with stakeholder expectations</w:t>
      </w:r>
    </w:p>
    <w:p w14:paraId="00335E5B" w14:textId="0AD4FC59" w:rsidR="00810737" w:rsidRPr="0048733A" w:rsidRDefault="000B17E4">
      <w:pPr>
        <w:pStyle w:val="Titre3"/>
        <w:spacing w:before="280" w:after="80" w:line="276" w:lineRule="auto"/>
        <w:jc w:val="both"/>
        <w:rPr>
          <w:b w:val="0"/>
          <w:bCs w:val="0"/>
          <w:sz w:val="24"/>
          <w:szCs w:val="24"/>
          <w:lang w:val="en-GB"/>
        </w:rPr>
      </w:pPr>
      <w:bookmarkStart w:id="1" w:name="_heading=h.avmado3du9j5" w:colFirst="0" w:colLast="0"/>
      <w:bookmarkEnd w:id="1"/>
      <w:r w:rsidRPr="0048733A">
        <w:rPr>
          <w:b w:val="0"/>
          <w:bCs w:val="0"/>
          <w:sz w:val="24"/>
          <w:szCs w:val="24"/>
          <w:lang w:val="en-GB"/>
        </w:rPr>
        <w:t xml:space="preserve">1- Formalization </w:t>
      </w:r>
      <w:r w:rsidR="0048733A" w:rsidRPr="0048733A">
        <w:rPr>
          <w:b w:val="0"/>
          <w:bCs w:val="0"/>
          <w:sz w:val="24"/>
          <w:szCs w:val="24"/>
          <w:lang w:val="en-GB"/>
        </w:rPr>
        <w:t>Gap:</w:t>
      </w:r>
      <w:r w:rsidRPr="0048733A">
        <w:rPr>
          <w:b w:val="0"/>
          <w:bCs w:val="0"/>
          <w:sz w:val="24"/>
          <w:szCs w:val="24"/>
          <w:lang w:val="en-GB"/>
        </w:rPr>
        <w:t xml:space="preserve">  Inclusion and Equity</w:t>
      </w:r>
    </w:p>
    <w:p w14:paraId="4DB76A67" w14:textId="77777777" w:rsidR="00810737" w:rsidRPr="0048733A" w:rsidRDefault="000B17E4">
      <w:pPr>
        <w:spacing w:before="240" w:after="240"/>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The comparison of perceived initiatives and stakeholder expectations regarding inclusion and equity reveals a primarily qualitative gap. Inclusion and equity constitute a central pillar of the social dimension. They are mainly reflected in integration events, awareness campaigns, and support mechanisms for students facing difficulties. This theme is the most visible and widely recognized by respondents. With 32 mentions, it represents the dominant component of perceived social sustainability. Among these actions, integration events are the most frequently cited (27 mentions), indicating that the institution prioritizes concrete and visible measures to promote diversity, inclusion, and cohesion on campus. These events serve as the main channel through which equity efforts are perceived.</w:t>
      </w:r>
    </w:p>
    <w:p w14:paraId="1079C4BE" w14:textId="77777777" w:rsidR="00810737" w:rsidRPr="0048733A" w:rsidRDefault="000B17E4">
      <w:pPr>
        <w:spacing w:before="240" w:after="240"/>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In contrast, awareness-raising initiatives and support for students in difficulty are less frequently mentioned, suggesting that, while such mechanisms exist, they are less developed or less visible to the university community. Students acknowledge efforts promoting integration and diversity through events, student clubs, campaigns, and certain anti-discrimination initiatives.</w:t>
      </w:r>
    </w:p>
    <w:p w14:paraId="2A7D6E4A" w14:textId="77777777" w:rsidR="00810737" w:rsidRPr="0048733A" w:rsidRDefault="000B17E4">
      <w:pPr>
        <w:spacing w:before="240" w:after="240"/>
        <w:jc w:val="both"/>
        <w:rPr>
          <w:lang w:val="en-GB"/>
        </w:rPr>
      </w:pPr>
      <w:r w:rsidRPr="0048733A">
        <w:rPr>
          <w:rFonts w:ascii="Times New Roman" w:eastAsia="Times New Roman" w:hAnsi="Times New Roman" w:cs="Times New Roman"/>
          <w:sz w:val="24"/>
          <w:szCs w:val="24"/>
          <w:lang w:val="en-GB"/>
        </w:rPr>
        <w:t>However, stakeholder expectations reflect a desire for greater formalization and institutionalization. Respondents call for structured anti-harassment programs, permanent mechanisms to combat discrimination, regular diversity training, and increased student participation in social decision-making. The observed gap, therefore, does not stem from a lack of initiatives but rather from the need to consolidate and strengthen existing actions.</w:t>
      </w:r>
    </w:p>
    <w:p w14:paraId="28FCC861" w14:textId="59379F54" w:rsidR="00810737" w:rsidRPr="0048733A" w:rsidRDefault="000B17E4">
      <w:pPr>
        <w:spacing w:before="240" w:after="240" w:line="276" w:lineRule="auto"/>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1</w:t>
      </w:r>
      <w:r w:rsidR="00D16435" w:rsidRPr="0048733A">
        <w:rPr>
          <w:rFonts w:ascii="Times New Roman" w:eastAsia="Times New Roman" w:hAnsi="Times New Roman" w:cs="Times New Roman"/>
          <w:sz w:val="24"/>
          <w:szCs w:val="24"/>
          <w:lang w:val="en-GB"/>
        </w:rPr>
        <w:t>- Structured</w:t>
      </w:r>
      <w:r w:rsidRPr="0048733A">
        <w:rPr>
          <w:rFonts w:ascii="Times New Roman" w:eastAsia="Times New Roman" w:hAnsi="Times New Roman" w:cs="Times New Roman"/>
          <w:sz w:val="24"/>
          <w:szCs w:val="24"/>
          <w:lang w:val="en-GB"/>
        </w:rPr>
        <w:t xml:space="preserve"> </w:t>
      </w:r>
      <w:r w:rsidR="00D16435" w:rsidRPr="0048733A">
        <w:rPr>
          <w:rFonts w:ascii="Times New Roman" w:eastAsia="Times New Roman" w:hAnsi="Times New Roman" w:cs="Times New Roman"/>
          <w:sz w:val="24"/>
          <w:szCs w:val="24"/>
          <w:lang w:val="en-GB"/>
        </w:rPr>
        <w:t>Gap:</w:t>
      </w:r>
      <w:r w:rsidRPr="0048733A">
        <w:rPr>
          <w:rFonts w:ascii="Times New Roman" w:eastAsia="Times New Roman" w:hAnsi="Times New Roman" w:cs="Times New Roman"/>
          <w:sz w:val="24"/>
          <w:szCs w:val="24"/>
          <w:lang w:val="en-GB"/>
        </w:rPr>
        <w:t xml:space="preserve">  Student Well-being</w:t>
      </w:r>
    </w:p>
    <w:p w14:paraId="049FED43" w14:textId="77777777" w:rsidR="00810737" w:rsidRPr="0048733A" w:rsidRDefault="000B17E4">
      <w:pPr>
        <w:spacing w:before="240" w:after="240" w:line="276" w:lineRule="auto"/>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Student well-being encompasses initiatives aimed at improving quality of life on campus, including psychological support, wellness activities, and dedicated events. While these measures exist, they are less prominently perceived than those related to inclusion. Psychological support, mentioned eight times in perceptions, indicates that mental health is recognized as an important component of university well-being. However, the relatively low frequency of mentions suggests that these services could be better structured, reinforced, and made more accessible.</w:t>
      </w:r>
    </w:p>
    <w:p w14:paraId="065DC36A" w14:textId="5C127EF9" w:rsidR="00810737" w:rsidRPr="0048733A" w:rsidRDefault="000B17E4">
      <w:pPr>
        <w:spacing w:before="240" w:after="240" w:line="276" w:lineRule="auto"/>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lastRenderedPageBreak/>
        <w:t xml:space="preserve">Stakeholder expectations, in contrast, highlight this sub-theme mentioned 26 times, emphasizing the need for a formal </w:t>
      </w:r>
      <w:r w:rsidR="006F5A68" w:rsidRPr="0048733A">
        <w:rPr>
          <w:rFonts w:ascii="Times New Roman" w:eastAsia="Times New Roman" w:hAnsi="Times New Roman" w:cs="Times New Roman"/>
          <w:sz w:val="24"/>
          <w:szCs w:val="24"/>
          <w:lang w:val="en-GB"/>
        </w:rPr>
        <w:t>counselling</w:t>
      </w:r>
      <w:r w:rsidRPr="0048733A">
        <w:rPr>
          <w:rFonts w:ascii="Times New Roman" w:eastAsia="Times New Roman" w:hAnsi="Times New Roman" w:cs="Times New Roman"/>
          <w:sz w:val="24"/>
          <w:szCs w:val="24"/>
          <w:lang w:val="en-GB"/>
        </w:rPr>
        <w:t xml:space="preserve"> unit, a permanent support </w:t>
      </w:r>
      <w:r w:rsidR="006F5A68" w:rsidRPr="0048733A">
        <w:rPr>
          <w:rFonts w:ascii="Times New Roman" w:eastAsia="Times New Roman" w:hAnsi="Times New Roman" w:cs="Times New Roman"/>
          <w:sz w:val="24"/>
          <w:szCs w:val="24"/>
          <w:lang w:val="en-GB"/>
        </w:rPr>
        <w:t>cente</w:t>
      </w:r>
      <w:r w:rsidR="006F5A68">
        <w:rPr>
          <w:rFonts w:ascii="Times New Roman" w:eastAsia="Times New Roman" w:hAnsi="Times New Roman" w:cs="Times New Roman"/>
          <w:sz w:val="24"/>
          <w:szCs w:val="24"/>
          <w:lang w:val="en-GB"/>
        </w:rPr>
        <w:t>r</w:t>
      </w:r>
      <w:r w:rsidRPr="0048733A">
        <w:rPr>
          <w:rFonts w:ascii="Times New Roman" w:eastAsia="Times New Roman" w:hAnsi="Times New Roman" w:cs="Times New Roman"/>
          <w:sz w:val="24"/>
          <w:szCs w:val="24"/>
          <w:lang w:val="en-GB"/>
        </w:rPr>
        <w:t>, and easier access to qualified professionals, particularly during exam periods.</w:t>
      </w:r>
    </w:p>
    <w:p w14:paraId="561E6318" w14:textId="0AE2E105" w:rsidR="00810737" w:rsidRPr="0048733A" w:rsidRDefault="000B17E4">
      <w:pPr>
        <w:spacing w:before="240" w:after="240" w:line="276" w:lineRule="auto"/>
        <w:ind w:left="600" w:right="600"/>
        <w:jc w:val="both"/>
        <w:rPr>
          <w:rFonts w:ascii="Times New Roman" w:eastAsia="Times New Roman" w:hAnsi="Times New Roman" w:cs="Times New Roman"/>
          <w:sz w:val="20"/>
          <w:szCs w:val="20"/>
          <w:lang w:val="en-GB"/>
        </w:rPr>
      </w:pPr>
      <w:r w:rsidRPr="0048733A">
        <w:rPr>
          <w:rFonts w:ascii="Times New Roman" w:eastAsia="Times New Roman" w:hAnsi="Times New Roman" w:cs="Times New Roman"/>
          <w:sz w:val="20"/>
          <w:szCs w:val="20"/>
          <w:lang w:val="en-GB"/>
        </w:rPr>
        <w:t xml:space="preserve">Establish a psychological </w:t>
      </w:r>
      <w:r w:rsidR="006F5A68" w:rsidRPr="0048733A">
        <w:rPr>
          <w:rFonts w:ascii="Times New Roman" w:eastAsia="Times New Roman" w:hAnsi="Times New Roman" w:cs="Times New Roman"/>
          <w:sz w:val="20"/>
          <w:szCs w:val="20"/>
          <w:lang w:val="en-GB"/>
        </w:rPr>
        <w:t>counselling</w:t>
      </w:r>
      <w:r w:rsidRPr="0048733A">
        <w:rPr>
          <w:rFonts w:ascii="Times New Roman" w:eastAsia="Times New Roman" w:hAnsi="Times New Roman" w:cs="Times New Roman"/>
          <w:sz w:val="20"/>
          <w:szCs w:val="20"/>
          <w:lang w:val="en-GB"/>
        </w:rPr>
        <w:t xml:space="preserve"> unit as a permanent support service, provide more training sessions and workshops for students, and implement more regular monitoring of academic stress.  (Respondent 15, Student)</w:t>
      </w:r>
    </w:p>
    <w:p w14:paraId="66CC624A" w14:textId="77777777" w:rsidR="00810737" w:rsidRPr="0048733A" w:rsidRDefault="000B17E4">
      <w:pPr>
        <w:spacing w:before="240" w:after="240" w:line="276" w:lineRule="auto"/>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Academic stress management also emerges as a priority expectation, with students requesting regular workshops, preventive strategies during high-pressure periods, and structured rather than ad hoc support. Broader aspects of campus life quality (including rest areas, clear communication of available services, and a balance between academic demands and personal well-being) reflect a desire for a more supportive environment that fosters overall development.</w:t>
      </w:r>
    </w:p>
    <w:p w14:paraId="49E3912A" w14:textId="77777777" w:rsidR="00810737" w:rsidRPr="0048733A" w:rsidRDefault="000B17E4">
      <w:pPr>
        <w:spacing w:before="240" w:after="240" w:line="276" w:lineRule="auto"/>
        <w:jc w:val="both"/>
        <w:rPr>
          <w:rFonts w:ascii="Times New Roman" w:eastAsia="Times New Roman" w:hAnsi="Times New Roman" w:cs="Times New Roman"/>
          <w:sz w:val="24"/>
          <w:szCs w:val="24"/>
          <w:lang w:val="en-GB"/>
        </w:rPr>
      </w:pPr>
      <w:r w:rsidRPr="0048733A">
        <w:rPr>
          <w:rFonts w:ascii="Times New Roman" w:eastAsia="Times New Roman" w:hAnsi="Times New Roman" w:cs="Times New Roman"/>
          <w:sz w:val="24"/>
          <w:szCs w:val="24"/>
          <w:lang w:val="en-GB"/>
        </w:rPr>
        <w:t xml:space="preserve">Overall, this gap can be characterized as a </w:t>
      </w:r>
      <w:r w:rsidRPr="0048733A">
        <w:rPr>
          <w:rFonts w:ascii="Times New Roman" w:eastAsia="Times New Roman" w:hAnsi="Times New Roman" w:cs="Times New Roman"/>
          <w:b/>
          <w:bCs/>
          <w:sz w:val="24"/>
          <w:szCs w:val="24"/>
          <w:lang w:val="en-GB"/>
        </w:rPr>
        <w:t>s</w:t>
      </w:r>
      <w:r w:rsidRPr="0048733A">
        <w:rPr>
          <w:rFonts w:ascii="Times New Roman" w:eastAsia="Times New Roman" w:hAnsi="Times New Roman" w:cs="Times New Roman"/>
          <w:sz w:val="24"/>
          <w:szCs w:val="24"/>
          <w:lang w:val="en-GB"/>
        </w:rPr>
        <w:t>tudent well-being structuring gap, where initiatives exist but require stronger organization and accessibility.</w:t>
      </w:r>
    </w:p>
    <w:p w14:paraId="3A44E1C2" w14:textId="56F96130" w:rsidR="00810737" w:rsidRPr="007B7487" w:rsidRDefault="000B17E4">
      <w:pPr>
        <w:spacing w:before="240" w:after="240"/>
        <w:jc w:val="both"/>
        <w:rPr>
          <w:rFonts w:ascii="Times New Roman" w:eastAsia="Times New Roman" w:hAnsi="Times New Roman" w:cs="Times New Roman"/>
          <w:i/>
          <w:iCs/>
          <w:sz w:val="24"/>
          <w:szCs w:val="24"/>
          <w:highlight w:val="white"/>
          <w:lang w:val="en-GB"/>
        </w:rPr>
      </w:pPr>
      <w:r w:rsidRPr="007B7487">
        <w:rPr>
          <w:rFonts w:ascii="Times New Roman" w:eastAsia="Times New Roman" w:hAnsi="Times New Roman" w:cs="Times New Roman"/>
          <w:i/>
          <w:iCs/>
          <w:sz w:val="24"/>
          <w:szCs w:val="24"/>
          <w:highlight w:val="white"/>
          <w:lang w:val="en-GB"/>
        </w:rPr>
        <w:t xml:space="preserve">Formalization </w:t>
      </w:r>
      <w:r w:rsidR="00D16435" w:rsidRPr="007B7487">
        <w:rPr>
          <w:rFonts w:ascii="Times New Roman" w:eastAsia="Times New Roman" w:hAnsi="Times New Roman" w:cs="Times New Roman"/>
          <w:i/>
          <w:iCs/>
          <w:sz w:val="24"/>
          <w:szCs w:val="24"/>
          <w:highlight w:val="white"/>
          <w:lang w:val="en-GB"/>
        </w:rPr>
        <w:t>Gap:</w:t>
      </w:r>
      <w:r w:rsidRPr="007B7487">
        <w:rPr>
          <w:rFonts w:ascii="Times New Roman" w:eastAsia="Times New Roman" w:hAnsi="Times New Roman" w:cs="Times New Roman"/>
          <w:i/>
          <w:iCs/>
          <w:sz w:val="24"/>
          <w:szCs w:val="24"/>
          <w:highlight w:val="white"/>
          <w:lang w:val="en-GB"/>
        </w:rPr>
        <w:t xml:space="preserve"> Community Engagement </w:t>
      </w:r>
    </w:p>
    <w:p w14:paraId="7F959FB9" w14:textId="77777777" w:rsidR="00810737" w:rsidRPr="0048733A" w:rsidRDefault="000B17E4">
      <w:pPr>
        <w:spacing w:before="240" w:after="240"/>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Community engagement, mentioned 16 times, is a relatively well-identified dimension, reflecting a positive perception of the institution’s involvement in socially and civically oriented actions. Analysis of this theme, through the sub-themes of volunteering and solidarity projects, reveals a gap in formalization between student perceptions and expectations. Respondents recognize a dynamic campus life, marked by active clubs, volunteering activities, fundraising efforts, and occasional solidarity events. However, these initiatives are largely perceived as episodic and dependent on the commitment of student organizations, rather than being part of a structured institutional strategy.</w:t>
      </w:r>
    </w:p>
    <w:p w14:paraId="2A1D6AA7" w14:textId="77777777" w:rsidR="00810737" w:rsidRPr="0048733A" w:rsidRDefault="000B17E4">
      <w:pPr>
        <w:spacing w:before="240" w:after="240"/>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Stakeholder expectations emphasize the need for more structured and regular volunteering opportunities, based on sustainable partnerships with NGOs, recurring solidarity projects with measurable impact, and better coordination between the administration and student associations. Additionally, students seek greater involvement in decision-making regarding the institution’s social and community orientations, particularly in the design and governance of socially impactful projects.</w:t>
      </w:r>
    </w:p>
    <w:p w14:paraId="4591589E" w14:textId="77777777" w:rsidR="00810737" w:rsidRPr="0048733A" w:rsidRDefault="000B17E4">
      <w:pPr>
        <w:spacing w:before="240" w:after="240"/>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Thus, the identified gap does not indicate an absence of initiatives but rather underscores the need for formalization of community engagement at the institutional level.</w:t>
      </w:r>
    </w:p>
    <w:p w14:paraId="740177F7" w14:textId="095CDDEF" w:rsidR="00810737" w:rsidRPr="007B7487" w:rsidRDefault="000B17E4">
      <w:pPr>
        <w:spacing w:before="280" w:after="280" w:line="240" w:lineRule="auto"/>
        <w:jc w:val="both"/>
        <w:rPr>
          <w:rFonts w:ascii="Times New Roman" w:eastAsia="Times New Roman" w:hAnsi="Times New Roman" w:cs="Times New Roman"/>
          <w:i/>
          <w:iCs/>
          <w:sz w:val="24"/>
          <w:szCs w:val="24"/>
          <w:highlight w:val="white"/>
          <w:lang w:val="en-GB"/>
        </w:rPr>
      </w:pPr>
      <w:r w:rsidRPr="007B7487">
        <w:rPr>
          <w:rFonts w:ascii="Times New Roman" w:eastAsia="Times New Roman" w:hAnsi="Times New Roman" w:cs="Times New Roman"/>
          <w:i/>
          <w:iCs/>
          <w:sz w:val="24"/>
          <w:szCs w:val="24"/>
          <w:highlight w:val="white"/>
          <w:lang w:val="en-GB"/>
        </w:rPr>
        <w:t>Alignment Reinforcement Gap: Culture &amp; Leisure</w:t>
      </w:r>
    </w:p>
    <w:p w14:paraId="77644560"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Culture and leisure encompass cultural activities, sports events, and student clubs, all of which actively contribute to campus life and social cohesion. While these initiatives are recognized, they are cited less frequently compared to other social sub-themes, suggesting potential for further development in promoting student participation and associative vitality.</w:t>
      </w:r>
    </w:p>
    <w:p w14:paraId="5CC65D73" w14:textId="039FE1C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 xml:space="preserve">Unlike other social sub-themes such as psychological support, anti-discrimination measures, and participation in decision-making, student clubs and leisure activities appear mainly in perceived initiatives and less in priority expectations. This indicates a high level of alignment between what is offered and what is expected. Students acknowledge a dynamic campus life, </w:t>
      </w:r>
      <w:r w:rsidRPr="0048733A">
        <w:rPr>
          <w:rFonts w:ascii="Times New Roman" w:eastAsia="Times New Roman" w:hAnsi="Times New Roman" w:cs="Times New Roman"/>
          <w:sz w:val="24"/>
          <w:szCs w:val="24"/>
          <w:highlight w:val="white"/>
          <w:lang w:val="en-GB"/>
        </w:rPr>
        <w:lastRenderedPageBreak/>
        <w:t xml:space="preserve">with cultural, sports, and integration activities, without expressing major demands for improvement. The gap in this area is therefore low or almost </w:t>
      </w:r>
      <w:r w:rsidR="007B7487" w:rsidRPr="0048733A">
        <w:rPr>
          <w:rFonts w:ascii="Times New Roman" w:eastAsia="Times New Roman" w:hAnsi="Times New Roman" w:cs="Times New Roman"/>
          <w:sz w:val="24"/>
          <w:szCs w:val="24"/>
          <w:highlight w:val="white"/>
          <w:lang w:val="en-GB"/>
        </w:rPr>
        <w:t>non-existent</w:t>
      </w:r>
      <w:r w:rsidRPr="0048733A">
        <w:rPr>
          <w:rFonts w:ascii="Times New Roman" w:eastAsia="Times New Roman" w:hAnsi="Times New Roman" w:cs="Times New Roman"/>
          <w:sz w:val="24"/>
          <w:szCs w:val="24"/>
          <w:highlight w:val="white"/>
          <w:lang w:val="en-GB"/>
        </w:rPr>
        <w:t>, indicating that culture and leisure represent a stable and well-aligned element within the social dimension of university sustainability.</w:t>
      </w:r>
    </w:p>
    <w:p w14:paraId="40FBDC12" w14:textId="77777777" w:rsidR="00810737" w:rsidRPr="0048733A" w:rsidRDefault="000B17E4">
      <w:pPr>
        <w:spacing w:before="240" w:after="240"/>
        <w:jc w:val="both"/>
        <w:rPr>
          <w:rFonts w:ascii="Times New Roman" w:eastAsia="Times New Roman" w:hAnsi="Times New Roman" w:cs="Times New Roman"/>
          <w:sz w:val="24"/>
          <w:szCs w:val="24"/>
          <w:lang w:val="en-GB"/>
        </w:rPr>
        <w:sectPr w:rsidR="00810737" w:rsidRPr="0048733A" w:rsidSect="00400443">
          <w:pgSz w:w="11906" w:h="16838"/>
          <w:pgMar w:top="1417" w:right="1417" w:bottom="1417" w:left="1417" w:header="708" w:footer="708" w:gutter="0"/>
          <w:pgNumType w:start="1"/>
          <w:cols w:space="720"/>
          <w:docGrid w:linePitch="299"/>
        </w:sectPr>
      </w:pPr>
      <w:r w:rsidRPr="0048733A">
        <w:rPr>
          <w:rFonts w:ascii="Times New Roman" w:eastAsia="Times New Roman" w:hAnsi="Times New Roman" w:cs="Times New Roman"/>
          <w:sz w:val="24"/>
          <w:szCs w:val="24"/>
          <w:lang w:val="en-GB"/>
        </w:rPr>
        <w:t>Overall, social sustainability is perceived positively, with strong recognition of actions related to inclusion. However, the analysis highlights an uneven structuring of initiatives, with some dimensions relying more on ad hoc and visible actions rather than fully consolidated institutional mechanisms.</w:t>
      </w:r>
    </w:p>
    <w:p w14:paraId="19366978" w14:textId="77777777" w:rsidR="00810737" w:rsidRPr="0048733A" w:rsidRDefault="00810737">
      <w:pPr>
        <w:widowControl w:val="0"/>
        <w:pBdr>
          <w:top w:val="nil"/>
          <w:left w:val="nil"/>
          <w:bottom w:val="nil"/>
          <w:right w:val="nil"/>
          <w:between w:val="nil"/>
        </w:pBdr>
        <w:spacing w:after="0" w:line="276" w:lineRule="auto"/>
        <w:rPr>
          <w:rFonts w:ascii="Times New Roman" w:eastAsia="Times New Roman" w:hAnsi="Times New Roman" w:cs="Times New Roman"/>
          <w:b/>
          <w:bCs/>
          <w:sz w:val="28"/>
          <w:szCs w:val="28"/>
          <w:lang w:val="en-GB"/>
        </w:rPr>
      </w:pPr>
    </w:p>
    <w:tbl>
      <w:tblPr>
        <w:tblStyle w:val="a0"/>
        <w:tblpPr w:leftFromText="141" w:rightFromText="141" w:vertAnchor="text" w:tblpY="1"/>
        <w:tblW w:w="144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5"/>
        <w:gridCol w:w="2268"/>
        <w:gridCol w:w="3165"/>
        <w:gridCol w:w="3166"/>
        <w:gridCol w:w="3166"/>
        <w:gridCol w:w="1843"/>
      </w:tblGrid>
      <w:tr w:rsidR="00810737" w:rsidRPr="0048733A" w14:paraId="1ADE90AB" w14:textId="77777777">
        <w:trPr>
          <w:trHeight w:val="450"/>
        </w:trPr>
        <w:tc>
          <w:tcPr>
            <w:tcW w:w="846" w:type="dxa"/>
            <w:vAlign w:val="bottom"/>
          </w:tcPr>
          <w:p w14:paraId="5778ECA5" w14:textId="77777777" w:rsidR="00810737" w:rsidRPr="0048733A" w:rsidRDefault="00810737">
            <w:pPr>
              <w:spacing w:after="0" w:line="240" w:lineRule="auto"/>
              <w:rPr>
                <w:rFonts w:ascii="Times New Roman" w:eastAsia="Times New Roman" w:hAnsi="Times New Roman" w:cs="Times New Roman"/>
                <w:sz w:val="24"/>
                <w:szCs w:val="24"/>
                <w:highlight w:val="white"/>
                <w:lang w:val="en-GB"/>
              </w:rPr>
            </w:pPr>
          </w:p>
        </w:tc>
        <w:tc>
          <w:tcPr>
            <w:tcW w:w="2268" w:type="dxa"/>
            <w:vAlign w:val="center"/>
          </w:tcPr>
          <w:p w14:paraId="551B5DCB" w14:textId="77777777" w:rsidR="00810737" w:rsidRPr="0048733A" w:rsidRDefault="000B17E4">
            <w:pPr>
              <w:spacing w:after="0" w:line="240" w:lineRule="auto"/>
              <w:jc w:val="center"/>
              <w:rPr>
                <w:rFonts w:ascii="Times New Roman" w:eastAsia="Times New Roman" w:hAnsi="Times New Roman" w:cs="Times New Roman"/>
                <w:b/>
                <w:bCs/>
                <w:highlight w:val="white"/>
                <w:lang w:val="en-GB"/>
              </w:rPr>
            </w:pPr>
            <w:r w:rsidRPr="0048733A">
              <w:rPr>
                <w:rFonts w:ascii="Times New Roman" w:eastAsia="Times New Roman" w:hAnsi="Times New Roman" w:cs="Times New Roman"/>
                <w:b/>
                <w:bCs/>
                <w:highlight w:val="white"/>
                <w:lang w:val="en-GB"/>
              </w:rPr>
              <w:t xml:space="preserve">Sub-theme </w:t>
            </w:r>
          </w:p>
        </w:tc>
        <w:tc>
          <w:tcPr>
            <w:tcW w:w="3165" w:type="dxa"/>
            <w:vAlign w:val="center"/>
          </w:tcPr>
          <w:p w14:paraId="15EA0526" w14:textId="77777777" w:rsidR="00810737" w:rsidRPr="0048733A" w:rsidRDefault="000B17E4">
            <w:pPr>
              <w:spacing w:after="0" w:line="240" w:lineRule="auto"/>
              <w:jc w:val="center"/>
              <w:rPr>
                <w:rFonts w:ascii="Times New Roman" w:eastAsia="Times New Roman" w:hAnsi="Times New Roman" w:cs="Times New Roman"/>
                <w:b/>
                <w:bCs/>
                <w:highlight w:val="white"/>
                <w:lang w:val="en-GB"/>
              </w:rPr>
            </w:pPr>
            <w:r w:rsidRPr="0048733A">
              <w:rPr>
                <w:rFonts w:ascii="Times New Roman" w:eastAsia="Times New Roman" w:hAnsi="Times New Roman" w:cs="Times New Roman"/>
                <w:b/>
                <w:bCs/>
                <w:highlight w:val="white"/>
                <w:lang w:val="en-GB"/>
              </w:rPr>
              <w:t>Perception (existing initiatives)</w:t>
            </w:r>
          </w:p>
        </w:tc>
        <w:tc>
          <w:tcPr>
            <w:tcW w:w="3166" w:type="dxa"/>
            <w:vAlign w:val="center"/>
          </w:tcPr>
          <w:p w14:paraId="4DD43275" w14:textId="77777777" w:rsidR="00810737" w:rsidRPr="0048733A" w:rsidRDefault="000B17E4">
            <w:pPr>
              <w:spacing w:after="0" w:line="240" w:lineRule="auto"/>
              <w:jc w:val="center"/>
              <w:rPr>
                <w:rFonts w:ascii="Times New Roman" w:eastAsia="Times New Roman" w:hAnsi="Times New Roman" w:cs="Times New Roman"/>
                <w:b/>
                <w:bCs/>
                <w:highlight w:val="white"/>
                <w:lang w:val="en-GB"/>
              </w:rPr>
            </w:pPr>
            <w:r w:rsidRPr="0048733A">
              <w:rPr>
                <w:rFonts w:ascii="Times New Roman" w:eastAsia="Times New Roman" w:hAnsi="Times New Roman" w:cs="Times New Roman"/>
                <w:b/>
                <w:bCs/>
                <w:highlight w:val="white"/>
                <w:lang w:val="en-GB"/>
              </w:rPr>
              <w:t>Priority expectations</w:t>
            </w:r>
          </w:p>
        </w:tc>
        <w:tc>
          <w:tcPr>
            <w:tcW w:w="3166" w:type="dxa"/>
            <w:vAlign w:val="center"/>
          </w:tcPr>
          <w:p w14:paraId="60A0A06C" w14:textId="77777777" w:rsidR="00810737" w:rsidRPr="0048733A" w:rsidRDefault="000B17E4">
            <w:pPr>
              <w:spacing w:after="0" w:line="240" w:lineRule="auto"/>
              <w:jc w:val="center"/>
              <w:rPr>
                <w:rFonts w:ascii="Times New Roman" w:eastAsia="Times New Roman" w:hAnsi="Times New Roman" w:cs="Times New Roman"/>
                <w:b/>
                <w:bCs/>
                <w:highlight w:val="white"/>
                <w:lang w:val="en-GB"/>
              </w:rPr>
            </w:pPr>
            <w:r w:rsidRPr="0048733A">
              <w:rPr>
                <w:rFonts w:ascii="Times New Roman" w:eastAsia="Times New Roman" w:hAnsi="Times New Roman" w:cs="Times New Roman"/>
                <w:b/>
                <w:bCs/>
                <w:highlight w:val="white"/>
                <w:lang w:val="en-GB"/>
              </w:rPr>
              <w:t>Nature of the Gap</w:t>
            </w:r>
          </w:p>
        </w:tc>
        <w:tc>
          <w:tcPr>
            <w:tcW w:w="1843" w:type="dxa"/>
            <w:vAlign w:val="center"/>
          </w:tcPr>
          <w:p w14:paraId="0D373AFC" w14:textId="77777777" w:rsidR="00810737" w:rsidRPr="0048733A" w:rsidRDefault="000B17E4">
            <w:pPr>
              <w:spacing w:after="0" w:line="240" w:lineRule="auto"/>
              <w:jc w:val="center"/>
              <w:rPr>
                <w:rFonts w:ascii="Times New Roman" w:eastAsia="Times New Roman" w:hAnsi="Times New Roman" w:cs="Times New Roman"/>
                <w:b/>
                <w:bCs/>
                <w:highlight w:val="white"/>
                <w:lang w:val="en-GB"/>
              </w:rPr>
            </w:pPr>
            <w:r w:rsidRPr="0048733A">
              <w:rPr>
                <w:rFonts w:ascii="Times New Roman" w:eastAsia="Times New Roman" w:hAnsi="Times New Roman" w:cs="Times New Roman"/>
                <w:b/>
                <w:bCs/>
                <w:highlight w:val="white"/>
                <w:lang w:val="en-GB"/>
              </w:rPr>
              <w:t>Gap level</w:t>
            </w:r>
          </w:p>
        </w:tc>
      </w:tr>
      <w:tr w:rsidR="00810737" w:rsidRPr="0048733A" w14:paraId="5A2D075C" w14:textId="77777777">
        <w:trPr>
          <w:trHeight w:val="900"/>
        </w:trPr>
        <w:tc>
          <w:tcPr>
            <w:tcW w:w="846" w:type="dxa"/>
            <w:vMerge w:val="restart"/>
            <w:vAlign w:val="center"/>
          </w:tcPr>
          <w:p w14:paraId="6760AFA9" w14:textId="77777777" w:rsidR="00810737" w:rsidRPr="0048733A" w:rsidRDefault="000B17E4">
            <w:pPr>
              <w:spacing w:after="0" w:line="240" w:lineRule="auto"/>
              <w:ind w:left="113" w:right="113"/>
              <w:jc w:val="center"/>
              <w:rPr>
                <w:rFonts w:ascii="Times New Roman" w:eastAsia="Times New Roman" w:hAnsi="Times New Roman" w:cs="Times New Roman"/>
                <w:b/>
                <w:bCs/>
                <w:sz w:val="24"/>
                <w:szCs w:val="24"/>
                <w:highlight w:val="white"/>
                <w:lang w:val="en-GB"/>
              </w:rPr>
            </w:pPr>
            <w:r w:rsidRPr="0048733A">
              <w:rPr>
                <w:rFonts w:ascii="Times New Roman" w:eastAsia="Times New Roman" w:hAnsi="Times New Roman" w:cs="Times New Roman"/>
                <w:b/>
                <w:bCs/>
                <w:sz w:val="24"/>
                <w:szCs w:val="24"/>
                <w:highlight w:val="white"/>
                <w:lang w:val="en-GB"/>
              </w:rPr>
              <w:t>Inclusion &amp; Equity</w:t>
            </w:r>
          </w:p>
        </w:tc>
        <w:tc>
          <w:tcPr>
            <w:tcW w:w="2268" w:type="dxa"/>
            <w:vAlign w:val="center"/>
          </w:tcPr>
          <w:p w14:paraId="033FC170"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Anti-discrimination and anti-harassment awareness, inclusion programs</w:t>
            </w:r>
          </w:p>
        </w:tc>
        <w:tc>
          <w:tcPr>
            <w:tcW w:w="3165" w:type="dxa"/>
            <w:vAlign w:val="center"/>
          </w:tcPr>
          <w:p w14:paraId="3FEC8D66"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Inclusion initiatives, awareness events, inclusive student clubs, equity promotion, occasional awareness campaigns</w:t>
            </w:r>
          </w:p>
        </w:tc>
        <w:tc>
          <w:tcPr>
            <w:tcW w:w="3166" w:type="dxa"/>
            <w:vAlign w:val="center"/>
          </w:tcPr>
          <w:p w14:paraId="70F9663C"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Stronger anti-discrimination programs, anti-harassment policies</w:t>
            </w:r>
          </w:p>
        </w:tc>
        <w:tc>
          <w:tcPr>
            <w:tcW w:w="3166" w:type="dxa"/>
            <w:vAlign w:val="center"/>
          </w:tcPr>
          <w:p w14:paraId="2AD3F705"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Formalization GAP : initiatives exist but lack institutional reinforcement</w:t>
            </w:r>
          </w:p>
        </w:tc>
        <w:tc>
          <w:tcPr>
            <w:tcW w:w="1843" w:type="dxa"/>
            <w:vAlign w:val="center"/>
          </w:tcPr>
          <w:p w14:paraId="20B851F6"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Moderate</w:t>
            </w:r>
          </w:p>
        </w:tc>
      </w:tr>
      <w:tr w:rsidR="00810737" w:rsidRPr="0048733A" w14:paraId="62BD715B" w14:textId="77777777">
        <w:trPr>
          <w:trHeight w:val="630"/>
        </w:trPr>
        <w:tc>
          <w:tcPr>
            <w:tcW w:w="846" w:type="dxa"/>
            <w:vMerge/>
            <w:vAlign w:val="center"/>
          </w:tcPr>
          <w:p w14:paraId="0C8028B8" w14:textId="77777777" w:rsidR="00810737" w:rsidRPr="0048733A" w:rsidRDefault="00810737">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highlight w:val="yellow"/>
                <w:lang w:val="en-GB"/>
              </w:rPr>
            </w:pPr>
          </w:p>
        </w:tc>
        <w:tc>
          <w:tcPr>
            <w:tcW w:w="2268" w:type="dxa"/>
            <w:vAlign w:val="center"/>
          </w:tcPr>
          <w:p w14:paraId="2BA6DB95"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Support for vulnerable students</w:t>
            </w:r>
          </w:p>
        </w:tc>
        <w:tc>
          <w:tcPr>
            <w:tcW w:w="3165" w:type="dxa"/>
            <w:vAlign w:val="center"/>
          </w:tcPr>
          <w:p w14:paraId="3B42BA92"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Support for students in academic difficulty</w:t>
            </w:r>
          </w:p>
        </w:tc>
        <w:tc>
          <w:tcPr>
            <w:tcW w:w="3166" w:type="dxa"/>
            <w:vAlign w:val="center"/>
          </w:tcPr>
          <w:p w14:paraId="09FC4BE8"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Increased accessibility and personalized academic support</w:t>
            </w:r>
          </w:p>
        </w:tc>
        <w:tc>
          <w:tcPr>
            <w:tcW w:w="3166" w:type="dxa"/>
            <w:vAlign w:val="center"/>
          </w:tcPr>
          <w:p w14:paraId="2EF8C718"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Gap in personalized academic support and accessibility</w:t>
            </w:r>
          </w:p>
        </w:tc>
        <w:tc>
          <w:tcPr>
            <w:tcW w:w="1843" w:type="dxa"/>
            <w:vAlign w:val="center"/>
          </w:tcPr>
          <w:p w14:paraId="18FAA5F5"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 xml:space="preserve">Moderate </w:t>
            </w:r>
          </w:p>
        </w:tc>
      </w:tr>
      <w:tr w:rsidR="00810737" w:rsidRPr="0048733A" w14:paraId="7114E10A" w14:textId="77777777">
        <w:trPr>
          <w:trHeight w:val="630"/>
        </w:trPr>
        <w:tc>
          <w:tcPr>
            <w:tcW w:w="846" w:type="dxa"/>
            <w:vMerge w:val="restart"/>
            <w:vAlign w:val="center"/>
          </w:tcPr>
          <w:p w14:paraId="18B2A998" w14:textId="77777777" w:rsidR="00810737" w:rsidRPr="0048733A" w:rsidRDefault="000B17E4">
            <w:pPr>
              <w:spacing w:after="0" w:line="240" w:lineRule="auto"/>
              <w:ind w:left="113" w:right="113"/>
              <w:jc w:val="center"/>
              <w:rPr>
                <w:rFonts w:ascii="Times New Roman" w:eastAsia="Times New Roman" w:hAnsi="Times New Roman" w:cs="Times New Roman"/>
                <w:b/>
                <w:bCs/>
                <w:sz w:val="24"/>
                <w:szCs w:val="24"/>
                <w:highlight w:val="white"/>
                <w:lang w:val="en-GB"/>
              </w:rPr>
            </w:pPr>
            <w:r w:rsidRPr="0048733A">
              <w:rPr>
                <w:rFonts w:ascii="Times New Roman" w:eastAsia="Times New Roman" w:hAnsi="Times New Roman" w:cs="Times New Roman"/>
                <w:b/>
                <w:bCs/>
                <w:sz w:val="24"/>
                <w:szCs w:val="24"/>
                <w:highlight w:val="white"/>
                <w:lang w:val="en-GB"/>
              </w:rPr>
              <w:t xml:space="preserve">Student Well-being  </w:t>
            </w:r>
          </w:p>
        </w:tc>
        <w:tc>
          <w:tcPr>
            <w:tcW w:w="2268" w:type="dxa"/>
            <w:vAlign w:val="center"/>
          </w:tcPr>
          <w:p w14:paraId="1920F786"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Listening &amp; Psychological support</w:t>
            </w:r>
          </w:p>
        </w:tc>
        <w:tc>
          <w:tcPr>
            <w:tcW w:w="3165" w:type="dxa"/>
            <w:vAlign w:val="center"/>
          </w:tcPr>
          <w:p w14:paraId="20C49836"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Some psychological support services, well-being activities, support for students in difficulty</w:t>
            </w:r>
          </w:p>
        </w:tc>
        <w:tc>
          <w:tcPr>
            <w:tcW w:w="3166" w:type="dxa"/>
            <w:vAlign w:val="center"/>
          </w:tcPr>
          <w:p w14:paraId="311022DD"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Permanent psychological support, listening unit, more psychologists, structured stress-management programs</w:t>
            </w:r>
          </w:p>
        </w:tc>
        <w:tc>
          <w:tcPr>
            <w:tcW w:w="3166" w:type="dxa"/>
            <w:vAlign w:val="center"/>
          </w:tcPr>
          <w:p w14:paraId="53164A8E"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Structured  GAP: demand for institutionalized, accessible, and continuous services</w:t>
            </w:r>
          </w:p>
        </w:tc>
        <w:tc>
          <w:tcPr>
            <w:tcW w:w="1843" w:type="dxa"/>
            <w:vAlign w:val="center"/>
          </w:tcPr>
          <w:p w14:paraId="1937145D"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 xml:space="preserve">High </w:t>
            </w:r>
          </w:p>
        </w:tc>
      </w:tr>
      <w:tr w:rsidR="00810737" w:rsidRPr="0048733A" w14:paraId="62D60530" w14:textId="77777777">
        <w:trPr>
          <w:trHeight w:val="630"/>
        </w:trPr>
        <w:tc>
          <w:tcPr>
            <w:tcW w:w="846" w:type="dxa"/>
            <w:vMerge/>
            <w:vAlign w:val="center"/>
          </w:tcPr>
          <w:p w14:paraId="490A31BF" w14:textId="77777777" w:rsidR="00810737" w:rsidRPr="0048733A" w:rsidRDefault="00810737">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highlight w:val="yellow"/>
                <w:lang w:val="en-GB"/>
              </w:rPr>
            </w:pPr>
          </w:p>
        </w:tc>
        <w:tc>
          <w:tcPr>
            <w:tcW w:w="2268" w:type="dxa"/>
            <w:vAlign w:val="center"/>
          </w:tcPr>
          <w:p w14:paraId="272342A2"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Well-being &amp; Stress Management</w:t>
            </w:r>
          </w:p>
        </w:tc>
        <w:tc>
          <w:tcPr>
            <w:tcW w:w="3165" w:type="dxa"/>
            <w:vAlign w:val="center"/>
          </w:tcPr>
          <w:p w14:paraId="0EBFF6F4"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Well-being events and student activities</w:t>
            </w:r>
          </w:p>
        </w:tc>
        <w:tc>
          <w:tcPr>
            <w:tcW w:w="3166" w:type="dxa"/>
            <w:vAlign w:val="center"/>
          </w:tcPr>
          <w:p w14:paraId="7571A7A8"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Regular stress-management workshops, rest spaces, academic stress monitoring</w:t>
            </w:r>
          </w:p>
        </w:tc>
        <w:tc>
          <w:tcPr>
            <w:tcW w:w="3166" w:type="dxa"/>
            <w:vAlign w:val="center"/>
          </w:tcPr>
          <w:p w14:paraId="2439E101"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Regularity GAP</w:t>
            </w:r>
          </w:p>
        </w:tc>
        <w:tc>
          <w:tcPr>
            <w:tcW w:w="1843" w:type="dxa"/>
            <w:vAlign w:val="center"/>
          </w:tcPr>
          <w:p w14:paraId="5B799856"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Moderate</w:t>
            </w:r>
          </w:p>
        </w:tc>
      </w:tr>
      <w:tr w:rsidR="00810737" w:rsidRPr="0048733A" w14:paraId="6DC8FD98" w14:textId="77777777">
        <w:trPr>
          <w:trHeight w:val="630"/>
        </w:trPr>
        <w:tc>
          <w:tcPr>
            <w:tcW w:w="846" w:type="dxa"/>
            <w:vMerge/>
            <w:vAlign w:val="center"/>
          </w:tcPr>
          <w:p w14:paraId="4791FC7F" w14:textId="77777777" w:rsidR="00810737" w:rsidRPr="0048733A" w:rsidRDefault="00810737">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highlight w:val="yellow"/>
                <w:lang w:val="en-GB"/>
              </w:rPr>
            </w:pPr>
          </w:p>
        </w:tc>
        <w:tc>
          <w:tcPr>
            <w:tcW w:w="2268" w:type="dxa"/>
            <w:vAlign w:val="center"/>
          </w:tcPr>
          <w:p w14:paraId="469069DB"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Student life &amp; Quality of life</w:t>
            </w:r>
          </w:p>
        </w:tc>
        <w:tc>
          <w:tcPr>
            <w:tcW w:w="3165" w:type="dxa"/>
            <w:vAlign w:val="center"/>
          </w:tcPr>
          <w:p w14:paraId="2D39C89B"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Occasional and informal activities</w:t>
            </w:r>
          </w:p>
        </w:tc>
        <w:tc>
          <w:tcPr>
            <w:tcW w:w="3166" w:type="dxa"/>
            <w:vAlign w:val="center"/>
          </w:tcPr>
          <w:p w14:paraId="1CD1B82E"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Enhanced follow-up during exams, regular mental health events</w:t>
            </w:r>
          </w:p>
        </w:tc>
        <w:tc>
          <w:tcPr>
            <w:tcW w:w="3166" w:type="dxa"/>
            <w:vAlign w:val="center"/>
          </w:tcPr>
          <w:p w14:paraId="34937655"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Structured GAP</w:t>
            </w:r>
          </w:p>
        </w:tc>
        <w:tc>
          <w:tcPr>
            <w:tcW w:w="1843" w:type="dxa"/>
            <w:vAlign w:val="center"/>
          </w:tcPr>
          <w:p w14:paraId="182F6882"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Moderate</w:t>
            </w:r>
          </w:p>
        </w:tc>
      </w:tr>
      <w:tr w:rsidR="00810737" w:rsidRPr="0048733A" w14:paraId="0645EAAD" w14:textId="77777777">
        <w:trPr>
          <w:trHeight w:val="735"/>
        </w:trPr>
        <w:tc>
          <w:tcPr>
            <w:tcW w:w="846" w:type="dxa"/>
            <w:vMerge w:val="restart"/>
            <w:vAlign w:val="center"/>
          </w:tcPr>
          <w:p w14:paraId="52B59D2A" w14:textId="77777777" w:rsidR="00810737" w:rsidRPr="0048733A" w:rsidRDefault="000B17E4">
            <w:pPr>
              <w:spacing w:after="0" w:line="240" w:lineRule="auto"/>
              <w:ind w:left="113" w:right="113"/>
              <w:jc w:val="center"/>
              <w:rPr>
                <w:rFonts w:ascii="Times New Roman" w:eastAsia="Times New Roman" w:hAnsi="Times New Roman" w:cs="Times New Roman"/>
                <w:b/>
                <w:bCs/>
                <w:sz w:val="24"/>
                <w:szCs w:val="24"/>
                <w:highlight w:val="white"/>
                <w:lang w:val="en-GB"/>
              </w:rPr>
            </w:pPr>
            <w:r w:rsidRPr="0048733A">
              <w:rPr>
                <w:rFonts w:ascii="Times New Roman" w:eastAsia="Times New Roman" w:hAnsi="Times New Roman" w:cs="Times New Roman"/>
                <w:b/>
                <w:bCs/>
                <w:sz w:val="24"/>
                <w:szCs w:val="24"/>
                <w:highlight w:val="white"/>
                <w:lang w:val="en-GB"/>
              </w:rPr>
              <w:t>Community Involvement</w:t>
            </w:r>
          </w:p>
        </w:tc>
        <w:tc>
          <w:tcPr>
            <w:tcW w:w="2268" w:type="dxa"/>
            <w:vAlign w:val="center"/>
          </w:tcPr>
          <w:p w14:paraId="1C5B324C"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Solidarity projects</w:t>
            </w:r>
          </w:p>
        </w:tc>
        <w:tc>
          <w:tcPr>
            <w:tcW w:w="3165" w:type="dxa"/>
            <w:vAlign w:val="center"/>
          </w:tcPr>
          <w:p w14:paraId="71A53F82"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Integration events, solidarity projects</w:t>
            </w:r>
          </w:p>
        </w:tc>
        <w:tc>
          <w:tcPr>
            <w:tcW w:w="3166" w:type="dxa"/>
            <w:vAlign w:val="center"/>
          </w:tcPr>
          <w:p w14:paraId="6B825D61"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Expanded social projects, NGO partnerships, broader engagement opportunities</w:t>
            </w:r>
          </w:p>
        </w:tc>
        <w:tc>
          <w:tcPr>
            <w:tcW w:w="3166" w:type="dxa"/>
            <w:vAlign w:val="center"/>
          </w:tcPr>
          <w:p w14:paraId="03453586"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Alignment Reinforcement Gap/ convergence exists, but expectations call for scaling and diversification</w:t>
            </w:r>
          </w:p>
        </w:tc>
        <w:tc>
          <w:tcPr>
            <w:tcW w:w="1843" w:type="dxa"/>
            <w:vAlign w:val="center"/>
          </w:tcPr>
          <w:p w14:paraId="1122FCB8"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Moderate</w:t>
            </w:r>
          </w:p>
        </w:tc>
      </w:tr>
      <w:tr w:rsidR="00810737" w:rsidRPr="0048733A" w14:paraId="195AB390" w14:textId="77777777">
        <w:trPr>
          <w:trHeight w:val="729"/>
        </w:trPr>
        <w:tc>
          <w:tcPr>
            <w:tcW w:w="846" w:type="dxa"/>
            <w:vMerge/>
            <w:vAlign w:val="center"/>
          </w:tcPr>
          <w:p w14:paraId="4348B26F" w14:textId="77777777" w:rsidR="00810737" w:rsidRPr="0048733A" w:rsidRDefault="00810737">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highlight w:val="yellow"/>
                <w:lang w:val="en-GB"/>
              </w:rPr>
            </w:pPr>
          </w:p>
        </w:tc>
        <w:tc>
          <w:tcPr>
            <w:tcW w:w="2268" w:type="dxa"/>
            <w:vAlign w:val="center"/>
          </w:tcPr>
          <w:p w14:paraId="56F22005"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Volunteering</w:t>
            </w:r>
          </w:p>
        </w:tc>
        <w:tc>
          <w:tcPr>
            <w:tcW w:w="3165" w:type="dxa"/>
            <w:vAlign w:val="center"/>
          </w:tcPr>
          <w:p w14:paraId="21C33589"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Volunteer initiatives</w:t>
            </w:r>
          </w:p>
        </w:tc>
        <w:tc>
          <w:tcPr>
            <w:tcW w:w="3166" w:type="dxa"/>
            <w:vAlign w:val="center"/>
          </w:tcPr>
          <w:p w14:paraId="58E99AD1"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Structured volunteer programs with recognition, broader student participation</w:t>
            </w:r>
          </w:p>
        </w:tc>
        <w:tc>
          <w:tcPr>
            <w:tcW w:w="3166" w:type="dxa"/>
            <w:vAlign w:val="center"/>
          </w:tcPr>
          <w:p w14:paraId="14E519CC"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Formalization GAP</w:t>
            </w:r>
          </w:p>
        </w:tc>
        <w:tc>
          <w:tcPr>
            <w:tcW w:w="1843" w:type="dxa"/>
            <w:vAlign w:val="center"/>
          </w:tcPr>
          <w:p w14:paraId="341B60BB"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Moderate</w:t>
            </w:r>
          </w:p>
        </w:tc>
      </w:tr>
      <w:tr w:rsidR="00810737" w:rsidRPr="0048733A" w14:paraId="2F27A247" w14:textId="77777777">
        <w:trPr>
          <w:trHeight w:val="87"/>
        </w:trPr>
        <w:tc>
          <w:tcPr>
            <w:tcW w:w="846" w:type="dxa"/>
            <w:vMerge/>
            <w:vAlign w:val="center"/>
          </w:tcPr>
          <w:p w14:paraId="47A755AE" w14:textId="77777777" w:rsidR="00810737" w:rsidRPr="0048733A" w:rsidRDefault="00810737">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highlight w:val="yellow"/>
                <w:lang w:val="en-GB"/>
              </w:rPr>
            </w:pPr>
          </w:p>
        </w:tc>
        <w:tc>
          <w:tcPr>
            <w:tcW w:w="2268" w:type="dxa"/>
            <w:vAlign w:val="center"/>
          </w:tcPr>
          <w:p w14:paraId="798EE127"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Student involvement in decision-making</w:t>
            </w:r>
          </w:p>
        </w:tc>
        <w:tc>
          <w:tcPr>
            <w:tcW w:w="3165" w:type="dxa"/>
            <w:vAlign w:val="center"/>
          </w:tcPr>
          <w:p w14:paraId="7960996A"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Some student representation in committees</w:t>
            </w:r>
          </w:p>
        </w:tc>
        <w:tc>
          <w:tcPr>
            <w:tcW w:w="3166" w:type="dxa"/>
            <w:vAlign w:val="center"/>
          </w:tcPr>
          <w:p w14:paraId="09EA6847"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Greater involvement in decision-making processes</w:t>
            </w:r>
          </w:p>
        </w:tc>
        <w:tc>
          <w:tcPr>
            <w:tcW w:w="3166" w:type="dxa"/>
            <w:vAlign w:val="center"/>
          </w:tcPr>
          <w:p w14:paraId="00AF2D82"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 xml:space="preserve">Formalization GAP </w:t>
            </w:r>
          </w:p>
        </w:tc>
        <w:tc>
          <w:tcPr>
            <w:tcW w:w="1843" w:type="dxa"/>
            <w:vAlign w:val="center"/>
          </w:tcPr>
          <w:p w14:paraId="5B71932A"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Moderate</w:t>
            </w:r>
          </w:p>
        </w:tc>
      </w:tr>
      <w:tr w:rsidR="00810737" w:rsidRPr="0048733A" w14:paraId="53712B54" w14:textId="77777777">
        <w:trPr>
          <w:trHeight w:val="87"/>
        </w:trPr>
        <w:tc>
          <w:tcPr>
            <w:tcW w:w="846" w:type="dxa"/>
            <w:vAlign w:val="center"/>
          </w:tcPr>
          <w:p w14:paraId="1E8951F1" w14:textId="77777777" w:rsidR="00810737" w:rsidRPr="0048733A" w:rsidRDefault="000B17E4">
            <w:pPr>
              <w:spacing w:after="0" w:line="240" w:lineRule="auto"/>
              <w:jc w:val="center"/>
              <w:rPr>
                <w:rFonts w:ascii="Times New Roman" w:eastAsia="Times New Roman" w:hAnsi="Times New Roman" w:cs="Times New Roman"/>
                <w:b/>
                <w:bCs/>
                <w:sz w:val="24"/>
                <w:szCs w:val="24"/>
                <w:highlight w:val="white"/>
                <w:lang w:val="en-GB"/>
              </w:rPr>
            </w:pPr>
            <w:r w:rsidRPr="0048733A">
              <w:rPr>
                <w:rFonts w:ascii="Times New Roman" w:eastAsia="Times New Roman" w:hAnsi="Times New Roman" w:cs="Times New Roman"/>
                <w:b/>
                <w:bCs/>
                <w:sz w:val="24"/>
                <w:szCs w:val="24"/>
                <w:highlight w:val="white"/>
                <w:lang w:val="en-GB"/>
              </w:rPr>
              <w:t>Clubs &amp; Leisure</w:t>
            </w:r>
          </w:p>
        </w:tc>
        <w:tc>
          <w:tcPr>
            <w:tcW w:w="2268" w:type="dxa"/>
            <w:vAlign w:val="center"/>
          </w:tcPr>
          <w:p w14:paraId="15193D5B"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Cultural and sports clubs</w:t>
            </w:r>
          </w:p>
        </w:tc>
        <w:tc>
          <w:tcPr>
            <w:tcW w:w="3165" w:type="dxa"/>
            <w:vAlign w:val="center"/>
          </w:tcPr>
          <w:p w14:paraId="04538562"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Cultural and sports clubs, student events, leisure activities</w:t>
            </w:r>
          </w:p>
        </w:tc>
        <w:tc>
          <w:tcPr>
            <w:tcW w:w="3166" w:type="dxa"/>
            <w:vAlign w:val="center"/>
          </w:tcPr>
          <w:p w14:paraId="1330B25B"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Rest spaces, reinforcement and diversification of activities</w:t>
            </w:r>
          </w:p>
        </w:tc>
        <w:tc>
          <w:tcPr>
            <w:tcW w:w="3166" w:type="dxa"/>
            <w:vAlign w:val="center"/>
          </w:tcPr>
          <w:p w14:paraId="4E3717E9" w14:textId="77777777" w:rsidR="00810737" w:rsidRPr="0048733A" w:rsidRDefault="000B17E4">
            <w:pPr>
              <w:spacing w:before="280" w:after="28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Alignment Reinforcement Gap</w:t>
            </w:r>
          </w:p>
        </w:tc>
        <w:tc>
          <w:tcPr>
            <w:tcW w:w="1843" w:type="dxa"/>
            <w:vAlign w:val="center"/>
          </w:tcPr>
          <w:p w14:paraId="329D3118" w14:textId="77777777" w:rsidR="00810737" w:rsidRPr="0048733A" w:rsidRDefault="000B17E4">
            <w:pPr>
              <w:spacing w:after="0" w:line="240" w:lineRule="auto"/>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 xml:space="preserve">Low </w:t>
            </w:r>
          </w:p>
        </w:tc>
      </w:tr>
    </w:tbl>
    <w:p w14:paraId="3798058A" w14:textId="77777777" w:rsidR="00810737" w:rsidRPr="0048733A" w:rsidRDefault="00810737">
      <w:pPr>
        <w:rPr>
          <w:lang w:val="en-GB"/>
        </w:rPr>
        <w:sectPr w:rsidR="00810737" w:rsidRPr="0048733A">
          <w:pgSz w:w="16838" w:h="11906" w:orient="landscape"/>
          <w:pgMar w:top="1417" w:right="1417" w:bottom="1417" w:left="1417" w:header="708" w:footer="708" w:gutter="0"/>
          <w:cols w:space="720"/>
        </w:sectPr>
      </w:pPr>
    </w:p>
    <w:p w14:paraId="5E1958AC" w14:textId="77777777" w:rsidR="00810737" w:rsidRPr="0048733A" w:rsidRDefault="00810737">
      <w:pPr>
        <w:rPr>
          <w:rFonts w:ascii="Times New Roman" w:eastAsia="Times New Roman" w:hAnsi="Times New Roman" w:cs="Times New Roman"/>
          <w:lang w:val="en-GB"/>
        </w:rPr>
      </w:pPr>
    </w:p>
    <w:p w14:paraId="0D6B9AA6" w14:textId="5DF3A28A" w:rsidR="00810737" w:rsidRPr="0048733A" w:rsidRDefault="000B17E4">
      <w:pPr>
        <w:rPr>
          <w:rFonts w:ascii="Times New Roman" w:eastAsia="Times New Roman" w:hAnsi="Times New Roman" w:cs="Times New Roman"/>
          <w:b/>
          <w:bCs/>
          <w:color w:val="FF0000"/>
          <w:sz w:val="36"/>
          <w:szCs w:val="36"/>
          <w:lang w:val="en-GB"/>
        </w:rPr>
      </w:pPr>
      <w:r w:rsidRPr="0048733A">
        <w:rPr>
          <w:rFonts w:ascii="Times New Roman" w:eastAsia="Times New Roman" w:hAnsi="Times New Roman" w:cs="Times New Roman"/>
          <w:b/>
          <w:bCs/>
          <w:sz w:val="24"/>
          <w:szCs w:val="24"/>
          <w:lang w:val="en-GB"/>
        </w:rPr>
        <w:t xml:space="preserve">3- </w:t>
      </w:r>
      <w:r w:rsidR="0022362C" w:rsidRPr="0048733A">
        <w:rPr>
          <w:rFonts w:ascii="Times New Roman" w:eastAsia="Times New Roman" w:hAnsi="Times New Roman" w:cs="Times New Roman"/>
          <w:b/>
          <w:bCs/>
          <w:sz w:val="24"/>
          <w:szCs w:val="24"/>
          <w:lang w:val="en-GB"/>
        </w:rPr>
        <w:t>Environmental</w:t>
      </w:r>
      <w:r w:rsidRPr="0048733A">
        <w:rPr>
          <w:rFonts w:ascii="Times New Roman" w:eastAsia="Times New Roman" w:hAnsi="Times New Roman" w:cs="Times New Roman"/>
          <w:b/>
          <w:bCs/>
          <w:sz w:val="24"/>
          <w:szCs w:val="24"/>
          <w:lang w:val="en-GB"/>
        </w:rPr>
        <w:t xml:space="preserve"> Expectation–Perception Gap</w:t>
      </w:r>
    </w:p>
    <w:p w14:paraId="741895D0" w14:textId="77777777" w:rsidR="00810737" w:rsidRPr="0048733A" w:rsidRDefault="000B17E4">
      <w:pPr>
        <w:spacing w:before="280" w:after="28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The analysis of the interviews highlights a strong thematic convergence around three main axes: 1) environmental management and reduction of ecological footprint, 2) green space planning, and 3) environmental awareness and culture. These themes appear both in the initiatives implemented and in stakeholder expectations. However, while the analysis remains focused on the same overarching themes, some gaps emerge at the sub-theme level.</w:t>
      </w:r>
    </w:p>
    <w:p w14:paraId="6E383FA6" w14:textId="77777777" w:rsidR="00810737" w:rsidRPr="00D16435" w:rsidRDefault="000B17E4">
      <w:pPr>
        <w:spacing w:before="280" w:after="280" w:line="240" w:lineRule="auto"/>
        <w:jc w:val="both"/>
        <w:rPr>
          <w:rFonts w:ascii="Times New Roman" w:eastAsia="Times New Roman" w:hAnsi="Times New Roman" w:cs="Times New Roman"/>
          <w:i/>
          <w:iCs/>
          <w:color w:val="000000"/>
          <w:sz w:val="24"/>
          <w:szCs w:val="24"/>
          <w:highlight w:val="white"/>
          <w:lang w:val="en-GB"/>
        </w:rPr>
      </w:pPr>
      <w:r w:rsidRPr="00D16435">
        <w:rPr>
          <w:rFonts w:ascii="Times New Roman" w:eastAsia="Times New Roman" w:hAnsi="Times New Roman" w:cs="Times New Roman"/>
          <w:i/>
          <w:iCs/>
          <w:sz w:val="24"/>
          <w:szCs w:val="24"/>
          <w:highlight w:val="white"/>
          <w:lang w:val="en-GB"/>
        </w:rPr>
        <w:t>Alignment Reinforcement GAP: Environmental Management</w:t>
      </w:r>
    </w:p>
    <w:p w14:paraId="7EEEC381"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Environmental management represents the most visible set of initiatives within the environmental dimension and is the most frequently mentioned by the university community. Perceived initiatives primarily include waste sorting, recycling bins, reduced printing and paper use, and responsible water management. These actions reflect a concrete operational orientation, focusing on tangible daily practices that are easy to implement.</w:t>
      </w:r>
    </w:p>
    <w:p w14:paraId="28CF23FA"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Despite their presence, these initiatives are often partial, inconsistently deployed, and sporadic rather than integrated into a structured institutional strategy. For example, waste management is frequently limited to a few recycling bins and reduced printing. Students express more ambitious expectations, such as the installation of additional recycling bins, the development of a structured and institutionalized recycling system, the introduction of composting programs, and improved organization of waste collection. Notably, the absence of a “zero-plastic” policy highlights a major gap: although plastic reduction is recognized as a strategic environmental priority, it has not yet been fully incorporated into current practices.</w:t>
      </w:r>
    </w:p>
    <w:p w14:paraId="2DA3E7E4"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Water management and optimization also emerge as strong expectations. Stakeholders propose concrete measures such as water-saving devices, rainwater harvesting systems, and the provision of water fountains. While some actions already exist and are spontaneously acknowledged, they remain largely invisible and insufficiently communicated, limiting their perceived impact.</w:t>
      </w:r>
    </w:p>
    <w:p w14:paraId="0403E6E8"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Overall, although these initiatives are in place and recognized by the university community, they are perceived as limited in both intensity and reach. The main gap, therefore, does not reflect a lack of action but rather the need to strengthen the scale and consistency of environmental management initiatives.</w:t>
      </w:r>
    </w:p>
    <w:p w14:paraId="24BDF3ED" w14:textId="5611E64B" w:rsidR="00810737" w:rsidRPr="00D16435" w:rsidRDefault="000B17E4">
      <w:pPr>
        <w:spacing w:before="240" w:after="240" w:line="240" w:lineRule="auto"/>
        <w:jc w:val="both"/>
        <w:rPr>
          <w:rFonts w:ascii="Times New Roman" w:eastAsia="Times New Roman" w:hAnsi="Times New Roman" w:cs="Times New Roman"/>
          <w:i/>
          <w:iCs/>
          <w:sz w:val="24"/>
          <w:szCs w:val="24"/>
          <w:highlight w:val="white"/>
          <w:lang w:val="en-GB"/>
        </w:rPr>
      </w:pPr>
      <w:r w:rsidRPr="00D16435">
        <w:rPr>
          <w:rFonts w:ascii="Times New Roman" w:eastAsia="Times New Roman" w:hAnsi="Times New Roman" w:cs="Times New Roman"/>
          <w:i/>
          <w:iCs/>
          <w:sz w:val="24"/>
          <w:szCs w:val="24"/>
          <w:highlight w:val="white"/>
          <w:lang w:val="en-GB"/>
        </w:rPr>
        <w:t xml:space="preserve">Structured </w:t>
      </w:r>
      <w:r w:rsidR="00D16435" w:rsidRPr="00D16435">
        <w:rPr>
          <w:rFonts w:ascii="Times New Roman" w:eastAsia="Times New Roman" w:hAnsi="Times New Roman" w:cs="Times New Roman"/>
          <w:i/>
          <w:iCs/>
          <w:sz w:val="24"/>
          <w:szCs w:val="24"/>
          <w:highlight w:val="white"/>
          <w:lang w:val="en-GB"/>
        </w:rPr>
        <w:t>GAP:</w:t>
      </w:r>
      <w:r w:rsidRPr="00D16435">
        <w:rPr>
          <w:rFonts w:ascii="Times New Roman" w:eastAsia="Times New Roman" w:hAnsi="Times New Roman" w:cs="Times New Roman"/>
          <w:i/>
          <w:iCs/>
          <w:sz w:val="24"/>
          <w:szCs w:val="24"/>
          <w:highlight w:val="white"/>
          <w:lang w:val="en-GB"/>
        </w:rPr>
        <w:t xml:space="preserve"> Sustainable Campus Planning</w:t>
      </w:r>
    </w:p>
    <w:p w14:paraId="264393EE"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Sustainable campus planning constitutes the second identified theme. Respondents primarily highlight the presence and maintenance of green spaces, which are perceived as a positive element contributing to an improved campus environment. Sustainable mobility, notably through references to public transport and carpooling, is also mentioned, although these initiatives appear limited and poorly formalized.</w:t>
      </w:r>
    </w:p>
    <w:p w14:paraId="098EDA38"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Analysis reveals a partial alignment between perceptions and expectations. While green spaces are recognized and initiatives in this area are generally aligned with stakeholder perceptions, sustainable mobility emerges as a higher-priority expectation. Stakeholders call for more structured and organized actions to support public transport, carpooling, and other sustainable mobility solutions.</w:t>
      </w:r>
    </w:p>
    <w:p w14:paraId="48565821"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lastRenderedPageBreak/>
        <w:t>This shift in emphasis indicates that, although the landscaping dimension is acknowledged, the main structured gap lies in mobility management. The community expects a more integrated and functional vision of a sustainable campus, where mobility, spatial organization, and overall coherence are central. Current initiatives, while visible, remain fragmented and insufficiently structured, particularly regarding mobility programs.</w:t>
      </w:r>
    </w:p>
    <w:p w14:paraId="337FD643" w14:textId="0E6C70EF" w:rsidR="00810737" w:rsidRPr="0048733A" w:rsidRDefault="000B17E4">
      <w:pPr>
        <w:spacing w:before="240" w:after="240" w:line="240" w:lineRule="auto"/>
        <w:jc w:val="both"/>
        <w:rPr>
          <w:rFonts w:ascii="Times New Roman" w:eastAsia="Times New Roman" w:hAnsi="Times New Roman" w:cs="Times New Roman"/>
          <w:sz w:val="24"/>
          <w:szCs w:val="24"/>
          <w:highlight w:val="yellow"/>
          <w:lang w:val="en-GB"/>
        </w:rPr>
      </w:pPr>
      <w:r w:rsidRPr="0048733A">
        <w:rPr>
          <w:rFonts w:ascii="Times New Roman" w:eastAsia="Times New Roman" w:hAnsi="Times New Roman" w:cs="Times New Roman"/>
          <w:sz w:val="24"/>
          <w:szCs w:val="24"/>
          <w:highlight w:val="white"/>
          <w:lang w:val="en-GB"/>
        </w:rPr>
        <w:t xml:space="preserve">Overall, sustainable campus planning is well established in its green space component, but stakeholders’ expectations highlight the need to </w:t>
      </w:r>
      <w:r w:rsidR="00DA0F40" w:rsidRPr="0048733A">
        <w:rPr>
          <w:rFonts w:ascii="Times New Roman" w:eastAsia="Times New Roman" w:hAnsi="Times New Roman" w:cs="Times New Roman"/>
          <w:sz w:val="24"/>
          <w:szCs w:val="24"/>
          <w:highlight w:val="white"/>
          <w:lang w:val="en-GB"/>
        </w:rPr>
        <w:t>expand mobility</w:t>
      </w:r>
      <w:r w:rsidRPr="0048733A">
        <w:rPr>
          <w:rFonts w:ascii="Times New Roman" w:eastAsia="Times New Roman" w:hAnsi="Times New Roman" w:cs="Times New Roman"/>
          <w:sz w:val="24"/>
          <w:szCs w:val="24"/>
          <w:highlight w:val="white"/>
          <w:lang w:val="en-GB"/>
        </w:rPr>
        <w:t xml:space="preserve"> initiatives, making it a key organizational priority.</w:t>
      </w:r>
    </w:p>
    <w:p w14:paraId="4A4B8DDF" w14:textId="22A56E51" w:rsidR="00810737" w:rsidRPr="00D16435" w:rsidRDefault="000B17E4">
      <w:pPr>
        <w:pBdr>
          <w:top w:val="nil"/>
          <w:left w:val="nil"/>
          <w:bottom w:val="nil"/>
          <w:right w:val="nil"/>
          <w:between w:val="nil"/>
        </w:pBdr>
        <w:spacing w:line="240" w:lineRule="auto"/>
        <w:rPr>
          <w:rFonts w:ascii="Times New Roman" w:eastAsia="Times New Roman" w:hAnsi="Times New Roman" w:cs="Times New Roman"/>
          <w:i/>
          <w:iCs/>
          <w:sz w:val="24"/>
          <w:szCs w:val="24"/>
          <w:highlight w:val="white"/>
          <w:lang w:val="en-GB"/>
        </w:rPr>
      </w:pPr>
      <w:r w:rsidRPr="00D16435">
        <w:rPr>
          <w:rFonts w:ascii="Times New Roman" w:eastAsia="Times New Roman" w:hAnsi="Times New Roman" w:cs="Times New Roman"/>
          <w:i/>
          <w:iCs/>
          <w:sz w:val="24"/>
          <w:szCs w:val="24"/>
          <w:highlight w:val="white"/>
          <w:lang w:val="en-GB"/>
        </w:rPr>
        <w:t xml:space="preserve">Formalization </w:t>
      </w:r>
      <w:r w:rsidR="00DA0F40" w:rsidRPr="00D16435">
        <w:rPr>
          <w:rFonts w:ascii="Times New Roman" w:eastAsia="Times New Roman" w:hAnsi="Times New Roman" w:cs="Times New Roman"/>
          <w:i/>
          <w:iCs/>
          <w:sz w:val="24"/>
          <w:szCs w:val="24"/>
          <w:highlight w:val="white"/>
          <w:lang w:val="en-GB"/>
        </w:rPr>
        <w:t>Gap:</w:t>
      </w:r>
      <w:r w:rsidRPr="00D16435">
        <w:rPr>
          <w:rFonts w:ascii="Times New Roman" w:eastAsia="Times New Roman" w:hAnsi="Times New Roman" w:cs="Times New Roman"/>
          <w:i/>
          <w:iCs/>
          <w:sz w:val="24"/>
          <w:szCs w:val="24"/>
          <w:highlight w:val="white"/>
          <w:lang w:val="en-GB"/>
        </w:rPr>
        <w:t xml:space="preserve"> Environmental Awareness and Culture </w:t>
      </w:r>
    </w:p>
    <w:p w14:paraId="4F8E936E"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The analysis of the theme environmental awareness and culture reveals a moderate gap between perceived initiatives and stakeholder expectations. Regarding perceived initiatives, respondents mention the existence of awareness campaigns and, to a lesser extent, student involvement in green projects. However, the relatively low number of occurrences suggests that these initiatives are neither systematic nor regular. Environmental culture appears to be still under development, relying primarily on ad hoc actions rather than on a continuous, integrated institutional dynamic. Awareness efforts are largely associated with occasional activities and student participation in green projects, making them present but limited in scope and structure.</w:t>
      </w:r>
    </w:p>
    <w:p w14:paraId="2BBAC09F"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In contrast, stakeholder expectations place strong emphasis on awareness campaigns, identifying them as a priority lever for promoting sustainability. This reflects a clear desire for the formalization of environmental communication initiatives beyond isolated or sporadic actions.</w:t>
      </w:r>
    </w:p>
    <w:p w14:paraId="367C6F8D" w14:textId="77777777" w:rsidR="00810737" w:rsidRPr="0048733A" w:rsidRDefault="000B17E4">
      <w:pPr>
        <w:spacing w:before="240" w:after="240" w:line="240" w:lineRule="auto"/>
        <w:ind w:left="600" w:right="600"/>
        <w:jc w:val="both"/>
        <w:rPr>
          <w:rFonts w:ascii="Times New Roman" w:eastAsia="Times New Roman" w:hAnsi="Times New Roman" w:cs="Times New Roman"/>
          <w:sz w:val="20"/>
          <w:szCs w:val="20"/>
          <w:highlight w:val="white"/>
          <w:lang w:val="en-GB"/>
        </w:rPr>
      </w:pPr>
      <w:r w:rsidRPr="0048733A">
        <w:rPr>
          <w:rFonts w:ascii="Times New Roman" w:eastAsia="Times New Roman" w:hAnsi="Times New Roman" w:cs="Times New Roman"/>
          <w:sz w:val="20"/>
          <w:szCs w:val="20"/>
          <w:highlight w:val="white"/>
          <w:lang w:val="en-GB"/>
        </w:rPr>
        <w:t>I would like to see more widespread waste sorting and improved waste management. I also hope that soft mobility options are more actively encouraged, and that students and staff are regularly made aware of sustainable development issues. Finally, I would like to see more collaborative sustainability projects involving both students and teachers  (Respondent 13, Student)</w:t>
      </w:r>
    </w:p>
    <w:p w14:paraId="5ED03B41"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The observed gap can therefore be characterized as a formalization gap. Perceived initiatives largely represent individual or isolated commitments, whereas stakeholder expectations reflect a comprehensive and integrated vision, in which environmental awareness is embedded within a coherent, visible, and continuous institutional strategy.</w:t>
      </w:r>
    </w:p>
    <w:p w14:paraId="757E0DF1" w14:textId="77777777" w:rsidR="00810737" w:rsidRPr="0048733A" w:rsidRDefault="000B17E4">
      <w:pPr>
        <w:spacing w:before="240" w:after="240" w:line="240" w:lineRule="auto"/>
        <w:jc w:val="both"/>
        <w:rPr>
          <w:rFonts w:ascii="Times New Roman" w:eastAsia="Times New Roman" w:hAnsi="Times New Roman" w:cs="Times New Roman"/>
          <w:sz w:val="24"/>
          <w:szCs w:val="24"/>
          <w:highlight w:val="white"/>
          <w:lang w:val="en-GB"/>
        </w:rPr>
      </w:pPr>
      <w:r w:rsidRPr="0048733A">
        <w:rPr>
          <w:rFonts w:ascii="Times New Roman" w:eastAsia="Times New Roman" w:hAnsi="Times New Roman" w:cs="Times New Roman"/>
          <w:sz w:val="24"/>
          <w:szCs w:val="24"/>
          <w:highlight w:val="white"/>
          <w:lang w:val="en-GB"/>
        </w:rPr>
        <w:t>Overall, while environmental culture is recognized as being initiated, the university community expects it to evolve into a truly structuring pillar of a sustainable campus, linking communication, participation, and infrastructure transformation.</w:t>
      </w:r>
    </w:p>
    <w:p w14:paraId="7FE9D4E0" w14:textId="77777777" w:rsidR="00810737" w:rsidRPr="0048733A" w:rsidRDefault="00810737">
      <w:pPr>
        <w:pBdr>
          <w:top w:val="nil"/>
          <w:left w:val="nil"/>
          <w:bottom w:val="nil"/>
          <w:right w:val="nil"/>
          <w:between w:val="nil"/>
        </w:pBdr>
        <w:spacing w:line="240" w:lineRule="auto"/>
        <w:ind w:left="643"/>
        <w:rPr>
          <w:rFonts w:ascii="Times New Roman" w:eastAsia="Times New Roman" w:hAnsi="Times New Roman" w:cs="Times New Roman"/>
          <w:sz w:val="24"/>
          <w:szCs w:val="24"/>
          <w:highlight w:val="white"/>
          <w:lang w:val="en-GB"/>
        </w:rPr>
      </w:pPr>
    </w:p>
    <w:p w14:paraId="48989F2B" w14:textId="77777777" w:rsidR="00810737" w:rsidRPr="0048733A" w:rsidRDefault="000B17E4">
      <w:pPr>
        <w:rPr>
          <w:rFonts w:ascii="Times New Roman" w:eastAsia="Times New Roman" w:hAnsi="Times New Roman" w:cs="Times New Roman"/>
          <w:b/>
          <w:bCs/>
          <w:sz w:val="28"/>
          <w:szCs w:val="28"/>
          <w:highlight w:val="yellow"/>
          <w:lang w:val="en-GB"/>
        </w:rPr>
        <w:sectPr w:rsidR="00810737" w:rsidRPr="0048733A">
          <w:pgSz w:w="11906" w:h="16838"/>
          <w:pgMar w:top="1417" w:right="1417" w:bottom="1417" w:left="1417" w:header="708" w:footer="708" w:gutter="0"/>
          <w:cols w:space="720"/>
        </w:sectPr>
      </w:pPr>
      <w:r w:rsidRPr="0048733A">
        <w:rPr>
          <w:lang w:val="en-GB"/>
        </w:rPr>
        <w:br w:type="page"/>
      </w:r>
    </w:p>
    <w:p w14:paraId="221F0FF6" w14:textId="77777777" w:rsidR="00810737" w:rsidRPr="0048733A" w:rsidRDefault="00810737">
      <w:pPr>
        <w:widowControl w:val="0"/>
        <w:pBdr>
          <w:top w:val="nil"/>
          <w:left w:val="nil"/>
          <w:bottom w:val="nil"/>
          <w:right w:val="nil"/>
          <w:between w:val="nil"/>
        </w:pBdr>
        <w:spacing w:after="0" w:line="276" w:lineRule="auto"/>
        <w:rPr>
          <w:rFonts w:ascii="Times New Roman" w:eastAsia="Times New Roman" w:hAnsi="Times New Roman" w:cs="Times New Roman"/>
          <w:b/>
          <w:bCs/>
          <w:sz w:val="28"/>
          <w:szCs w:val="28"/>
          <w:highlight w:val="white"/>
          <w:lang w:val="en-GB"/>
        </w:rPr>
      </w:pPr>
    </w:p>
    <w:tbl>
      <w:tblPr>
        <w:tblStyle w:val="a1"/>
        <w:tblpPr w:leftFromText="141" w:rightFromText="141" w:vertAnchor="text" w:tblpY="1"/>
        <w:tblW w:w="144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9"/>
        <w:gridCol w:w="2650"/>
        <w:gridCol w:w="2651"/>
        <w:gridCol w:w="2992"/>
        <w:gridCol w:w="2835"/>
        <w:gridCol w:w="2126"/>
      </w:tblGrid>
      <w:tr w:rsidR="00810737" w:rsidRPr="0048733A" w14:paraId="2872B371" w14:textId="77777777">
        <w:trPr>
          <w:trHeight w:val="630"/>
        </w:trPr>
        <w:tc>
          <w:tcPr>
            <w:tcW w:w="1200" w:type="dxa"/>
            <w:vAlign w:val="bottom"/>
          </w:tcPr>
          <w:p w14:paraId="1CB413F4" w14:textId="77777777" w:rsidR="00810737" w:rsidRPr="0048733A" w:rsidRDefault="00810737">
            <w:pPr>
              <w:spacing w:after="0" w:line="240" w:lineRule="auto"/>
              <w:rPr>
                <w:rFonts w:ascii="Times New Roman" w:eastAsia="Times New Roman" w:hAnsi="Times New Roman" w:cs="Times New Roman"/>
                <w:sz w:val="24"/>
                <w:szCs w:val="24"/>
                <w:highlight w:val="white"/>
                <w:lang w:val="en-GB"/>
              </w:rPr>
            </w:pPr>
            <w:bookmarkStart w:id="2" w:name="_heading=h.mlpp1zb17f0w" w:colFirst="0" w:colLast="0"/>
            <w:bookmarkEnd w:id="2"/>
          </w:p>
        </w:tc>
        <w:tc>
          <w:tcPr>
            <w:tcW w:w="2650" w:type="dxa"/>
            <w:vAlign w:val="center"/>
          </w:tcPr>
          <w:p w14:paraId="436E4B56" w14:textId="77777777" w:rsidR="00810737" w:rsidRPr="0048733A" w:rsidRDefault="000B17E4">
            <w:pPr>
              <w:spacing w:after="0" w:line="240" w:lineRule="auto"/>
              <w:jc w:val="center"/>
              <w:rPr>
                <w:rFonts w:ascii="Times New Roman" w:eastAsia="Times New Roman" w:hAnsi="Times New Roman" w:cs="Times New Roman"/>
                <w:b/>
                <w:bCs/>
                <w:color w:val="000000"/>
                <w:sz w:val="24"/>
                <w:szCs w:val="24"/>
                <w:highlight w:val="white"/>
                <w:lang w:val="en-GB"/>
              </w:rPr>
            </w:pPr>
            <w:r w:rsidRPr="0048733A">
              <w:rPr>
                <w:rFonts w:ascii="Times New Roman" w:eastAsia="Times New Roman" w:hAnsi="Times New Roman" w:cs="Times New Roman"/>
                <w:b/>
                <w:bCs/>
                <w:color w:val="000000"/>
                <w:sz w:val="24"/>
                <w:szCs w:val="24"/>
                <w:highlight w:val="white"/>
                <w:lang w:val="en-GB"/>
              </w:rPr>
              <w:t>S</w:t>
            </w:r>
            <w:r w:rsidRPr="0048733A">
              <w:rPr>
                <w:rFonts w:ascii="Times New Roman" w:eastAsia="Times New Roman" w:hAnsi="Times New Roman" w:cs="Times New Roman"/>
                <w:b/>
                <w:bCs/>
                <w:sz w:val="24"/>
                <w:szCs w:val="24"/>
                <w:highlight w:val="white"/>
                <w:lang w:val="en-GB"/>
              </w:rPr>
              <w:t>ub-theme</w:t>
            </w:r>
          </w:p>
        </w:tc>
        <w:tc>
          <w:tcPr>
            <w:tcW w:w="2651" w:type="dxa"/>
            <w:vAlign w:val="center"/>
          </w:tcPr>
          <w:p w14:paraId="794CF7F5" w14:textId="77777777" w:rsidR="00810737" w:rsidRPr="0048733A" w:rsidRDefault="000B17E4">
            <w:pPr>
              <w:spacing w:after="0" w:line="240" w:lineRule="auto"/>
              <w:jc w:val="center"/>
              <w:rPr>
                <w:rFonts w:ascii="Times New Roman" w:eastAsia="Times New Roman" w:hAnsi="Times New Roman" w:cs="Times New Roman"/>
                <w:b/>
                <w:bCs/>
                <w:color w:val="000000"/>
                <w:sz w:val="24"/>
                <w:szCs w:val="24"/>
                <w:highlight w:val="white"/>
                <w:lang w:val="en-GB"/>
              </w:rPr>
            </w:pPr>
            <w:r w:rsidRPr="0048733A">
              <w:rPr>
                <w:rFonts w:ascii="Times New Roman" w:eastAsia="Times New Roman" w:hAnsi="Times New Roman" w:cs="Times New Roman"/>
                <w:b/>
                <w:bCs/>
                <w:sz w:val="24"/>
                <w:szCs w:val="24"/>
                <w:highlight w:val="white"/>
                <w:lang w:val="en-GB"/>
              </w:rPr>
              <w:t>Perception (existing initiatives)</w:t>
            </w:r>
          </w:p>
        </w:tc>
        <w:tc>
          <w:tcPr>
            <w:tcW w:w="2992" w:type="dxa"/>
            <w:vAlign w:val="center"/>
          </w:tcPr>
          <w:p w14:paraId="18D16A6B" w14:textId="77777777" w:rsidR="00810737" w:rsidRPr="0048733A" w:rsidRDefault="000B17E4">
            <w:pPr>
              <w:spacing w:after="0" w:line="240" w:lineRule="auto"/>
              <w:jc w:val="center"/>
              <w:rPr>
                <w:rFonts w:ascii="Times New Roman" w:eastAsia="Times New Roman" w:hAnsi="Times New Roman" w:cs="Times New Roman"/>
                <w:b/>
                <w:bCs/>
                <w:color w:val="000000"/>
                <w:sz w:val="24"/>
                <w:szCs w:val="24"/>
                <w:highlight w:val="white"/>
                <w:lang w:val="en-GB"/>
              </w:rPr>
            </w:pPr>
            <w:r w:rsidRPr="0048733A">
              <w:rPr>
                <w:rFonts w:ascii="Times New Roman" w:eastAsia="Times New Roman" w:hAnsi="Times New Roman" w:cs="Times New Roman"/>
                <w:b/>
                <w:bCs/>
                <w:sz w:val="24"/>
                <w:szCs w:val="24"/>
                <w:highlight w:val="white"/>
                <w:lang w:val="en-GB"/>
              </w:rPr>
              <w:t>Priority expectations</w:t>
            </w:r>
          </w:p>
        </w:tc>
        <w:tc>
          <w:tcPr>
            <w:tcW w:w="2835" w:type="dxa"/>
            <w:vAlign w:val="center"/>
          </w:tcPr>
          <w:p w14:paraId="34EC3A74" w14:textId="77777777" w:rsidR="00810737" w:rsidRPr="0048733A" w:rsidRDefault="000B17E4">
            <w:pPr>
              <w:spacing w:after="0" w:line="240" w:lineRule="auto"/>
              <w:jc w:val="center"/>
              <w:rPr>
                <w:rFonts w:ascii="Times New Roman" w:eastAsia="Times New Roman" w:hAnsi="Times New Roman" w:cs="Times New Roman"/>
                <w:b/>
                <w:bCs/>
                <w:color w:val="000000"/>
                <w:sz w:val="24"/>
                <w:szCs w:val="24"/>
                <w:highlight w:val="white"/>
                <w:lang w:val="en-GB"/>
              </w:rPr>
            </w:pPr>
            <w:r w:rsidRPr="0048733A">
              <w:rPr>
                <w:rFonts w:ascii="Times New Roman" w:eastAsia="Times New Roman" w:hAnsi="Times New Roman" w:cs="Times New Roman"/>
                <w:b/>
                <w:bCs/>
                <w:color w:val="000000"/>
                <w:sz w:val="24"/>
                <w:szCs w:val="24"/>
                <w:highlight w:val="white"/>
                <w:lang w:val="en-GB"/>
              </w:rPr>
              <w:t xml:space="preserve">Nature </w:t>
            </w:r>
            <w:r w:rsidRPr="0048733A">
              <w:rPr>
                <w:rFonts w:ascii="Times New Roman" w:eastAsia="Times New Roman" w:hAnsi="Times New Roman" w:cs="Times New Roman"/>
                <w:b/>
                <w:bCs/>
                <w:sz w:val="24"/>
                <w:szCs w:val="24"/>
                <w:highlight w:val="white"/>
                <w:lang w:val="en-GB"/>
              </w:rPr>
              <w:t>of the GAP</w:t>
            </w:r>
          </w:p>
        </w:tc>
        <w:tc>
          <w:tcPr>
            <w:tcW w:w="2126" w:type="dxa"/>
            <w:vAlign w:val="center"/>
          </w:tcPr>
          <w:p w14:paraId="658B34BA" w14:textId="77777777" w:rsidR="00810737" w:rsidRPr="0048733A" w:rsidRDefault="000B17E4">
            <w:pPr>
              <w:spacing w:after="0" w:line="240" w:lineRule="auto"/>
              <w:jc w:val="center"/>
              <w:rPr>
                <w:rFonts w:ascii="Times New Roman" w:eastAsia="Times New Roman" w:hAnsi="Times New Roman" w:cs="Times New Roman"/>
                <w:b/>
                <w:bCs/>
                <w:color w:val="000000"/>
                <w:sz w:val="24"/>
                <w:szCs w:val="24"/>
                <w:highlight w:val="white"/>
                <w:lang w:val="en-GB"/>
              </w:rPr>
            </w:pPr>
            <w:r w:rsidRPr="0048733A">
              <w:rPr>
                <w:rFonts w:ascii="Times New Roman" w:eastAsia="Times New Roman" w:hAnsi="Times New Roman" w:cs="Times New Roman"/>
                <w:b/>
                <w:bCs/>
                <w:sz w:val="24"/>
                <w:szCs w:val="24"/>
                <w:highlight w:val="white"/>
                <w:lang w:val="en-GB"/>
              </w:rPr>
              <w:t>Gap level</w:t>
            </w:r>
          </w:p>
        </w:tc>
      </w:tr>
      <w:tr w:rsidR="00810737" w:rsidRPr="0048733A" w14:paraId="436B1569" w14:textId="77777777">
        <w:trPr>
          <w:trHeight w:val="795"/>
        </w:trPr>
        <w:tc>
          <w:tcPr>
            <w:tcW w:w="1200" w:type="dxa"/>
            <w:vMerge w:val="restart"/>
          </w:tcPr>
          <w:p w14:paraId="535AB0CB" w14:textId="77777777" w:rsidR="00810737" w:rsidRPr="0048733A" w:rsidRDefault="000B17E4">
            <w:pPr>
              <w:spacing w:before="280" w:after="280" w:line="240" w:lineRule="auto"/>
              <w:jc w:val="both"/>
              <w:rPr>
                <w:rFonts w:ascii="Times New Roman" w:eastAsia="Times New Roman" w:hAnsi="Times New Roman" w:cs="Times New Roman"/>
                <w:b/>
                <w:bCs/>
                <w:color w:val="000000"/>
                <w:sz w:val="24"/>
                <w:szCs w:val="24"/>
                <w:highlight w:val="white"/>
                <w:lang w:val="en-GB"/>
              </w:rPr>
            </w:pPr>
            <w:r w:rsidRPr="0048733A">
              <w:rPr>
                <w:rFonts w:ascii="Times New Roman" w:eastAsia="Times New Roman" w:hAnsi="Times New Roman" w:cs="Times New Roman"/>
                <w:sz w:val="24"/>
                <w:szCs w:val="24"/>
                <w:highlight w:val="white"/>
                <w:lang w:val="en-GB"/>
              </w:rPr>
              <w:t>Environmental Management</w:t>
            </w:r>
          </w:p>
        </w:tc>
        <w:tc>
          <w:tcPr>
            <w:tcW w:w="2650" w:type="dxa"/>
            <w:vAlign w:val="center"/>
          </w:tcPr>
          <w:p w14:paraId="593D452B"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Waste Management</w:t>
            </w:r>
          </w:p>
        </w:tc>
        <w:tc>
          <w:tcPr>
            <w:tcW w:w="2651" w:type="dxa"/>
            <w:vAlign w:val="center"/>
          </w:tcPr>
          <w:p w14:paraId="1E937244"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Selective sorting, few bins, paper recycling</w:t>
            </w:r>
          </w:p>
        </w:tc>
        <w:tc>
          <w:tcPr>
            <w:tcW w:w="2992" w:type="dxa"/>
            <w:vAlign w:val="center"/>
          </w:tcPr>
          <w:p w14:paraId="199366E8"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Structured system, more collection points, composting, effective management</w:t>
            </w:r>
          </w:p>
        </w:tc>
        <w:tc>
          <w:tcPr>
            <w:tcW w:w="2835" w:type="dxa"/>
            <w:vAlign w:val="center"/>
          </w:tcPr>
          <w:p w14:paraId="46DFA1B5"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Alignment Reinforcement GAP</w:t>
            </w:r>
          </w:p>
        </w:tc>
        <w:tc>
          <w:tcPr>
            <w:tcW w:w="2126" w:type="dxa"/>
            <w:vAlign w:val="center"/>
          </w:tcPr>
          <w:p w14:paraId="0C4B64EA"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Moderate</w:t>
            </w:r>
          </w:p>
        </w:tc>
      </w:tr>
      <w:tr w:rsidR="00810737" w:rsidRPr="0048733A" w14:paraId="02C4C1BC" w14:textId="77777777">
        <w:trPr>
          <w:trHeight w:val="900"/>
        </w:trPr>
        <w:tc>
          <w:tcPr>
            <w:tcW w:w="1200" w:type="dxa"/>
            <w:vMerge/>
          </w:tcPr>
          <w:p w14:paraId="7E214405" w14:textId="77777777" w:rsidR="00810737" w:rsidRPr="0048733A" w:rsidRDefault="00810737">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highlight w:val="yellow"/>
                <w:lang w:val="en-GB"/>
              </w:rPr>
            </w:pPr>
          </w:p>
        </w:tc>
        <w:tc>
          <w:tcPr>
            <w:tcW w:w="2650" w:type="dxa"/>
            <w:vAlign w:val="center"/>
          </w:tcPr>
          <w:p w14:paraId="5D3B5CB7"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Plastic Reduction</w:t>
            </w:r>
          </w:p>
        </w:tc>
        <w:tc>
          <w:tcPr>
            <w:tcW w:w="2651" w:type="dxa"/>
            <w:vAlign w:val="center"/>
          </w:tcPr>
          <w:p w14:paraId="4960BDB5"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Rarely mentioned</w:t>
            </w:r>
          </w:p>
        </w:tc>
        <w:tc>
          <w:tcPr>
            <w:tcW w:w="2992" w:type="dxa"/>
            <w:vAlign w:val="center"/>
          </w:tcPr>
          <w:p w14:paraId="1F5AB1CE"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Zero-plastic policy, water fountains, elimination of plastic bottles</w:t>
            </w:r>
          </w:p>
        </w:tc>
        <w:tc>
          <w:tcPr>
            <w:tcW w:w="2835" w:type="dxa"/>
            <w:vAlign w:val="center"/>
          </w:tcPr>
          <w:p w14:paraId="7563F8A2"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Alignment Reinforcement GAP</w:t>
            </w:r>
          </w:p>
        </w:tc>
        <w:tc>
          <w:tcPr>
            <w:tcW w:w="2126" w:type="dxa"/>
            <w:vAlign w:val="center"/>
          </w:tcPr>
          <w:p w14:paraId="17466606"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Moderate</w:t>
            </w:r>
          </w:p>
        </w:tc>
      </w:tr>
      <w:tr w:rsidR="00810737" w:rsidRPr="0048733A" w14:paraId="7F4C6DE8" w14:textId="77777777">
        <w:trPr>
          <w:trHeight w:val="735"/>
        </w:trPr>
        <w:tc>
          <w:tcPr>
            <w:tcW w:w="1200" w:type="dxa"/>
            <w:vMerge/>
          </w:tcPr>
          <w:p w14:paraId="5148FCB2" w14:textId="77777777" w:rsidR="00810737" w:rsidRPr="0048733A" w:rsidRDefault="00810737">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highlight w:val="yellow"/>
                <w:lang w:val="en-GB"/>
              </w:rPr>
            </w:pPr>
          </w:p>
        </w:tc>
        <w:tc>
          <w:tcPr>
            <w:tcW w:w="2650" w:type="dxa"/>
            <w:vAlign w:val="center"/>
          </w:tcPr>
          <w:p w14:paraId="781329BB"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Water Management</w:t>
            </w:r>
          </w:p>
        </w:tc>
        <w:tc>
          <w:tcPr>
            <w:tcW w:w="2651" w:type="dxa"/>
            <w:vAlign w:val="center"/>
          </w:tcPr>
          <w:p w14:paraId="1234DF73"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Limited visibility</w:t>
            </w:r>
          </w:p>
        </w:tc>
        <w:tc>
          <w:tcPr>
            <w:tcW w:w="2992" w:type="dxa"/>
            <w:vAlign w:val="center"/>
          </w:tcPr>
          <w:p w14:paraId="116D03A4"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Water-saving devices, rainwater harvesting systems</w:t>
            </w:r>
          </w:p>
        </w:tc>
        <w:tc>
          <w:tcPr>
            <w:tcW w:w="2835" w:type="dxa"/>
            <w:vAlign w:val="center"/>
          </w:tcPr>
          <w:p w14:paraId="1E315B49"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Alignment Reinforcement GAP</w:t>
            </w:r>
          </w:p>
        </w:tc>
        <w:tc>
          <w:tcPr>
            <w:tcW w:w="2126" w:type="dxa"/>
            <w:vAlign w:val="center"/>
          </w:tcPr>
          <w:p w14:paraId="6687B58A"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color w:val="000000"/>
                <w:sz w:val="24"/>
                <w:szCs w:val="24"/>
                <w:highlight w:val="white"/>
                <w:lang w:val="en-GB"/>
              </w:rPr>
              <w:t xml:space="preserve"> </w:t>
            </w:r>
            <w:r w:rsidRPr="0048733A">
              <w:rPr>
                <w:rFonts w:ascii="Times New Roman" w:eastAsia="Times New Roman" w:hAnsi="Times New Roman" w:cs="Times New Roman"/>
                <w:sz w:val="24"/>
                <w:szCs w:val="24"/>
                <w:highlight w:val="white"/>
                <w:lang w:val="en-GB"/>
              </w:rPr>
              <w:t>Moderate</w:t>
            </w:r>
          </w:p>
        </w:tc>
      </w:tr>
      <w:tr w:rsidR="00810737" w:rsidRPr="0048733A" w14:paraId="08CD46E8" w14:textId="77777777">
        <w:trPr>
          <w:trHeight w:val="480"/>
        </w:trPr>
        <w:tc>
          <w:tcPr>
            <w:tcW w:w="1200" w:type="dxa"/>
            <w:vMerge/>
          </w:tcPr>
          <w:p w14:paraId="32216A5F" w14:textId="77777777" w:rsidR="00810737" w:rsidRPr="0048733A" w:rsidRDefault="00810737">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highlight w:val="yellow"/>
                <w:lang w:val="en-GB"/>
              </w:rPr>
            </w:pPr>
          </w:p>
        </w:tc>
        <w:tc>
          <w:tcPr>
            <w:tcW w:w="2650" w:type="dxa"/>
            <w:vAlign w:val="center"/>
          </w:tcPr>
          <w:p w14:paraId="46FA998D"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Digitalization / Paper Reduction</w:t>
            </w:r>
          </w:p>
        </w:tc>
        <w:tc>
          <w:tcPr>
            <w:tcW w:w="2651" w:type="dxa"/>
            <w:vAlign w:val="center"/>
          </w:tcPr>
          <w:p w14:paraId="16E1844D"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Well perceived</w:t>
            </w:r>
          </w:p>
        </w:tc>
        <w:tc>
          <w:tcPr>
            <w:tcW w:w="2992" w:type="dxa"/>
            <w:vAlign w:val="center"/>
          </w:tcPr>
          <w:p w14:paraId="649D3BC9"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Continue and reinforce</w:t>
            </w:r>
          </w:p>
        </w:tc>
        <w:tc>
          <w:tcPr>
            <w:tcW w:w="2835" w:type="dxa"/>
            <w:vAlign w:val="center"/>
          </w:tcPr>
          <w:p w14:paraId="7F0B8899"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Alignment Reinforcement Gap</w:t>
            </w:r>
          </w:p>
        </w:tc>
        <w:tc>
          <w:tcPr>
            <w:tcW w:w="2126" w:type="dxa"/>
            <w:vAlign w:val="center"/>
          </w:tcPr>
          <w:p w14:paraId="78845C13"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color w:val="000000"/>
                <w:sz w:val="24"/>
                <w:szCs w:val="24"/>
                <w:highlight w:val="white"/>
                <w:lang w:val="en-GB"/>
              </w:rPr>
              <w:t xml:space="preserve"> </w:t>
            </w:r>
            <w:r w:rsidRPr="0048733A">
              <w:rPr>
                <w:rFonts w:ascii="Times New Roman" w:eastAsia="Times New Roman" w:hAnsi="Times New Roman" w:cs="Times New Roman"/>
                <w:sz w:val="24"/>
                <w:szCs w:val="24"/>
                <w:highlight w:val="white"/>
                <w:lang w:val="en-GB"/>
              </w:rPr>
              <w:t>Low</w:t>
            </w:r>
          </w:p>
        </w:tc>
      </w:tr>
      <w:tr w:rsidR="00810737" w:rsidRPr="0048733A" w14:paraId="502723EE" w14:textId="77777777">
        <w:trPr>
          <w:trHeight w:val="630"/>
        </w:trPr>
        <w:tc>
          <w:tcPr>
            <w:tcW w:w="1200" w:type="dxa"/>
            <w:vMerge w:val="restart"/>
            <w:vAlign w:val="center"/>
          </w:tcPr>
          <w:p w14:paraId="4625EB74" w14:textId="77777777" w:rsidR="00810737" w:rsidRPr="0048733A" w:rsidRDefault="000B17E4">
            <w:pPr>
              <w:spacing w:before="240" w:after="240" w:line="240" w:lineRule="auto"/>
              <w:jc w:val="both"/>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Sustainable Campus Planning</w:t>
            </w:r>
          </w:p>
        </w:tc>
        <w:tc>
          <w:tcPr>
            <w:tcW w:w="2650" w:type="dxa"/>
            <w:vAlign w:val="center"/>
          </w:tcPr>
          <w:p w14:paraId="37C68B52"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Green space</w:t>
            </w:r>
          </w:p>
        </w:tc>
        <w:tc>
          <w:tcPr>
            <w:tcW w:w="2651" w:type="dxa"/>
            <w:vAlign w:val="center"/>
          </w:tcPr>
          <w:p w14:paraId="56DB9BE2"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Maintained areas, plantings</w:t>
            </w:r>
          </w:p>
        </w:tc>
        <w:tc>
          <w:tcPr>
            <w:tcW w:w="2992" w:type="dxa"/>
            <w:vAlign w:val="center"/>
          </w:tcPr>
          <w:p w14:paraId="41F817CD"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Further development, biodiversity enhancement</w:t>
            </w:r>
          </w:p>
        </w:tc>
        <w:tc>
          <w:tcPr>
            <w:tcW w:w="2835" w:type="dxa"/>
            <w:vAlign w:val="center"/>
          </w:tcPr>
          <w:p w14:paraId="65B5E01F"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Alignment Reinforcement Gap</w:t>
            </w:r>
          </w:p>
        </w:tc>
        <w:tc>
          <w:tcPr>
            <w:tcW w:w="2126" w:type="dxa"/>
            <w:vAlign w:val="center"/>
          </w:tcPr>
          <w:p w14:paraId="0D63FE80"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Low</w:t>
            </w:r>
          </w:p>
        </w:tc>
      </w:tr>
      <w:tr w:rsidR="00810737" w:rsidRPr="0048733A" w14:paraId="22748AF5" w14:textId="77777777">
        <w:trPr>
          <w:trHeight w:val="630"/>
        </w:trPr>
        <w:tc>
          <w:tcPr>
            <w:tcW w:w="1200" w:type="dxa"/>
            <w:vMerge/>
            <w:vAlign w:val="center"/>
          </w:tcPr>
          <w:p w14:paraId="089A3A7B" w14:textId="77777777" w:rsidR="00810737" w:rsidRPr="0048733A" w:rsidRDefault="00810737">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highlight w:val="yellow"/>
                <w:lang w:val="en-GB"/>
              </w:rPr>
            </w:pPr>
          </w:p>
        </w:tc>
        <w:tc>
          <w:tcPr>
            <w:tcW w:w="2650" w:type="dxa"/>
            <w:vAlign w:val="center"/>
          </w:tcPr>
          <w:p w14:paraId="1FC22C12"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Sustainable Mobility</w:t>
            </w:r>
          </w:p>
        </w:tc>
        <w:tc>
          <w:tcPr>
            <w:tcW w:w="2651" w:type="dxa"/>
            <w:vAlign w:val="center"/>
          </w:tcPr>
          <w:p w14:paraId="77216888"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Marginally mentioned</w:t>
            </w:r>
          </w:p>
        </w:tc>
        <w:tc>
          <w:tcPr>
            <w:tcW w:w="2992" w:type="dxa"/>
            <w:vAlign w:val="center"/>
          </w:tcPr>
          <w:p w14:paraId="57B419DF"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Structured programs for public transport, carpooling, and other mobility solutions</w:t>
            </w:r>
          </w:p>
        </w:tc>
        <w:tc>
          <w:tcPr>
            <w:tcW w:w="2835" w:type="dxa"/>
            <w:vAlign w:val="center"/>
          </w:tcPr>
          <w:p w14:paraId="33517294" w14:textId="77777777" w:rsidR="00810737" w:rsidRPr="0048733A" w:rsidRDefault="000B17E4">
            <w:pPr>
              <w:spacing w:before="240" w:after="240" w:line="240" w:lineRule="auto"/>
              <w:jc w:val="both"/>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Structured GAP</w:t>
            </w:r>
          </w:p>
        </w:tc>
        <w:tc>
          <w:tcPr>
            <w:tcW w:w="2126" w:type="dxa"/>
            <w:vAlign w:val="center"/>
          </w:tcPr>
          <w:p w14:paraId="56A56730"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High</w:t>
            </w:r>
          </w:p>
        </w:tc>
      </w:tr>
      <w:tr w:rsidR="00810737" w:rsidRPr="0048733A" w14:paraId="14051061" w14:textId="77777777">
        <w:trPr>
          <w:trHeight w:val="630"/>
        </w:trPr>
        <w:tc>
          <w:tcPr>
            <w:tcW w:w="1200" w:type="dxa"/>
            <w:vMerge w:val="restart"/>
            <w:vAlign w:val="center"/>
          </w:tcPr>
          <w:p w14:paraId="6C03AFC5" w14:textId="77777777" w:rsidR="00810737" w:rsidRPr="0048733A" w:rsidRDefault="000B17E4">
            <w:pPr>
              <w:spacing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Environmental Awareness and Culture</w:t>
            </w:r>
          </w:p>
        </w:tc>
        <w:tc>
          <w:tcPr>
            <w:tcW w:w="2650" w:type="dxa"/>
            <w:vAlign w:val="center"/>
          </w:tcPr>
          <w:p w14:paraId="647AFF71"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Awareness Campaigns</w:t>
            </w:r>
          </w:p>
        </w:tc>
        <w:tc>
          <w:tcPr>
            <w:tcW w:w="2651" w:type="dxa"/>
            <w:vAlign w:val="center"/>
          </w:tcPr>
          <w:p w14:paraId="5DA67B06"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color w:val="000000"/>
                <w:sz w:val="24"/>
                <w:szCs w:val="24"/>
                <w:highlight w:val="white"/>
                <w:lang w:val="en-GB"/>
              </w:rPr>
              <w:t>Campagnes ponctuelles</w:t>
            </w:r>
          </w:p>
        </w:tc>
        <w:tc>
          <w:tcPr>
            <w:tcW w:w="2992" w:type="dxa"/>
            <w:vAlign w:val="center"/>
          </w:tcPr>
          <w:p w14:paraId="56CA8160"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Regular and structured campaigns integrated into the curriculum</w:t>
            </w:r>
          </w:p>
        </w:tc>
        <w:tc>
          <w:tcPr>
            <w:tcW w:w="2835" w:type="dxa"/>
            <w:vAlign w:val="center"/>
          </w:tcPr>
          <w:p w14:paraId="31D224CE"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Alignment Reinforcement Gap</w:t>
            </w:r>
          </w:p>
        </w:tc>
        <w:tc>
          <w:tcPr>
            <w:tcW w:w="2126" w:type="dxa"/>
            <w:vAlign w:val="center"/>
          </w:tcPr>
          <w:p w14:paraId="65DAC003"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color w:val="000000"/>
                <w:sz w:val="24"/>
                <w:szCs w:val="24"/>
                <w:highlight w:val="white"/>
                <w:lang w:val="en-GB"/>
              </w:rPr>
              <w:t xml:space="preserve"> Mod</w:t>
            </w:r>
            <w:r w:rsidRPr="0048733A">
              <w:rPr>
                <w:rFonts w:ascii="Times New Roman" w:eastAsia="Times New Roman" w:hAnsi="Times New Roman" w:cs="Times New Roman"/>
                <w:sz w:val="24"/>
                <w:szCs w:val="24"/>
                <w:highlight w:val="white"/>
                <w:lang w:val="en-GB"/>
              </w:rPr>
              <w:t>erate</w:t>
            </w:r>
          </w:p>
        </w:tc>
      </w:tr>
      <w:tr w:rsidR="00810737" w:rsidRPr="0048733A" w14:paraId="1F28C165" w14:textId="77777777">
        <w:tc>
          <w:tcPr>
            <w:tcW w:w="1200" w:type="dxa"/>
            <w:vMerge/>
            <w:vAlign w:val="center"/>
          </w:tcPr>
          <w:p w14:paraId="21521230" w14:textId="77777777" w:rsidR="00810737" w:rsidRPr="0048733A" w:rsidRDefault="00810737">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highlight w:val="yellow"/>
                <w:lang w:val="en-GB"/>
              </w:rPr>
            </w:pPr>
          </w:p>
        </w:tc>
        <w:tc>
          <w:tcPr>
            <w:tcW w:w="2650" w:type="dxa"/>
            <w:vAlign w:val="center"/>
          </w:tcPr>
          <w:p w14:paraId="649070B6"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Student Involvement in Green Projects</w:t>
            </w:r>
          </w:p>
        </w:tc>
        <w:tc>
          <w:tcPr>
            <w:tcW w:w="2651" w:type="dxa"/>
            <w:vAlign w:val="center"/>
          </w:tcPr>
          <w:p w14:paraId="1440D594"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Limited participation</w:t>
            </w:r>
          </w:p>
        </w:tc>
        <w:tc>
          <w:tcPr>
            <w:tcW w:w="2992" w:type="dxa"/>
            <w:vAlign w:val="center"/>
          </w:tcPr>
          <w:p w14:paraId="164E51FB"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Strengthened and structured engagement</w:t>
            </w:r>
          </w:p>
        </w:tc>
        <w:tc>
          <w:tcPr>
            <w:tcW w:w="2835" w:type="dxa"/>
            <w:vAlign w:val="center"/>
          </w:tcPr>
          <w:p w14:paraId="55ABBB09"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sz w:val="24"/>
                <w:szCs w:val="24"/>
                <w:highlight w:val="white"/>
                <w:lang w:val="en-GB"/>
              </w:rPr>
              <w:t>Alignment Reinforcement Gap</w:t>
            </w:r>
          </w:p>
        </w:tc>
        <w:tc>
          <w:tcPr>
            <w:tcW w:w="2126" w:type="dxa"/>
            <w:vAlign w:val="center"/>
          </w:tcPr>
          <w:p w14:paraId="38333298" w14:textId="77777777" w:rsidR="00810737" w:rsidRPr="0048733A" w:rsidRDefault="000B17E4">
            <w:pPr>
              <w:spacing w:after="0" w:line="240" w:lineRule="auto"/>
              <w:rPr>
                <w:rFonts w:ascii="Times New Roman" w:eastAsia="Times New Roman" w:hAnsi="Times New Roman" w:cs="Times New Roman"/>
                <w:color w:val="000000"/>
                <w:sz w:val="24"/>
                <w:szCs w:val="24"/>
                <w:highlight w:val="white"/>
                <w:lang w:val="en-GB"/>
              </w:rPr>
            </w:pPr>
            <w:r w:rsidRPr="0048733A">
              <w:rPr>
                <w:rFonts w:ascii="Times New Roman" w:eastAsia="Times New Roman" w:hAnsi="Times New Roman" w:cs="Times New Roman"/>
                <w:color w:val="000000"/>
                <w:sz w:val="24"/>
                <w:szCs w:val="24"/>
                <w:highlight w:val="white"/>
                <w:lang w:val="en-GB"/>
              </w:rPr>
              <w:t xml:space="preserve"> </w:t>
            </w:r>
            <w:r w:rsidRPr="0048733A">
              <w:rPr>
                <w:rFonts w:ascii="Times New Roman" w:eastAsia="Times New Roman" w:hAnsi="Times New Roman" w:cs="Times New Roman"/>
                <w:sz w:val="24"/>
                <w:szCs w:val="24"/>
                <w:highlight w:val="white"/>
                <w:lang w:val="en-GB"/>
              </w:rPr>
              <w:t>Moderate</w:t>
            </w:r>
          </w:p>
        </w:tc>
      </w:tr>
    </w:tbl>
    <w:p w14:paraId="799000CD" w14:textId="331C871F" w:rsidR="00810737" w:rsidRPr="0048733A" w:rsidRDefault="00810737">
      <w:pPr>
        <w:rPr>
          <w:rFonts w:ascii="Times New Roman" w:eastAsia="Times New Roman" w:hAnsi="Times New Roman" w:cs="Times New Roman"/>
          <w:b/>
          <w:bCs/>
          <w:sz w:val="28"/>
          <w:szCs w:val="28"/>
          <w:highlight w:val="yellow"/>
          <w:lang w:val="en-GB"/>
        </w:rPr>
      </w:pPr>
    </w:p>
    <w:p w14:paraId="68786E86" w14:textId="77777777" w:rsidR="00DA0F40" w:rsidRPr="0048733A" w:rsidRDefault="00DA0F40">
      <w:pPr>
        <w:rPr>
          <w:rFonts w:ascii="Times New Roman" w:eastAsia="Times New Roman" w:hAnsi="Times New Roman" w:cs="Times New Roman"/>
          <w:b/>
          <w:bCs/>
          <w:sz w:val="28"/>
          <w:szCs w:val="28"/>
          <w:highlight w:val="yellow"/>
          <w:lang w:val="en-GB"/>
        </w:rPr>
      </w:pPr>
    </w:p>
    <w:p w14:paraId="247BB2C2" w14:textId="62C54D23" w:rsidR="00400443" w:rsidRPr="0048733A" w:rsidRDefault="00400443">
      <w:pPr>
        <w:rPr>
          <w:rFonts w:ascii="Times New Roman" w:eastAsia="Times New Roman" w:hAnsi="Times New Roman" w:cs="Times New Roman"/>
          <w:b/>
          <w:bCs/>
          <w:sz w:val="28"/>
          <w:szCs w:val="28"/>
          <w:highlight w:val="yellow"/>
          <w:lang w:val="en-GB"/>
        </w:rPr>
      </w:pPr>
      <w:r w:rsidRPr="0048733A">
        <w:rPr>
          <w:rFonts w:ascii="Times New Roman" w:eastAsia="Times New Roman" w:hAnsi="Times New Roman" w:cs="Times New Roman"/>
          <w:b/>
          <w:bCs/>
          <w:sz w:val="28"/>
          <w:szCs w:val="28"/>
          <w:highlight w:val="yellow"/>
          <w:lang w:val="en-GB"/>
        </w:rPr>
        <w:br w:type="page"/>
      </w:r>
    </w:p>
    <w:p w14:paraId="704EA7D3" w14:textId="77777777" w:rsidR="00400443" w:rsidRPr="0048733A" w:rsidRDefault="00400443">
      <w:pPr>
        <w:rPr>
          <w:rFonts w:ascii="Times New Roman" w:eastAsia="Times New Roman" w:hAnsi="Times New Roman" w:cs="Times New Roman"/>
          <w:b/>
          <w:bCs/>
          <w:sz w:val="28"/>
          <w:szCs w:val="28"/>
          <w:highlight w:val="yellow"/>
          <w:lang w:val="en-GB"/>
        </w:rPr>
        <w:sectPr w:rsidR="00400443" w:rsidRPr="0048733A">
          <w:pgSz w:w="16838" w:h="11906" w:orient="landscape"/>
          <w:pgMar w:top="1417" w:right="1417" w:bottom="1417" w:left="1417" w:header="708" w:footer="708" w:gutter="0"/>
          <w:cols w:space="720"/>
        </w:sectPr>
      </w:pPr>
    </w:p>
    <w:p w14:paraId="462D2051" w14:textId="4C3D8CC8" w:rsidR="00810737" w:rsidRPr="0048733A" w:rsidRDefault="00810737">
      <w:pPr>
        <w:rPr>
          <w:rFonts w:ascii="Times New Roman" w:eastAsia="Times New Roman" w:hAnsi="Times New Roman" w:cs="Times New Roman"/>
          <w:b/>
          <w:bCs/>
          <w:sz w:val="28"/>
          <w:szCs w:val="28"/>
          <w:highlight w:val="yellow"/>
          <w:lang w:val="en-GB"/>
        </w:rPr>
      </w:pPr>
    </w:p>
    <w:p w14:paraId="609BF586" w14:textId="79CF2D89" w:rsidR="00DA0F40" w:rsidRPr="0048733A" w:rsidRDefault="0048733A" w:rsidP="00DA0F40">
      <w:pPr>
        <w:rPr>
          <w:rFonts w:asciiTheme="majorBidi" w:hAnsiTheme="majorBidi" w:cstheme="majorBidi"/>
          <w:b/>
          <w:bCs/>
          <w:sz w:val="24"/>
          <w:szCs w:val="24"/>
          <w:lang w:val="en-GB"/>
        </w:rPr>
      </w:pPr>
      <w:r w:rsidRPr="0048733A">
        <w:rPr>
          <w:rFonts w:asciiTheme="majorBidi" w:hAnsiTheme="majorBidi" w:cstheme="majorBidi"/>
          <w:b/>
          <w:bCs/>
          <w:sz w:val="24"/>
          <w:szCs w:val="24"/>
          <w:lang w:val="en-GB"/>
        </w:rPr>
        <w:t xml:space="preserve">II. </w:t>
      </w:r>
      <w:r w:rsidR="00DA0F40" w:rsidRPr="0048733A">
        <w:rPr>
          <w:rFonts w:asciiTheme="majorBidi" w:hAnsiTheme="majorBidi" w:cstheme="majorBidi"/>
          <w:b/>
          <w:bCs/>
          <w:sz w:val="24"/>
          <w:szCs w:val="24"/>
          <w:lang w:val="en-GB"/>
        </w:rPr>
        <w:t>University Sustainability Index Formulation</w:t>
      </w:r>
    </w:p>
    <w:p w14:paraId="333F8E7A" w14:textId="25A0941E" w:rsidR="00480102" w:rsidRPr="0048733A" w:rsidRDefault="00480102" w:rsidP="0048733A">
      <w:pPr>
        <w:jc w:val="both"/>
        <w:rPr>
          <w:rFonts w:asciiTheme="majorBidi" w:hAnsiTheme="majorBidi" w:cstheme="majorBidi"/>
          <w:sz w:val="24"/>
          <w:szCs w:val="24"/>
          <w:lang w:val="en-GB"/>
        </w:rPr>
      </w:pPr>
      <w:bookmarkStart w:id="3" w:name="Xbcb3736f3e66533bb1a1564fe17ce5823f79aa4"/>
      <w:r w:rsidRPr="0048733A">
        <w:rPr>
          <w:rFonts w:asciiTheme="majorBidi" w:hAnsiTheme="majorBidi" w:cstheme="majorBidi"/>
          <w:sz w:val="24"/>
          <w:szCs w:val="24"/>
          <w:lang w:val="en-GB"/>
        </w:rPr>
        <w:t xml:space="preserve">In order to formalize the proposed sustainability framework, university sustainability is </w:t>
      </w:r>
      <w:r w:rsidR="0048733A" w:rsidRPr="0048733A">
        <w:rPr>
          <w:rFonts w:asciiTheme="majorBidi" w:hAnsiTheme="majorBidi" w:cstheme="majorBidi"/>
          <w:sz w:val="24"/>
          <w:szCs w:val="24"/>
          <w:lang w:val="en-GB"/>
        </w:rPr>
        <w:t>modelled</w:t>
      </w:r>
      <w:r w:rsidRPr="0048733A">
        <w:rPr>
          <w:rFonts w:asciiTheme="majorBidi" w:hAnsiTheme="majorBidi" w:cstheme="majorBidi"/>
          <w:sz w:val="24"/>
          <w:szCs w:val="24"/>
          <w:lang w:val="en-GB"/>
        </w:rPr>
        <w:t xml:space="preserve"> using latent variables representing stakeholder perception, stakeholder expectation, sustainability alignment, and overall institutional sustainability performance. Such constructs are not directly observable and must therefore be inferred from observable indicators through latent variable </w:t>
      </w:r>
      <w:r w:rsidR="0048733A" w:rsidRPr="0048733A">
        <w:rPr>
          <w:rFonts w:asciiTheme="majorBidi" w:hAnsiTheme="majorBidi" w:cstheme="majorBidi"/>
          <w:sz w:val="24"/>
          <w:szCs w:val="24"/>
          <w:lang w:val="en-GB"/>
        </w:rPr>
        <w:t>modelling</w:t>
      </w:r>
      <w:r w:rsidRPr="0048733A">
        <w:rPr>
          <w:rFonts w:asciiTheme="majorBidi" w:hAnsiTheme="majorBidi" w:cstheme="majorBidi"/>
          <w:sz w:val="24"/>
          <w:szCs w:val="24"/>
          <w:lang w:val="en-GB"/>
        </w:rPr>
        <w:t xml:space="preserve"> techniques [9], [18]. Latent variable </w:t>
      </w:r>
      <w:r w:rsidR="0048733A" w:rsidRPr="0048733A">
        <w:rPr>
          <w:rFonts w:asciiTheme="majorBidi" w:hAnsiTheme="majorBidi" w:cstheme="majorBidi"/>
          <w:sz w:val="24"/>
          <w:szCs w:val="24"/>
          <w:lang w:val="en-GB"/>
        </w:rPr>
        <w:t>modelling</w:t>
      </w:r>
      <w:r w:rsidRPr="0048733A">
        <w:rPr>
          <w:rFonts w:asciiTheme="majorBidi" w:hAnsiTheme="majorBidi" w:cstheme="majorBidi"/>
          <w:sz w:val="24"/>
          <w:szCs w:val="24"/>
          <w:lang w:val="en-GB"/>
        </w:rPr>
        <w:t xml:space="preserve"> is particularly appropriate when dealing with multidimensional and abstract constructs such as sustainability [10].</w:t>
      </w:r>
    </w:p>
    <w:p w14:paraId="28499B63" w14:textId="77777777" w:rsidR="00480102" w:rsidRPr="0048733A" w:rsidRDefault="00480102" w:rsidP="0048733A">
      <w:pPr>
        <w:pStyle w:val="Titre2"/>
        <w:spacing w:before="160" w:after="80" w:line="240" w:lineRule="auto"/>
        <w:rPr>
          <w:rFonts w:asciiTheme="majorBidi" w:hAnsiTheme="majorBidi" w:cstheme="majorBidi"/>
          <w:i/>
          <w:iCs/>
          <w:color w:val="auto"/>
          <w:sz w:val="24"/>
          <w:szCs w:val="24"/>
          <w:lang w:val="en-GB"/>
        </w:rPr>
      </w:pPr>
      <w:r w:rsidRPr="0048733A">
        <w:rPr>
          <w:rFonts w:asciiTheme="majorBidi" w:hAnsiTheme="majorBidi" w:cstheme="majorBidi"/>
          <w:i/>
          <w:iCs/>
          <w:color w:val="auto"/>
          <w:sz w:val="24"/>
          <w:szCs w:val="24"/>
          <w:lang w:val="en-GB"/>
        </w:rPr>
        <w:t>Definition of Latent Variables and Constructs</w:t>
      </w:r>
    </w:p>
    <w:p w14:paraId="2ADB003B" w14:textId="77777777" w:rsidR="00480102" w:rsidRPr="0048733A" w:rsidRDefault="00480102" w:rsidP="00480102">
      <w:pPr>
        <w:rPr>
          <w:rFonts w:asciiTheme="majorBidi" w:hAnsiTheme="majorBidi" w:cstheme="majorBidi"/>
          <w:sz w:val="24"/>
          <w:szCs w:val="24"/>
          <w:lang w:val="en-GB"/>
        </w:rPr>
      </w:pPr>
      <w:r w:rsidRPr="0048733A">
        <w:rPr>
          <w:rFonts w:asciiTheme="majorBidi" w:hAnsiTheme="majorBidi" w:cstheme="majorBidi"/>
          <w:sz w:val="24"/>
          <w:szCs w:val="24"/>
          <w:lang w:val="en-GB"/>
        </w:rPr>
        <w:t>The model distinguishes between exogenous latent variables, representing perceived and expected sustainability, and endogenous latent variables, representing sustainability gaps and the overall University Sustainability Index.</w:t>
      </w:r>
    </w:p>
    <w:p w14:paraId="2EA4940D" w14:textId="77777777" w:rsidR="00480102" w:rsidRPr="0048733A" w:rsidRDefault="00480102" w:rsidP="00480102">
      <w:pPr>
        <w:rPr>
          <w:rFonts w:asciiTheme="majorBidi" w:hAnsiTheme="majorBidi" w:cstheme="majorBidi"/>
          <w:sz w:val="24"/>
          <w:szCs w:val="24"/>
          <w:lang w:val="en-GB"/>
        </w:rPr>
      </w:pPr>
      <w:r w:rsidRPr="0048733A">
        <w:rPr>
          <w:rFonts w:asciiTheme="majorBidi" w:hAnsiTheme="majorBidi" w:cstheme="majorBidi"/>
          <w:sz w:val="24"/>
          <w:szCs w:val="24"/>
          <w:lang w:val="en-GB"/>
        </w:rPr>
        <w:t>The vector of exogenous latent variables is defined as:</w:t>
      </w:r>
    </w:p>
    <w:p w14:paraId="7AD08E89" w14:textId="77777777" w:rsidR="00480102" w:rsidRPr="0048733A" w:rsidRDefault="00480102" w:rsidP="00480102">
      <w:pPr>
        <w:jc w:val="center"/>
        <w:rPr>
          <w:rFonts w:asciiTheme="majorBidi" w:hAnsiTheme="majorBidi" w:cstheme="majorBidi"/>
          <w:sz w:val="24"/>
          <w:szCs w:val="24"/>
          <w:lang w:val="en-GB"/>
        </w:rPr>
      </w:pPr>
      <m:oMath>
        <m:r>
          <w:rPr>
            <w:rFonts w:ascii="Cambria Math" w:hAnsi="Cambria Math" w:cstheme="majorBidi"/>
            <w:sz w:val="24"/>
            <w:szCs w:val="24"/>
            <w:lang w:val="en-GB"/>
          </w:rPr>
          <m:t>ξ</m:t>
        </m:r>
        <m:r>
          <m:rPr>
            <m:sty m:val="p"/>
          </m:rPr>
          <w:rPr>
            <w:rFonts w:ascii="Cambria Math" w:hAnsi="Cambria Math" w:cstheme="majorBidi"/>
            <w:sz w:val="24"/>
            <w:szCs w:val="24"/>
            <w:lang w:val="en-GB"/>
          </w:rPr>
          <m:t>=</m:t>
        </m:r>
        <m:d>
          <m:dPr>
            <m:begChr m:val="["/>
            <m:endChr m:val="]"/>
            <m:ctrlPr>
              <w:rPr>
                <w:rFonts w:ascii="Cambria Math" w:hAnsi="Cambria Math" w:cstheme="majorBidi"/>
                <w:sz w:val="24"/>
                <w:szCs w:val="24"/>
                <w:lang w:val="en-GB"/>
              </w:rPr>
            </m:ctrlPr>
          </m:dPr>
          <m:e>
            <m:m>
              <m:mPr>
                <m:plcHide m:val="1"/>
                <m:mcs>
                  <m:mc>
                    <m:mcPr>
                      <m:count m:val="1"/>
                      <m:mcJc m:val="center"/>
                    </m:mcPr>
                  </m:mc>
                </m:mcs>
                <m:ctrlPr>
                  <w:rPr>
                    <w:rFonts w:ascii="Cambria Math" w:hAnsi="Cambria Math" w:cstheme="majorBidi"/>
                    <w:sz w:val="24"/>
                    <w:szCs w:val="24"/>
                    <w:lang w:val="en-GB"/>
                  </w:rPr>
                </m:ctrlPr>
              </m:mPr>
              <m:mr>
                <m:e>
                  <m:sSub>
                    <m:sSubPr>
                      <m:ctrlPr>
                        <w:rPr>
                          <w:rFonts w:ascii="Cambria Math" w:hAnsi="Cambria Math" w:cstheme="majorBidi"/>
                          <w:sz w:val="24"/>
                          <w:szCs w:val="24"/>
                          <w:lang w:val="en-GB"/>
                        </w:rPr>
                      </m:ctrlPr>
                    </m:sSubPr>
                    <m:e>
                      <m:r>
                        <w:rPr>
                          <w:rFonts w:ascii="Cambria Math" w:hAnsi="Cambria Math" w:cstheme="majorBidi"/>
                          <w:sz w:val="24"/>
                          <w:szCs w:val="24"/>
                          <w:lang w:val="en-GB"/>
                        </w:rPr>
                        <m:t>P</m:t>
                      </m:r>
                    </m:e>
                    <m:sub>
                      <m:r>
                        <w:rPr>
                          <w:rFonts w:ascii="Cambria Math" w:hAnsi="Cambria Math" w:cstheme="majorBidi"/>
                          <w:sz w:val="24"/>
                          <w:szCs w:val="24"/>
                          <w:lang w:val="en-GB"/>
                        </w:rPr>
                        <m:t>e</m:t>
                      </m:r>
                    </m:sub>
                  </m:sSub>
                </m:e>
              </m:mr>
              <m:mr>
                <m:e>
                  <m:sSub>
                    <m:sSubPr>
                      <m:ctrlPr>
                        <w:rPr>
                          <w:rFonts w:ascii="Cambria Math" w:hAnsi="Cambria Math" w:cstheme="majorBidi"/>
                          <w:sz w:val="24"/>
                          <w:szCs w:val="24"/>
                          <w:lang w:val="en-GB"/>
                        </w:rPr>
                      </m:ctrlPr>
                    </m:sSubPr>
                    <m:e>
                      <m:r>
                        <w:rPr>
                          <w:rFonts w:ascii="Cambria Math" w:hAnsi="Cambria Math" w:cstheme="majorBidi"/>
                          <w:sz w:val="24"/>
                          <w:szCs w:val="24"/>
                          <w:lang w:val="en-GB"/>
                        </w:rPr>
                        <m:t>P</m:t>
                      </m:r>
                    </m:e>
                    <m:sub>
                      <m:r>
                        <w:rPr>
                          <w:rFonts w:ascii="Cambria Math" w:hAnsi="Cambria Math" w:cstheme="majorBidi"/>
                          <w:sz w:val="24"/>
                          <w:szCs w:val="24"/>
                          <w:lang w:val="en-GB"/>
                        </w:rPr>
                        <m:t>s</m:t>
                      </m:r>
                    </m:sub>
                  </m:sSub>
                </m:e>
              </m:mr>
              <m:mr>
                <m:e>
                  <m:sSub>
                    <m:sSubPr>
                      <m:ctrlPr>
                        <w:rPr>
                          <w:rFonts w:ascii="Cambria Math" w:hAnsi="Cambria Math" w:cstheme="majorBidi"/>
                          <w:sz w:val="24"/>
                          <w:szCs w:val="24"/>
                          <w:lang w:val="en-GB"/>
                        </w:rPr>
                      </m:ctrlPr>
                    </m:sSubPr>
                    <m:e>
                      <m:r>
                        <w:rPr>
                          <w:rFonts w:ascii="Cambria Math" w:hAnsi="Cambria Math" w:cstheme="majorBidi"/>
                          <w:sz w:val="24"/>
                          <w:szCs w:val="24"/>
                          <w:lang w:val="en-GB"/>
                        </w:rPr>
                        <m:t>P</m:t>
                      </m:r>
                    </m:e>
                    <m:sub>
                      <m:r>
                        <w:rPr>
                          <w:rFonts w:ascii="Cambria Math" w:hAnsi="Cambria Math" w:cstheme="majorBidi"/>
                          <w:sz w:val="24"/>
                          <w:szCs w:val="24"/>
                          <w:lang w:val="en-GB"/>
                        </w:rPr>
                        <m:t>env</m:t>
                      </m:r>
                    </m:sub>
                  </m:sSub>
                </m:e>
              </m:mr>
              <m:mr>
                <m:e>
                  <m:sSub>
                    <m:sSubPr>
                      <m:ctrlPr>
                        <w:rPr>
                          <w:rFonts w:ascii="Cambria Math" w:hAnsi="Cambria Math" w:cstheme="majorBidi"/>
                          <w:sz w:val="24"/>
                          <w:szCs w:val="24"/>
                          <w:lang w:val="en-GB"/>
                        </w:rPr>
                      </m:ctrlPr>
                    </m:sSubPr>
                    <m:e>
                      <m:r>
                        <w:rPr>
                          <w:rFonts w:ascii="Cambria Math" w:hAnsi="Cambria Math" w:cstheme="majorBidi"/>
                          <w:sz w:val="24"/>
                          <w:szCs w:val="24"/>
                          <w:lang w:val="en-GB"/>
                        </w:rPr>
                        <m:t>E</m:t>
                      </m:r>
                    </m:e>
                    <m:sub>
                      <m:r>
                        <w:rPr>
                          <w:rFonts w:ascii="Cambria Math" w:hAnsi="Cambria Math" w:cstheme="majorBidi"/>
                          <w:sz w:val="24"/>
                          <w:szCs w:val="24"/>
                          <w:lang w:val="en-GB"/>
                        </w:rPr>
                        <m:t>e</m:t>
                      </m:r>
                    </m:sub>
                  </m:sSub>
                </m:e>
              </m:mr>
              <m:mr>
                <m:e>
                  <m:sSub>
                    <m:sSubPr>
                      <m:ctrlPr>
                        <w:rPr>
                          <w:rFonts w:ascii="Cambria Math" w:hAnsi="Cambria Math" w:cstheme="majorBidi"/>
                          <w:sz w:val="24"/>
                          <w:szCs w:val="24"/>
                          <w:lang w:val="en-GB"/>
                        </w:rPr>
                      </m:ctrlPr>
                    </m:sSubPr>
                    <m:e>
                      <m:r>
                        <w:rPr>
                          <w:rFonts w:ascii="Cambria Math" w:hAnsi="Cambria Math" w:cstheme="majorBidi"/>
                          <w:sz w:val="24"/>
                          <w:szCs w:val="24"/>
                          <w:lang w:val="en-GB"/>
                        </w:rPr>
                        <m:t>E</m:t>
                      </m:r>
                    </m:e>
                    <m:sub>
                      <m:r>
                        <w:rPr>
                          <w:rFonts w:ascii="Cambria Math" w:hAnsi="Cambria Math" w:cstheme="majorBidi"/>
                          <w:sz w:val="24"/>
                          <w:szCs w:val="24"/>
                          <w:lang w:val="en-GB"/>
                        </w:rPr>
                        <m:t>s</m:t>
                      </m:r>
                    </m:sub>
                  </m:sSub>
                </m:e>
              </m:mr>
              <m:mr>
                <m:e>
                  <m:sSub>
                    <m:sSubPr>
                      <m:ctrlPr>
                        <w:rPr>
                          <w:rFonts w:ascii="Cambria Math" w:hAnsi="Cambria Math" w:cstheme="majorBidi"/>
                          <w:sz w:val="24"/>
                          <w:szCs w:val="24"/>
                          <w:lang w:val="en-GB"/>
                        </w:rPr>
                      </m:ctrlPr>
                    </m:sSubPr>
                    <m:e>
                      <m:r>
                        <w:rPr>
                          <w:rFonts w:ascii="Cambria Math" w:hAnsi="Cambria Math" w:cstheme="majorBidi"/>
                          <w:sz w:val="24"/>
                          <w:szCs w:val="24"/>
                          <w:lang w:val="en-GB"/>
                        </w:rPr>
                        <m:t>E</m:t>
                      </m:r>
                    </m:e>
                    <m:sub>
                      <m:r>
                        <w:rPr>
                          <w:rFonts w:ascii="Cambria Math" w:hAnsi="Cambria Math" w:cstheme="majorBidi"/>
                          <w:sz w:val="24"/>
                          <w:szCs w:val="24"/>
                          <w:lang w:val="en-GB"/>
                        </w:rPr>
                        <m:t>env</m:t>
                      </m:r>
                    </m:sub>
                  </m:sSub>
                </m:e>
              </m:mr>
            </m:m>
          </m:e>
        </m:d>
      </m:oMath>
      <w:r w:rsidRPr="0048733A">
        <w:rPr>
          <w:rFonts w:asciiTheme="majorBidi" w:hAnsiTheme="majorBidi" w:cstheme="majorBidi"/>
          <w:sz w:val="24"/>
          <w:szCs w:val="24"/>
          <w:lang w:val="en-GB"/>
        </w:rPr>
        <w:t xml:space="preserve">  (1)</w:t>
      </w:r>
    </w:p>
    <w:p w14:paraId="2DF9197A" w14:textId="77777777" w:rsidR="00480102" w:rsidRPr="0048733A" w:rsidRDefault="00480102" w:rsidP="00480102">
      <w:pPr>
        <w:rPr>
          <w:rFonts w:asciiTheme="majorBidi" w:hAnsiTheme="majorBidi" w:cstheme="majorBidi"/>
          <w:sz w:val="24"/>
          <w:szCs w:val="24"/>
          <w:lang w:val="en-GB"/>
        </w:rPr>
      </w:pPr>
      <w:r w:rsidRPr="0048733A">
        <w:rPr>
          <w:rFonts w:asciiTheme="majorBidi" w:hAnsiTheme="majorBidi" w:cstheme="majorBidi"/>
          <w:sz w:val="24"/>
          <w:szCs w:val="24"/>
          <w:lang w:val="en-GB"/>
        </w:rPr>
        <w:t>where:</w:t>
      </w:r>
    </w:p>
    <w:p w14:paraId="485332F7" w14:textId="77777777" w:rsidR="00480102" w:rsidRPr="0048733A" w:rsidRDefault="00480102" w:rsidP="00480102">
      <w:pPr>
        <w:numPr>
          <w:ilvl w:val="0"/>
          <w:numId w:val="3"/>
        </w:numPr>
        <w:spacing w:after="20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Perceived Economic Sustainability (</w:t>
      </w:r>
      <m:oMath>
        <m:sSub>
          <m:sSubPr>
            <m:ctrlPr>
              <w:rPr>
                <w:rFonts w:ascii="Cambria Math" w:hAnsi="Cambria Math" w:cstheme="majorBidi"/>
                <w:sz w:val="24"/>
                <w:szCs w:val="24"/>
                <w:lang w:val="en-GB"/>
              </w:rPr>
            </m:ctrlPr>
          </m:sSubPr>
          <m:e>
            <m:r>
              <w:rPr>
                <w:rFonts w:ascii="Cambria Math" w:hAnsi="Cambria Math" w:cstheme="majorBidi"/>
                <w:sz w:val="24"/>
                <w:szCs w:val="24"/>
                <w:lang w:val="en-GB"/>
              </w:rPr>
              <m:t>P</m:t>
            </m:r>
          </m:e>
          <m:sub>
            <m:r>
              <w:rPr>
                <w:rFonts w:ascii="Cambria Math" w:hAnsi="Cambria Math" w:cstheme="majorBidi"/>
                <w:sz w:val="24"/>
                <w:szCs w:val="24"/>
                <w:lang w:val="en-GB"/>
              </w:rPr>
              <m:t>e</m:t>
            </m:r>
          </m:sub>
        </m:sSub>
      </m:oMath>
      <w:r w:rsidRPr="0048733A">
        <w:rPr>
          <w:rFonts w:asciiTheme="majorBidi" w:hAnsiTheme="majorBidi" w:cstheme="majorBidi"/>
          <w:sz w:val="24"/>
          <w:szCs w:val="24"/>
          <w:lang w:val="en-GB"/>
        </w:rPr>
        <w:t>), reflecting stakeholder evaluation of existing economic sustainability initiatives, such as digitalization, resource optimization, and institutional efficiency;</w:t>
      </w:r>
    </w:p>
    <w:p w14:paraId="3AD6F8CF" w14:textId="77777777" w:rsidR="00480102" w:rsidRPr="0048733A" w:rsidRDefault="00480102" w:rsidP="00480102">
      <w:pPr>
        <w:numPr>
          <w:ilvl w:val="0"/>
          <w:numId w:val="3"/>
        </w:numPr>
        <w:spacing w:after="20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Perceived Social Sustainability (</w:t>
      </w:r>
      <m:oMath>
        <m:sSub>
          <m:sSubPr>
            <m:ctrlPr>
              <w:rPr>
                <w:rFonts w:ascii="Cambria Math" w:hAnsi="Cambria Math" w:cstheme="majorBidi"/>
                <w:sz w:val="24"/>
                <w:szCs w:val="24"/>
                <w:lang w:val="en-GB"/>
              </w:rPr>
            </m:ctrlPr>
          </m:sSubPr>
          <m:e>
            <m:r>
              <w:rPr>
                <w:rFonts w:ascii="Cambria Math" w:hAnsi="Cambria Math" w:cstheme="majorBidi"/>
                <w:sz w:val="24"/>
                <w:szCs w:val="24"/>
                <w:lang w:val="en-GB"/>
              </w:rPr>
              <m:t>P</m:t>
            </m:r>
          </m:e>
          <m:sub>
            <m:r>
              <w:rPr>
                <w:rFonts w:ascii="Cambria Math" w:hAnsi="Cambria Math" w:cstheme="majorBidi"/>
                <w:sz w:val="24"/>
                <w:szCs w:val="24"/>
                <w:lang w:val="en-GB"/>
              </w:rPr>
              <m:t>s</m:t>
            </m:r>
          </m:sub>
        </m:sSub>
      </m:oMath>
      <w:r w:rsidRPr="0048733A">
        <w:rPr>
          <w:rFonts w:asciiTheme="majorBidi" w:hAnsiTheme="majorBidi" w:cstheme="majorBidi"/>
          <w:sz w:val="24"/>
          <w:szCs w:val="24"/>
          <w:lang w:val="en-GB"/>
        </w:rPr>
        <w:t>), reflecting stakeholder perception of inclusion, well-being, social engagement, and institutional support mechanisms;</w:t>
      </w:r>
    </w:p>
    <w:p w14:paraId="6413F730" w14:textId="77777777" w:rsidR="00480102" w:rsidRPr="0048733A" w:rsidRDefault="00480102" w:rsidP="00480102">
      <w:pPr>
        <w:numPr>
          <w:ilvl w:val="0"/>
          <w:numId w:val="3"/>
        </w:numPr>
        <w:spacing w:after="20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Perceived Environmental Sustainability (</w:t>
      </w:r>
      <m:oMath>
        <m:sSub>
          <m:sSubPr>
            <m:ctrlPr>
              <w:rPr>
                <w:rFonts w:ascii="Cambria Math" w:hAnsi="Cambria Math" w:cstheme="majorBidi"/>
                <w:sz w:val="24"/>
                <w:szCs w:val="24"/>
                <w:lang w:val="en-GB"/>
              </w:rPr>
            </m:ctrlPr>
          </m:sSubPr>
          <m:e>
            <m:r>
              <w:rPr>
                <w:rFonts w:ascii="Cambria Math" w:hAnsi="Cambria Math" w:cstheme="majorBidi"/>
                <w:sz w:val="24"/>
                <w:szCs w:val="24"/>
                <w:lang w:val="en-GB"/>
              </w:rPr>
              <m:t>P</m:t>
            </m:r>
          </m:e>
          <m:sub>
            <m:r>
              <w:rPr>
                <w:rFonts w:ascii="Cambria Math" w:hAnsi="Cambria Math" w:cstheme="majorBidi"/>
                <w:sz w:val="24"/>
                <w:szCs w:val="24"/>
                <w:lang w:val="en-GB"/>
              </w:rPr>
              <m:t>env</m:t>
            </m:r>
          </m:sub>
        </m:sSub>
      </m:oMath>
      <w:r w:rsidRPr="0048733A">
        <w:rPr>
          <w:rFonts w:asciiTheme="majorBidi" w:hAnsiTheme="majorBidi" w:cstheme="majorBidi"/>
          <w:sz w:val="24"/>
          <w:szCs w:val="24"/>
          <w:lang w:val="en-GB"/>
        </w:rPr>
        <w:t>), reflecting stakeholder perception of environmental initiatives, including waste management, resource conservation, and ecological awareness;</w:t>
      </w:r>
    </w:p>
    <w:p w14:paraId="6CFECC0B" w14:textId="77777777" w:rsidR="00480102" w:rsidRPr="0048733A" w:rsidRDefault="00480102" w:rsidP="00480102">
      <w:pPr>
        <w:numPr>
          <w:ilvl w:val="0"/>
          <w:numId w:val="3"/>
        </w:numPr>
        <w:spacing w:after="20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Expected Economic Sustainability (</w:t>
      </w:r>
      <m:oMath>
        <m:sSub>
          <m:sSubPr>
            <m:ctrlPr>
              <w:rPr>
                <w:rFonts w:ascii="Cambria Math" w:hAnsi="Cambria Math" w:cstheme="majorBidi"/>
                <w:sz w:val="24"/>
                <w:szCs w:val="24"/>
                <w:lang w:val="en-GB"/>
              </w:rPr>
            </m:ctrlPr>
          </m:sSubPr>
          <m:e>
            <m:r>
              <w:rPr>
                <w:rFonts w:ascii="Cambria Math" w:hAnsi="Cambria Math" w:cstheme="majorBidi"/>
                <w:sz w:val="24"/>
                <w:szCs w:val="24"/>
                <w:lang w:val="en-GB"/>
              </w:rPr>
              <m:t>E</m:t>
            </m:r>
          </m:e>
          <m:sub>
            <m:r>
              <w:rPr>
                <w:rFonts w:ascii="Cambria Math" w:hAnsi="Cambria Math" w:cstheme="majorBidi"/>
                <w:sz w:val="24"/>
                <w:szCs w:val="24"/>
                <w:lang w:val="en-GB"/>
              </w:rPr>
              <m:t>e</m:t>
            </m:r>
          </m:sub>
        </m:sSub>
      </m:oMath>
      <w:r w:rsidRPr="0048733A">
        <w:rPr>
          <w:rFonts w:asciiTheme="majorBidi" w:hAnsiTheme="majorBidi" w:cstheme="majorBidi"/>
          <w:sz w:val="24"/>
          <w:szCs w:val="24"/>
          <w:lang w:val="en-GB"/>
        </w:rPr>
        <w:t>), reflecting stakeholder expectations regarding economic sustainability performance and institutional commitment;</w:t>
      </w:r>
    </w:p>
    <w:p w14:paraId="05E6B983" w14:textId="77777777" w:rsidR="00480102" w:rsidRPr="0048733A" w:rsidRDefault="00480102" w:rsidP="00480102">
      <w:pPr>
        <w:numPr>
          <w:ilvl w:val="0"/>
          <w:numId w:val="3"/>
        </w:numPr>
        <w:spacing w:after="20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Expected Social Sustainability (</w:t>
      </w:r>
      <m:oMath>
        <m:sSub>
          <m:sSubPr>
            <m:ctrlPr>
              <w:rPr>
                <w:rFonts w:ascii="Cambria Math" w:hAnsi="Cambria Math" w:cstheme="majorBidi"/>
                <w:sz w:val="24"/>
                <w:szCs w:val="24"/>
                <w:lang w:val="en-GB"/>
              </w:rPr>
            </m:ctrlPr>
          </m:sSubPr>
          <m:e>
            <m:r>
              <w:rPr>
                <w:rFonts w:ascii="Cambria Math" w:hAnsi="Cambria Math" w:cstheme="majorBidi"/>
                <w:sz w:val="24"/>
                <w:szCs w:val="24"/>
                <w:lang w:val="en-GB"/>
              </w:rPr>
              <m:t>E</m:t>
            </m:r>
          </m:e>
          <m:sub>
            <m:r>
              <w:rPr>
                <w:rFonts w:ascii="Cambria Math" w:hAnsi="Cambria Math" w:cstheme="majorBidi"/>
                <w:sz w:val="24"/>
                <w:szCs w:val="24"/>
                <w:lang w:val="en-GB"/>
              </w:rPr>
              <m:t>s</m:t>
            </m:r>
          </m:sub>
        </m:sSub>
      </m:oMath>
      <w:r w:rsidRPr="0048733A">
        <w:rPr>
          <w:rFonts w:asciiTheme="majorBidi" w:hAnsiTheme="majorBidi" w:cstheme="majorBidi"/>
          <w:sz w:val="24"/>
          <w:szCs w:val="24"/>
          <w:lang w:val="en-GB"/>
        </w:rPr>
        <w:t>), reflecting stakeholder expectations concerning inclusion, psychological support, and social responsibility;</w:t>
      </w:r>
    </w:p>
    <w:p w14:paraId="7F677F46" w14:textId="77777777" w:rsidR="00480102" w:rsidRPr="0048733A" w:rsidRDefault="00480102" w:rsidP="00480102">
      <w:pPr>
        <w:numPr>
          <w:ilvl w:val="0"/>
          <w:numId w:val="3"/>
        </w:numPr>
        <w:spacing w:after="20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Expected Environmental Sustainability (</w:t>
      </w:r>
      <m:oMath>
        <m:sSub>
          <m:sSubPr>
            <m:ctrlPr>
              <w:rPr>
                <w:rFonts w:ascii="Cambria Math" w:hAnsi="Cambria Math" w:cstheme="majorBidi"/>
                <w:sz w:val="24"/>
                <w:szCs w:val="24"/>
                <w:lang w:val="en-GB"/>
              </w:rPr>
            </m:ctrlPr>
          </m:sSubPr>
          <m:e>
            <m:r>
              <w:rPr>
                <w:rFonts w:ascii="Cambria Math" w:hAnsi="Cambria Math" w:cstheme="majorBidi"/>
                <w:sz w:val="24"/>
                <w:szCs w:val="24"/>
                <w:lang w:val="en-GB"/>
              </w:rPr>
              <m:t>E</m:t>
            </m:r>
          </m:e>
          <m:sub>
            <m:r>
              <w:rPr>
                <w:rFonts w:ascii="Cambria Math" w:hAnsi="Cambria Math" w:cstheme="majorBidi"/>
                <w:sz w:val="24"/>
                <w:szCs w:val="24"/>
                <w:lang w:val="en-GB"/>
              </w:rPr>
              <m:t>env</m:t>
            </m:r>
          </m:sub>
        </m:sSub>
      </m:oMath>
      <w:r w:rsidRPr="0048733A">
        <w:rPr>
          <w:rFonts w:asciiTheme="majorBidi" w:hAnsiTheme="majorBidi" w:cstheme="majorBidi"/>
          <w:sz w:val="24"/>
          <w:szCs w:val="24"/>
          <w:lang w:val="en-GB"/>
        </w:rPr>
        <w:t>), reflecting stakeholder expectations regarding environmental protection, resource management, and ecological institutionalization.</w:t>
      </w:r>
    </w:p>
    <w:p w14:paraId="408A9279" w14:textId="77777777" w:rsidR="00480102" w:rsidRPr="0048733A" w:rsidRDefault="00480102" w:rsidP="00480102">
      <w:pPr>
        <w:rPr>
          <w:rFonts w:asciiTheme="majorBidi" w:hAnsiTheme="majorBidi" w:cstheme="majorBidi"/>
          <w:sz w:val="24"/>
          <w:szCs w:val="24"/>
          <w:lang w:val="en-GB"/>
        </w:rPr>
      </w:pPr>
      <w:r w:rsidRPr="0048733A">
        <w:rPr>
          <w:rFonts w:asciiTheme="majorBidi" w:hAnsiTheme="majorBidi" w:cstheme="majorBidi"/>
          <w:sz w:val="24"/>
          <w:szCs w:val="24"/>
          <w:lang w:val="en-GB"/>
        </w:rPr>
        <w:t>These exogenous latent variables capture stakeholder-based evaluations of institutional sustainability performance from both perceptual and normative perspectives, consistent with expectation–perception evaluation models [8].</w:t>
      </w:r>
    </w:p>
    <w:p w14:paraId="1F21F11E" w14:textId="77777777" w:rsidR="00480102" w:rsidRPr="0048733A" w:rsidRDefault="00480102" w:rsidP="00480102">
      <w:pPr>
        <w:rPr>
          <w:rFonts w:asciiTheme="majorBidi" w:hAnsiTheme="majorBidi" w:cstheme="majorBidi"/>
          <w:sz w:val="24"/>
          <w:szCs w:val="24"/>
          <w:lang w:val="en-GB"/>
        </w:rPr>
      </w:pPr>
      <w:r w:rsidRPr="0048733A">
        <w:rPr>
          <w:rFonts w:asciiTheme="majorBidi" w:hAnsiTheme="majorBidi" w:cstheme="majorBidi"/>
          <w:sz w:val="24"/>
          <w:szCs w:val="24"/>
          <w:lang w:val="en-GB"/>
        </w:rPr>
        <w:lastRenderedPageBreak/>
        <w:t>The vector of endogenous latent variables is defined as:</w:t>
      </w:r>
    </w:p>
    <w:p w14:paraId="742BD879" w14:textId="77777777" w:rsidR="00480102" w:rsidRPr="0048733A" w:rsidRDefault="00480102" w:rsidP="00480102">
      <w:pPr>
        <w:jc w:val="center"/>
        <w:rPr>
          <w:rFonts w:asciiTheme="majorBidi" w:hAnsiTheme="majorBidi" w:cstheme="majorBidi"/>
          <w:sz w:val="24"/>
          <w:szCs w:val="24"/>
          <w:lang w:val="en-GB"/>
        </w:rPr>
      </w:pPr>
      <m:oMath>
        <m:r>
          <w:rPr>
            <w:rFonts w:ascii="Cambria Math" w:hAnsi="Cambria Math" w:cstheme="majorBidi"/>
            <w:sz w:val="24"/>
            <w:szCs w:val="24"/>
            <w:lang w:val="en-GB"/>
          </w:rPr>
          <m:t>η</m:t>
        </m:r>
        <m:r>
          <m:rPr>
            <m:sty m:val="p"/>
          </m:rPr>
          <w:rPr>
            <w:rFonts w:ascii="Cambria Math" w:hAnsi="Cambria Math" w:cstheme="majorBidi"/>
            <w:sz w:val="24"/>
            <w:szCs w:val="24"/>
            <w:lang w:val="en-GB"/>
          </w:rPr>
          <m:t>=</m:t>
        </m:r>
        <m:d>
          <m:dPr>
            <m:begChr m:val="["/>
            <m:endChr m:val="]"/>
            <m:ctrlPr>
              <w:rPr>
                <w:rFonts w:ascii="Cambria Math" w:hAnsi="Cambria Math" w:cstheme="majorBidi"/>
                <w:sz w:val="24"/>
                <w:szCs w:val="24"/>
                <w:lang w:val="en-GB"/>
              </w:rPr>
            </m:ctrlPr>
          </m:dPr>
          <m:e>
            <m:m>
              <m:mPr>
                <m:plcHide m:val="1"/>
                <m:mcs>
                  <m:mc>
                    <m:mcPr>
                      <m:count m:val="1"/>
                      <m:mcJc m:val="center"/>
                    </m:mcPr>
                  </m:mc>
                </m:mcs>
                <m:ctrlPr>
                  <w:rPr>
                    <w:rFonts w:ascii="Cambria Math" w:hAnsi="Cambria Math" w:cstheme="majorBidi"/>
                    <w:sz w:val="24"/>
                    <w:szCs w:val="24"/>
                    <w:lang w:val="en-GB"/>
                  </w:rPr>
                </m:ctrlPr>
              </m:mPr>
              <m:mr>
                <m:e>
                  <m:sSub>
                    <m:sSubPr>
                      <m:ctrlPr>
                        <w:rPr>
                          <w:rFonts w:ascii="Cambria Math" w:hAnsi="Cambria Math" w:cstheme="majorBidi"/>
                          <w:sz w:val="24"/>
                          <w:szCs w:val="24"/>
                          <w:lang w:val="en-GB"/>
                        </w:rPr>
                      </m:ctrlPr>
                    </m:sSubPr>
                    <m:e>
                      <m:r>
                        <w:rPr>
                          <w:rFonts w:ascii="Cambria Math" w:hAnsi="Cambria Math" w:cstheme="majorBidi"/>
                          <w:sz w:val="24"/>
                          <w:szCs w:val="24"/>
                          <w:lang w:val="en-GB"/>
                        </w:rPr>
                        <m:t>G</m:t>
                      </m:r>
                    </m:e>
                    <m:sub>
                      <m:r>
                        <w:rPr>
                          <w:rFonts w:ascii="Cambria Math" w:hAnsi="Cambria Math" w:cstheme="majorBidi"/>
                          <w:sz w:val="24"/>
                          <w:szCs w:val="24"/>
                          <w:lang w:val="en-GB"/>
                        </w:rPr>
                        <m:t>e</m:t>
                      </m:r>
                    </m:sub>
                  </m:sSub>
                </m:e>
              </m:mr>
              <m:mr>
                <m:e>
                  <m:sSub>
                    <m:sSubPr>
                      <m:ctrlPr>
                        <w:rPr>
                          <w:rFonts w:ascii="Cambria Math" w:hAnsi="Cambria Math" w:cstheme="majorBidi"/>
                          <w:sz w:val="24"/>
                          <w:szCs w:val="24"/>
                          <w:lang w:val="en-GB"/>
                        </w:rPr>
                      </m:ctrlPr>
                    </m:sSubPr>
                    <m:e>
                      <m:r>
                        <w:rPr>
                          <w:rFonts w:ascii="Cambria Math" w:hAnsi="Cambria Math" w:cstheme="majorBidi"/>
                          <w:sz w:val="24"/>
                          <w:szCs w:val="24"/>
                          <w:lang w:val="en-GB"/>
                        </w:rPr>
                        <m:t>G</m:t>
                      </m:r>
                    </m:e>
                    <m:sub>
                      <m:r>
                        <w:rPr>
                          <w:rFonts w:ascii="Cambria Math" w:hAnsi="Cambria Math" w:cstheme="majorBidi"/>
                          <w:sz w:val="24"/>
                          <w:szCs w:val="24"/>
                          <w:lang w:val="en-GB"/>
                        </w:rPr>
                        <m:t>s</m:t>
                      </m:r>
                    </m:sub>
                  </m:sSub>
                </m:e>
              </m:mr>
              <m:mr>
                <m:e>
                  <m:sSub>
                    <m:sSubPr>
                      <m:ctrlPr>
                        <w:rPr>
                          <w:rFonts w:ascii="Cambria Math" w:hAnsi="Cambria Math" w:cstheme="majorBidi"/>
                          <w:sz w:val="24"/>
                          <w:szCs w:val="24"/>
                          <w:lang w:val="en-GB"/>
                        </w:rPr>
                      </m:ctrlPr>
                    </m:sSubPr>
                    <m:e>
                      <m:r>
                        <w:rPr>
                          <w:rFonts w:ascii="Cambria Math" w:hAnsi="Cambria Math" w:cstheme="majorBidi"/>
                          <w:sz w:val="24"/>
                          <w:szCs w:val="24"/>
                          <w:lang w:val="en-GB"/>
                        </w:rPr>
                        <m:t>G</m:t>
                      </m:r>
                    </m:e>
                    <m:sub>
                      <m:r>
                        <w:rPr>
                          <w:rFonts w:ascii="Cambria Math" w:hAnsi="Cambria Math" w:cstheme="majorBidi"/>
                          <w:sz w:val="24"/>
                          <w:szCs w:val="24"/>
                          <w:lang w:val="en-GB"/>
                        </w:rPr>
                        <m:t>env</m:t>
                      </m:r>
                    </m:sub>
                  </m:sSub>
                </m:e>
              </m:mr>
              <m:mr>
                <m:e>
                  <m:r>
                    <w:rPr>
                      <w:rFonts w:ascii="Cambria Math" w:hAnsi="Cambria Math" w:cstheme="majorBidi"/>
                      <w:sz w:val="24"/>
                      <w:szCs w:val="24"/>
                      <w:lang w:val="en-GB"/>
                    </w:rPr>
                    <m:t>USI</m:t>
                  </m:r>
                </m:e>
              </m:mr>
            </m:m>
          </m:e>
        </m:d>
      </m:oMath>
      <w:r w:rsidRPr="0048733A">
        <w:rPr>
          <w:rFonts w:asciiTheme="majorBidi" w:hAnsiTheme="majorBidi" w:cstheme="majorBidi"/>
          <w:sz w:val="24"/>
          <w:szCs w:val="24"/>
          <w:lang w:val="en-GB"/>
        </w:rPr>
        <w:t xml:space="preserve"> (2)</w:t>
      </w:r>
    </w:p>
    <w:p w14:paraId="511C8C39" w14:textId="77777777" w:rsidR="00480102" w:rsidRPr="0048733A" w:rsidRDefault="00480102" w:rsidP="00480102">
      <w:pPr>
        <w:rPr>
          <w:rFonts w:asciiTheme="majorBidi" w:hAnsiTheme="majorBidi" w:cstheme="majorBidi"/>
          <w:sz w:val="24"/>
          <w:szCs w:val="24"/>
          <w:lang w:val="en-GB"/>
        </w:rPr>
      </w:pPr>
      <w:r w:rsidRPr="0048733A">
        <w:rPr>
          <w:rFonts w:asciiTheme="majorBidi" w:hAnsiTheme="majorBidi" w:cstheme="majorBidi"/>
          <w:sz w:val="24"/>
          <w:szCs w:val="24"/>
          <w:lang w:val="en-GB"/>
        </w:rPr>
        <w:t>where:</w:t>
      </w:r>
    </w:p>
    <w:p w14:paraId="4F3C40B2" w14:textId="77777777" w:rsidR="00480102" w:rsidRPr="0048733A" w:rsidRDefault="00480102" w:rsidP="00480102">
      <w:pPr>
        <w:numPr>
          <w:ilvl w:val="0"/>
          <w:numId w:val="3"/>
        </w:numPr>
        <w:spacing w:after="20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Economic Sustainability Gap (</w:t>
      </w:r>
      <m:oMath>
        <m:sSub>
          <m:sSubPr>
            <m:ctrlPr>
              <w:rPr>
                <w:rFonts w:ascii="Cambria Math" w:hAnsi="Cambria Math" w:cstheme="majorBidi"/>
                <w:sz w:val="24"/>
                <w:szCs w:val="24"/>
                <w:lang w:val="en-GB"/>
              </w:rPr>
            </m:ctrlPr>
          </m:sSubPr>
          <m:e>
            <m:r>
              <w:rPr>
                <w:rFonts w:ascii="Cambria Math" w:hAnsi="Cambria Math" w:cstheme="majorBidi"/>
                <w:sz w:val="24"/>
                <w:szCs w:val="24"/>
                <w:lang w:val="en-GB"/>
              </w:rPr>
              <m:t>G</m:t>
            </m:r>
          </m:e>
          <m:sub>
            <m:r>
              <w:rPr>
                <w:rFonts w:ascii="Cambria Math" w:hAnsi="Cambria Math" w:cstheme="majorBidi"/>
                <w:sz w:val="24"/>
                <w:szCs w:val="24"/>
                <w:lang w:val="en-GB"/>
              </w:rPr>
              <m:t>e</m:t>
            </m:r>
          </m:sub>
        </m:sSub>
      </m:oMath>
      <w:r w:rsidRPr="0048733A">
        <w:rPr>
          <w:rFonts w:asciiTheme="majorBidi" w:hAnsiTheme="majorBidi" w:cstheme="majorBidi"/>
          <w:sz w:val="24"/>
          <w:szCs w:val="24"/>
          <w:lang w:val="en-GB"/>
        </w:rPr>
        <w:t>), representing the alignment between perceived and expected economic sustainability;</w:t>
      </w:r>
    </w:p>
    <w:p w14:paraId="558ACC46" w14:textId="77777777" w:rsidR="00480102" w:rsidRPr="0048733A" w:rsidRDefault="00480102" w:rsidP="00480102">
      <w:pPr>
        <w:numPr>
          <w:ilvl w:val="0"/>
          <w:numId w:val="3"/>
        </w:numPr>
        <w:spacing w:after="20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Social Sustainability Gap (</w:t>
      </w:r>
      <m:oMath>
        <m:sSub>
          <m:sSubPr>
            <m:ctrlPr>
              <w:rPr>
                <w:rFonts w:ascii="Cambria Math" w:hAnsi="Cambria Math" w:cstheme="majorBidi"/>
                <w:sz w:val="24"/>
                <w:szCs w:val="24"/>
                <w:lang w:val="en-GB"/>
              </w:rPr>
            </m:ctrlPr>
          </m:sSubPr>
          <m:e>
            <m:r>
              <w:rPr>
                <w:rFonts w:ascii="Cambria Math" w:hAnsi="Cambria Math" w:cstheme="majorBidi"/>
                <w:sz w:val="24"/>
                <w:szCs w:val="24"/>
                <w:lang w:val="en-GB"/>
              </w:rPr>
              <m:t>G</m:t>
            </m:r>
          </m:e>
          <m:sub>
            <m:r>
              <w:rPr>
                <w:rFonts w:ascii="Cambria Math" w:hAnsi="Cambria Math" w:cstheme="majorBidi"/>
                <w:sz w:val="24"/>
                <w:szCs w:val="24"/>
                <w:lang w:val="en-GB"/>
              </w:rPr>
              <m:t>s</m:t>
            </m:r>
          </m:sub>
        </m:sSub>
      </m:oMath>
      <w:r w:rsidRPr="0048733A">
        <w:rPr>
          <w:rFonts w:asciiTheme="majorBidi" w:hAnsiTheme="majorBidi" w:cstheme="majorBidi"/>
          <w:sz w:val="24"/>
          <w:szCs w:val="24"/>
          <w:lang w:val="en-GB"/>
        </w:rPr>
        <w:t>), representing the alignment between perceived and expected social sustainability;</w:t>
      </w:r>
    </w:p>
    <w:p w14:paraId="48CB6A94" w14:textId="77777777" w:rsidR="00480102" w:rsidRPr="0048733A" w:rsidRDefault="00480102" w:rsidP="00480102">
      <w:pPr>
        <w:numPr>
          <w:ilvl w:val="0"/>
          <w:numId w:val="3"/>
        </w:numPr>
        <w:spacing w:after="200" w:line="240" w:lineRule="auto"/>
        <w:rPr>
          <w:rFonts w:asciiTheme="majorBidi" w:hAnsiTheme="majorBidi" w:cstheme="majorBidi"/>
          <w:sz w:val="24"/>
          <w:szCs w:val="24"/>
          <w:lang w:val="en-GB"/>
        </w:rPr>
      </w:pPr>
      <w:r w:rsidRPr="0048733A">
        <w:rPr>
          <w:rFonts w:asciiTheme="majorBidi" w:hAnsiTheme="majorBidi" w:cstheme="majorBidi"/>
          <w:sz w:val="24"/>
          <w:szCs w:val="24"/>
          <w:lang w:val="en-GB"/>
        </w:rPr>
        <w:t>Environmental Sustainability Gap (</w:t>
      </w:r>
      <m:oMath>
        <m:sSub>
          <m:sSubPr>
            <m:ctrlPr>
              <w:rPr>
                <w:rFonts w:ascii="Cambria Math" w:hAnsi="Cambria Math" w:cstheme="majorBidi"/>
                <w:sz w:val="24"/>
                <w:szCs w:val="24"/>
                <w:lang w:val="en-GB"/>
              </w:rPr>
            </m:ctrlPr>
          </m:sSubPr>
          <m:e>
            <m:r>
              <w:rPr>
                <w:rFonts w:ascii="Cambria Math" w:hAnsi="Cambria Math" w:cstheme="majorBidi"/>
                <w:sz w:val="24"/>
                <w:szCs w:val="24"/>
                <w:lang w:val="en-GB"/>
              </w:rPr>
              <m:t>G</m:t>
            </m:r>
          </m:e>
          <m:sub>
            <m:r>
              <w:rPr>
                <w:rFonts w:ascii="Cambria Math" w:hAnsi="Cambria Math" w:cstheme="majorBidi"/>
                <w:sz w:val="24"/>
                <w:szCs w:val="24"/>
                <w:lang w:val="en-GB"/>
              </w:rPr>
              <m:t>env</m:t>
            </m:r>
          </m:sub>
        </m:sSub>
      </m:oMath>
      <w:r w:rsidRPr="0048733A">
        <w:rPr>
          <w:rFonts w:asciiTheme="majorBidi" w:hAnsiTheme="majorBidi" w:cstheme="majorBidi"/>
          <w:sz w:val="24"/>
          <w:szCs w:val="24"/>
          <w:lang w:val="en-GB"/>
        </w:rPr>
        <w:t>), representing the alignment between perceived and expected environmental sustainability.</w:t>
      </w:r>
    </w:p>
    <w:p w14:paraId="3EC47EBE" w14:textId="77777777" w:rsidR="00480102" w:rsidRPr="0048733A" w:rsidRDefault="00480102" w:rsidP="00480102">
      <w:pPr>
        <w:rPr>
          <w:rFonts w:asciiTheme="majorBidi" w:hAnsiTheme="majorBidi" w:cstheme="majorBidi"/>
          <w:sz w:val="24"/>
          <w:szCs w:val="24"/>
          <w:lang w:val="en-GB"/>
        </w:rPr>
      </w:pPr>
      <w:r w:rsidRPr="0048733A">
        <w:rPr>
          <w:rFonts w:asciiTheme="majorBidi" w:hAnsiTheme="majorBidi" w:cstheme="majorBidi"/>
          <w:sz w:val="24"/>
          <w:szCs w:val="24"/>
          <w:lang w:val="en-GB"/>
        </w:rPr>
        <w:t>The sustainability gap for each dimension represents the degree of alignment between stakeholder expectations and perceived institutional sustainability performance, and is defined as:</w:t>
      </w:r>
    </w:p>
    <w:p w14:paraId="133F03BC" w14:textId="77777777" w:rsidR="00480102" w:rsidRPr="0048733A" w:rsidRDefault="00C12525" w:rsidP="00480102">
      <w:pPr>
        <w:jc w:val="center"/>
        <w:rPr>
          <w:rFonts w:asciiTheme="majorBidi" w:hAnsiTheme="majorBidi" w:cstheme="majorBidi"/>
          <w:sz w:val="24"/>
          <w:szCs w:val="24"/>
          <w:lang w:val="en-GB"/>
        </w:rPr>
      </w:pPr>
      <m:oMath>
        <m:sSub>
          <m:sSubPr>
            <m:ctrlPr>
              <w:rPr>
                <w:rFonts w:ascii="Cambria Math" w:hAnsi="Cambria Math" w:cstheme="majorBidi"/>
                <w:sz w:val="24"/>
                <w:szCs w:val="24"/>
                <w:lang w:val="en-GB"/>
              </w:rPr>
            </m:ctrlPr>
          </m:sSubPr>
          <m:e>
            <m:r>
              <w:rPr>
                <w:rFonts w:ascii="Cambria Math" w:hAnsi="Cambria Math" w:cstheme="majorBidi"/>
                <w:sz w:val="24"/>
                <w:szCs w:val="24"/>
                <w:lang w:val="en-GB"/>
              </w:rPr>
              <m:t>G</m:t>
            </m:r>
          </m:e>
          <m:sub>
            <m:r>
              <w:rPr>
                <w:rFonts w:ascii="Cambria Math" w:hAnsi="Cambria Math" w:cstheme="majorBidi"/>
                <w:sz w:val="24"/>
                <w:szCs w:val="24"/>
                <w:lang w:val="en-GB"/>
              </w:rPr>
              <m:t>e</m:t>
            </m:r>
          </m:sub>
        </m:sSub>
        <m:r>
          <m:rPr>
            <m:sty m:val="p"/>
          </m:rPr>
          <w:rPr>
            <w:rFonts w:ascii="Cambria Math" w:hAnsi="Cambria Math" w:cstheme="majorBidi"/>
            <w:sz w:val="24"/>
            <w:szCs w:val="24"/>
            <w:lang w:val="en-GB"/>
          </w:rPr>
          <m:t>=</m:t>
        </m:r>
        <m:sSub>
          <m:sSubPr>
            <m:ctrlPr>
              <w:rPr>
                <w:rFonts w:ascii="Cambria Math" w:hAnsi="Cambria Math" w:cstheme="majorBidi"/>
                <w:sz w:val="24"/>
                <w:szCs w:val="24"/>
                <w:lang w:val="en-GB"/>
              </w:rPr>
            </m:ctrlPr>
          </m:sSubPr>
          <m:e>
            <m:r>
              <w:rPr>
                <w:rFonts w:ascii="Cambria Math" w:hAnsi="Cambria Math" w:cstheme="majorBidi"/>
                <w:sz w:val="24"/>
                <w:szCs w:val="24"/>
                <w:lang w:val="en-GB"/>
              </w:rPr>
              <m:t>E</m:t>
            </m:r>
          </m:e>
          <m:sub>
            <m:r>
              <w:rPr>
                <w:rFonts w:ascii="Cambria Math" w:hAnsi="Cambria Math" w:cstheme="majorBidi"/>
                <w:sz w:val="24"/>
                <w:szCs w:val="24"/>
                <w:lang w:val="en-GB"/>
              </w:rPr>
              <m:t>e</m:t>
            </m:r>
          </m:sub>
        </m:sSub>
        <m:r>
          <m:rPr>
            <m:sty m:val="p"/>
          </m:rPr>
          <w:rPr>
            <w:rFonts w:ascii="Cambria Math" w:hAnsi="Cambria Math" w:cstheme="majorBidi"/>
            <w:sz w:val="24"/>
            <w:szCs w:val="24"/>
            <w:lang w:val="en-GB"/>
          </w:rPr>
          <m:t>-</m:t>
        </m:r>
        <m:sSub>
          <m:sSubPr>
            <m:ctrlPr>
              <w:rPr>
                <w:rFonts w:ascii="Cambria Math" w:hAnsi="Cambria Math" w:cstheme="majorBidi"/>
                <w:sz w:val="24"/>
                <w:szCs w:val="24"/>
                <w:lang w:val="en-GB"/>
              </w:rPr>
            </m:ctrlPr>
          </m:sSubPr>
          <m:e>
            <m:r>
              <w:rPr>
                <w:rFonts w:ascii="Cambria Math" w:hAnsi="Cambria Math" w:cstheme="majorBidi"/>
                <w:sz w:val="24"/>
                <w:szCs w:val="24"/>
                <w:lang w:val="en-GB"/>
              </w:rPr>
              <m:t>P</m:t>
            </m:r>
          </m:e>
          <m:sub>
            <m:r>
              <w:rPr>
                <w:rFonts w:ascii="Cambria Math" w:hAnsi="Cambria Math" w:cstheme="majorBidi"/>
                <w:sz w:val="24"/>
                <w:szCs w:val="24"/>
                <w:lang w:val="en-GB"/>
              </w:rPr>
              <m:t>e</m:t>
            </m:r>
          </m:sub>
        </m:sSub>
      </m:oMath>
      <w:r w:rsidR="00480102" w:rsidRPr="0048733A">
        <w:rPr>
          <w:rFonts w:asciiTheme="majorBidi" w:hAnsiTheme="majorBidi" w:cstheme="majorBidi"/>
          <w:sz w:val="24"/>
          <w:szCs w:val="24"/>
          <w:lang w:val="en-GB"/>
        </w:rPr>
        <w:t xml:space="preserve"> (3)</w:t>
      </w:r>
    </w:p>
    <w:p w14:paraId="737F0C6D" w14:textId="77777777" w:rsidR="00480102" w:rsidRPr="0048733A" w:rsidRDefault="00C12525" w:rsidP="00480102">
      <w:pPr>
        <w:jc w:val="center"/>
        <w:rPr>
          <w:rFonts w:asciiTheme="majorBidi" w:hAnsiTheme="majorBidi" w:cstheme="majorBidi"/>
          <w:sz w:val="24"/>
          <w:szCs w:val="24"/>
          <w:lang w:val="en-GB"/>
        </w:rPr>
      </w:pPr>
      <m:oMath>
        <m:sSub>
          <m:sSubPr>
            <m:ctrlPr>
              <w:rPr>
                <w:rFonts w:ascii="Cambria Math" w:hAnsi="Cambria Math" w:cstheme="majorBidi"/>
                <w:sz w:val="24"/>
                <w:szCs w:val="24"/>
                <w:lang w:val="en-GB"/>
              </w:rPr>
            </m:ctrlPr>
          </m:sSubPr>
          <m:e>
            <m:r>
              <w:rPr>
                <w:rFonts w:ascii="Cambria Math" w:hAnsi="Cambria Math" w:cstheme="majorBidi"/>
                <w:sz w:val="24"/>
                <w:szCs w:val="24"/>
                <w:lang w:val="en-GB"/>
              </w:rPr>
              <m:t>G</m:t>
            </m:r>
          </m:e>
          <m:sub>
            <m:r>
              <w:rPr>
                <w:rFonts w:ascii="Cambria Math" w:hAnsi="Cambria Math" w:cstheme="majorBidi"/>
                <w:sz w:val="24"/>
                <w:szCs w:val="24"/>
                <w:lang w:val="en-GB"/>
              </w:rPr>
              <m:t>s</m:t>
            </m:r>
          </m:sub>
        </m:sSub>
        <m:r>
          <m:rPr>
            <m:sty m:val="p"/>
          </m:rPr>
          <w:rPr>
            <w:rFonts w:ascii="Cambria Math" w:hAnsi="Cambria Math" w:cstheme="majorBidi"/>
            <w:sz w:val="24"/>
            <w:szCs w:val="24"/>
            <w:lang w:val="en-GB"/>
          </w:rPr>
          <m:t>=</m:t>
        </m:r>
        <m:sSub>
          <m:sSubPr>
            <m:ctrlPr>
              <w:rPr>
                <w:rFonts w:ascii="Cambria Math" w:hAnsi="Cambria Math" w:cstheme="majorBidi"/>
                <w:sz w:val="24"/>
                <w:szCs w:val="24"/>
                <w:lang w:val="en-GB"/>
              </w:rPr>
            </m:ctrlPr>
          </m:sSubPr>
          <m:e>
            <m:r>
              <w:rPr>
                <w:rFonts w:ascii="Cambria Math" w:hAnsi="Cambria Math" w:cstheme="majorBidi"/>
                <w:sz w:val="24"/>
                <w:szCs w:val="24"/>
                <w:lang w:val="en-GB"/>
              </w:rPr>
              <m:t>E</m:t>
            </m:r>
          </m:e>
          <m:sub>
            <m:r>
              <w:rPr>
                <w:rFonts w:ascii="Cambria Math" w:hAnsi="Cambria Math" w:cstheme="majorBidi"/>
                <w:sz w:val="24"/>
                <w:szCs w:val="24"/>
                <w:lang w:val="en-GB"/>
              </w:rPr>
              <m:t>s</m:t>
            </m:r>
          </m:sub>
        </m:sSub>
        <m:r>
          <m:rPr>
            <m:sty m:val="p"/>
          </m:rPr>
          <w:rPr>
            <w:rFonts w:ascii="Cambria Math" w:hAnsi="Cambria Math" w:cstheme="majorBidi"/>
            <w:sz w:val="24"/>
            <w:szCs w:val="24"/>
            <w:lang w:val="en-GB"/>
          </w:rPr>
          <m:t>-</m:t>
        </m:r>
        <m:sSub>
          <m:sSubPr>
            <m:ctrlPr>
              <w:rPr>
                <w:rFonts w:ascii="Cambria Math" w:hAnsi="Cambria Math" w:cstheme="majorBidi"/>
                <w:sz w:val="24"/>
                <w:szCs w:val="24"/>
                <w:lang w:val="en-GB"/>
              </w:rPr>
            </m:ctrlPr>
          </m:sSubPr>
          <m:e>
            <m:r>
              <w:rPr>
                <w:rFonts w:ascii="Cambria Math" w:hAnsi="Cambria Math" w:cstheme="majorBidi"/>
                <w:sz w:val="24"/>
                <w:szCs w:val="24"/>
                <w:lang w:val="en-GB"/>
              </w:rPr>
              <m:t>P</m:t>
            </m:r>
          </m:e>
          <m:sub>
            <m:r>
              <w:rPr>
                <w:rFonts w:ascii="Cambria Math" w:hAnsi="Cambria Math" w:cstheme="majorBidi"/>
                <w:sz w:val="24"/>
                <w:szCs w:val="24"/>
                <w:lang w:val="en-GB"/>
              </w:rPr>
              <m:t>s</m:t>
            </m:r>
          </m:sub>
        </m:sSub>
      </m:oMath>
      <w:r w:rsidR="00480102" w:rsidRPr="0048733A">
        <w:rPr>
          <w:rFonts w:asciiTheme="majorBidi" w:hAnsiTheme="majorBidi" w:cstheme="majorBidi"/>
          <w:sz w:val="24"/>
          <w:szCs w:val="24"/>
          <w:lang w:val="en-GB"/>
        </w:rPr>
        <w:t xml:space="preserve"> (4)</w:t>
      </w:r>
    </w:p>
    <w:p w14:paraId="6C0C9639" w14:textId="77777777" w:rsidR="00480102" w:rsidRPr="0048733A" w:rsidRDefault="00C12525" w:rsidP="00480102">
      <w:pPr>
        <w:jc w:val="center"/>
        <w:rPr>
          <w:rFonts w:asciiTheme="majorBidi" w:hAnsiTheme="majorBidi" w:cstheme="majorBidi"/>
          <w:sz w:val="24"/>
          <w:szCs w:val="24"/>
          <w:lang w:val="en-GB"/>
        </w:rPr>
      </w:pPr>
      <m:oMath>
        <m:sSub>
          <m:sSubPr>
            <m:ctrlPr>
              <w:rPr>
                <w:rFonts w:ascii="Cambria Math" w:hAnsi="Cambria Math" w:cstheme="majorBidi"/>
                <w:sz w:val="24"/>
                <w:szCs w:val="24"/>
                <w:lang w:val="en-GB"/>
              </w:rPr>
            </m:ctrlPr>
          </m:sSubPr>
          <m:e>
            <m:r>
              <w:rPr>
                <w:rFonts w:ascii="Cambria Math" w:hAnsi="Cambria Math" w:cstheme="majorBidi"/>
                <w:sz w:val="24"/>
                <w:szCs w:val="24"/>
                <w:lang w:val="en-GB"/>
              </w:rPr>
              <m:t>G</m:t>
            </m:r>
          </m:e>
          <m:sub>
            <m:r>
              <w:rPr>
                <w:rFonts w:ascii="Cambria Math" w:hAnsi="Cambria Math" w:cstheme="majorBidi"/>
                <w:sz w:val="24"/>
                <w:szCs w:val="24"/>
                <w:lang w:val="en-GB"/>
              </w:rPr>
              <m:t>env</m:t>
            </m:r>
          </m:sub>
        </m:sSub>
        <m:r>
          <m:rPr>
            <m:sty m:val="p"/>
          </m:rPr>
          <w:rPr>
            <w:rFonts w:ascii="Cambria Math" w:hAnsi="Cambria Math" w:cstheme="majorBidi"/>
            <w:sz w:val="24"/>
            <w:szCs w:val="24"/>
            <w:lang w:val="en-GB"/>
          </w:rPr>
          <m:t>=</m:t>
        </m:r>
        <m:sSub>
          <m:sSubPr>
            <m:ctrlPr>
              <w:rPr>
                <w:rFonts w:ascii="Cambria Math" w:hAnsi="Cambria Math" w:cstheme="majorBidi"/>
                <w:sz w:val="24"/>
                <w:szCs w:val="24"/>
                <w:lang w:val="en-GB"/>
              </w:rPr>
            </m:ctrlPr>
          </m:sSubPr>
          <m:e>
            <m:r>
              <w:rPr>
                <w:rFonts w:ascii="Cambria Math" w:hAnsi="Cambria Math" w:cstheme="majorBidi"/>
                <w:sz w:val="24"/>
                <w:szCs w:val="24"/>
                <w:lang w:val="en-GB"/>
              </w:rPr>
              <m:t>E</m:t>
            </m:r>
          </m:e>
          <m:sub>
            <m:r>
              <w:rPr>
                <w:rFonts w:ascii="Cambria Math" w:hAnsi="Cambria Math" w:cstheme="majorBidi"/>
                <w:sz w:val="24"/>
                <w:szCs w:val="24"/>
                <w:lang w:val="en-GB"/>
              </w:rPr>
              <m:t>env</m:t>
            </m:r>
          </m:sub>
        </m:sSub>
        <m:r>
          <m:rPr>
            <m:sty m:val="p"/>
          </m:rPr>
          <w:rPr>
            <w:rFonts w:ascii="Cambria Math" w:hAnsi="Cambria Math" w:cstheme="majorBidi"/>
            <w:sz w:val="24"/>
            <w:szCs w:val="24"/>
            <w:lang w:val="en-GB"/>
          </w:rPr>
          <m:t>-</m:t>
        </m:r>
        <m:sSub>
          <m:sSubPr>
            <m:ctrlPr>
              <w:rPr>
                <w:rFonts w:ascii="Cambria Math" w:hAnsi="Cambria Math" w:cstheme="majorBidi"/>
                <w:sz w:val="24"/>
                <w:szCs w:val="24"/>
                <w:lang w:val="en-GB"/>
              </w:rPr>
            </m:ctrlPr>
          </m:sSubPr>
          <m:e>
            <m:r>
              <w:rPr>
                <w:rFonts w:ascii="Cambria Math" w:hAnsi="Cambria Math" w:cstheme="majorBidi"/>
                <w:sz w:val="24"/>
                <w:szCs w:val="24"/>
                <w:lang w:val="en-GB"/>
              </w:rPr>
              <m:t>P</m:t>
            </m:r>
          </m:e>
          <m:sub>
            <m:r>
              <w:rPr>
                <w:rFonts w:ascii="Cambria Math" w:hAnsi="Cambria Math" w:cstheme="majorBidi"/>
                <w:sz w:val="24"/>
                <w:szCs w:val="24"/>
                <w:lang w:val="en-GB"/>
              </w:rPr>
              <m:t>env</m:t>
            </m:r>
          </m:sub>
        </m:sSub>
      </m:oMath>
      <w:r w:rsidR="00480102" w:rsidRPr="0048733A">
        <w:rPr>
          <w:rFonts w:asciiTheme="majorBidi" w:hAnsiTheme="majorBidi" w:cstheme="majorBidi"/>
          <w:sz w:val="24"/>
          <w:szCs w:val="24"/>
          <w:lang w:val="en-GB"/>
        </w:rPr>
        <w:t>(5)</w:t>
      </w:r>
    </w:p>
    <w:p w14:paraId="39EC06D0" w14:textId="77777777" w:rsidR="00480102" w:rsidRPr="0048733A" w:rsidRDefault="00480102" w:rsidP="00480102">
      <w:pPr>
        <w:rPr>
          <w:rFonts w:asciiTheme="majorBidi" w:hAnsiTheme="majorBidi" w:cstheme="majorBidi"/>
          <w:sz w:val="24"/>
          <w:szCs w:val="24"/>
          <w:lang w:val="en-GB"/>
        </w:rPr>
      </w:pPr>
      <w:r w:rsidRPr="0048733A">
        <w:rPr>
          <w:rFonts w:asciiTheme="majorBidi" w:hAnsiTheme="majorBidi" w:cstheme="majorBidi"/>
          <w:sz w:val="24"/>
          <w:szCs w:val="24"/>
          <w:lang w:val="en-GB"/>
        </w:rPr>
        <w:t>These gap variables act as mediating latent constructs that capture the alignment between institutional sustainability initiatives and stakeholder priorities.</w:t>
      </w:r>
    </w:p>
    <w:p w14:paraId="2ECE2804" w14:textId="77777777" w:rsidR="00480102" w:rsidRPr="0048733A" w:rsidRDefault="00480102" w:rsidP="00480102">
      <w:pPr>
        <w:rPr>
          <w:rFonts w:asciiTheme="majorBidi" w:hAnsiTheme="majorBidi" w:cstheme="majorBidi"/>
          <w:sz w:val="24"/>
          <w:szCs w:val="24"/>
          <w:lang w:val="en-GB"/>
        </w:rPr>
      </w:pPr>
      <w:r w:rsidRPr="0048733A">
        <w:rPr>
          <w:rFonts w:asciiTheme="majorBidi" w:hAnsiTheme="majorBidi" w:cstheme="majorBidi"/>
          <w:sz w:val="24"/>
          <w:szCs w:val="24"/>
          <w:lang w:val="en-GB"/>
        </w:rPr>
        <w:t>The University Sustainability Index is defined as a higher-order latent construct integrating the sustainability gaps across the three core dimensions. Higher-order modeling is appropriate when multiple related first-order constructs reflect a broader conceptual domain [9], [20].</w:t>
      </w:r>
    </w:p>
    <w:p w14:paraId="35E1DBC0" w14:textId="77777777" w:rsidR="00480102" w:rsidRPr="0048733A" w:rsidRDefault="00480102" w:rsidP="00480102">
      <w:pPr>
        <w:rPr>
          <w:rFonts w:asciiTheme="majorBidi" w:hAnsiTheme="majorBidi" w:cstheme="majorBidi"/>
          <w:sz w:val="24"/>
          <w:szCs w:val="24"/>
          <w:lang w:val="en-GB"/>
        </w:rPr>
      </w:pPr>
      <w:r w:rsidRPr="0048733A">
        <w:rPr>
          <w:rFonts w:asciiTheme="majorBidi" w:hAnsiTheme="majorBidi" w:cstheme="majorBidi"/>
          <w:sz w:val="24"/>
          <w:szCs w:val="24"/>
          <w:lang w:val="en-GB"/>
        </w:rPr>
        <w:t>The structural formulation is expressed as:</w:t>
      </w:r>
    </w:p>
    <w:p w14:paraId="34B8145D" w14:textId="77777777" w:rsidR="00480102" w:rsidRPr="0048733A" w:rsidRDefault="00480102" w:rsidP="00480102">
      <w:pPr>
        <w:jc w:val="center"/>
        <w:rPr>
          <w:rFonts w:asciiTheme="majorBidi" w:hAnsiTheme="majorBidi" w:cstheme="majorBidi"/>
          <w:sz w:val="24"/>
          <w:szCs w:val="24"/>
          <w:lang w:val="en-GB"/>
        </w:rPr>
      </w:pPr>
      <m:oMath>
        <m:r>
          <w:rPr>
            <w:rFonts w:ascii="Cambria Math" w:hAnsi="Cambria Math" w:cstheme="majorBidi"/>
            <w:sz w:val="24"/>
            <w:szCs w:val="24"/>
            <w:lang w:val="en-GB"/>
          </w:rPr>
          <m:t>USI</m:t>
        </m:r>
        <m:r>
          <m:rPr>
            <m:sty m:val="p"/>
          </m:rPr>
          <w:rPr>
            <w:rFonts w:ascii="Cambria Math" w:hAnsi="Cambria Math" w:cstheme="majorBidi"/>
            <w:sz w:val="24"/>
            <w:szCs w:val="24"/>
            <w:lang w:val="en-GB"/>
          </w:rPr>
          <m:t>=</m:t>
        </m:r>
        <m:sSub>
          <m:sSubPr>
            <m:ctrlPr>
              <w:rPr>
                <w:rFonts w:ascii="Cambria Math" w:hAnsi="Cambria Math" w:cstheme="majorBidi"/>
                <w:sz w:val="24"/>
                <w:szCs w:val="24"/>
                <w:lang w:val="en-GB"/>
              </w:rPr>
            </m:ctrlPr>
          </m:sSubPr>
          <m:e>
            <m:r>
              <w:rPr>
                <w:rFonts w:ascii="Cambria Math" w:hAnsi="Cambria Math" w:cstheme="majorBidi"/>
                <w:sz w:val="24"/>
                <w:szCs w:val="24"/>
                <w:lang w:val="en-GB"/>
              </w:rPr>
              <m:t>β</m:t>
            </m:r>
          </m:e>
          <m:sub>
            <m:r>
              <w:rPr>
                <w:rFonts w:ascii="Cambria Math" w:hAnsi="Cambria Math" w:cstheme="majorBidi"/>
                <w:sz w:val="24"/>
                <w:szCs w:val="24"/>
                <w:lang w:val="en-GB"/>
              </w:rPr>
              <m:t>1</m:t>
            </m:r>
          </m:sub>
        </m:sSub>
        <m:sSub>
          <m:sSubPr>
            <m:ctrlPr>
              <w:rPr>
                <w:rFonts w:ascii="Cambria Math" w:hAnsi="Cambria Math" w:cstheme="majorBidi"/>
                <w:sz w:val="24"/>
                <w:szCs w:val="24"/>
                <w:lang w:val="en-GB"/>
              </w:rPr>
            </m:ctrlPr>
          </m:sSubPr>
          <m:e>
            <m:r>
              <w:rPr>
                <w:rFonts w:ascii="Cambria Math" w:hAnsi="Cambria Math" w:cstheme="majorBidi"/>
                <w:sz w:val="24"/>
                <w:szCs w:val="24"/>
                <w:lang w:val="en-GB"/>
              </w:rPr>
              <m:t>G</m:t>
            </m:r>
          </m:e>
          <m:sub>
            <m:r>
              <w:rPr>
                <w:rFonts w:ascii="Cambria Math" w:hAnsi="Cambria Math" w:cstheme="majorBidi"/>
                <w:sz w:val="24"/>
                <w:szCs w:val="24"/>
                <w:lang w:val="en-GB"/>
              </w:rPr>
              <m:t>e</m:t>
            </m:r>
          </m:sub>
        </m:sSub>
        <m:r>
          <m:rPr>
            <m:sty m:val="p"/>
          </m:rPr>
          <w:rPr>
            <w:rFonts w:ascii="Cambria Math" w:hAnsi="Cambria Math" w:cstheme="majorBidi"/>
            <w:sz w:val="24"/>
            <w:szCs w:val="24"/>
            <w:lang w:val="en-GB"/>
          </w:rPr>
          <m:t>+</m:t>
        </m:r>
        <m:sSub>
          <m:sSubPr>
            <m:ctrlPr>
              <w:rPr>
                <w:rFonts w:ascii="Cambria Math" w:hAnsi="Cambria Math" w:cstheme="majorBidi"/>
                <w:sz w:val="24"/>
                <w:szCs w:val="24"/>
                <w:lang w:val="en-GB"/>
              </w:rPr>
            </m:ctrlPr>
          </m:sSubPr>
          <m:e>
            <m:r>
              <w:rPr>
                <w:rFonts w:ascii="Cambria Math" w:hAnsi="Cambria Math" w:cstheme="majorBidi"/>
                <w:sz w:val="24"/>
                <w:szCs w:val="24"/>
                <w:lang w:val="en-GB"/>
              </w:rPr>
              <m:t>β</m:t>
            </m:r>
          </m:e>
          <m:sub>
            <m:r>
              <w:rPr>
                <w:rFonts w:ascii="Cambria Math" w:hAnsi="Cambria Math" w:cstheme="majorBidi"/>
                <w:sz w:val="24"/>
                <w:szCs w:val="24"/>
                <w:lang w:val="en-GB"/>
              </w:rPr>
              <m:t>2</m:t>
            </m:r>
          </m:sub>
        </m:sSub>
        <m:sSub>
          <m:sSubPr>
            <m:ctrlPr>
              <w:rPr>
                <w:rFonts w:ascii="Cambria Math" w:hAnsi="Cambria Math" w:cstheme="majorBidi"/>
                <w:sz w:val="24"/>
                <w:szCs w:val="24"/>
                <w:lang w:val="en-GB"/>
              </w:rPr>
            </m:ctrlPr>
          </m:sSubPr>
          <m:e>
            <m:r>
              <w:rPr>
                <w:rFonts w:ascii="Cambria Math" w:hAnsi="Cambria Math" w:cstheme="majorBidi"/>
                <w:sz w:val="24"/>
                <w:szCs w:val="24"/>
                <w:lang w:val="en-GB"/>
              </w:rPr>
              <m:t>G</m:t>
            </m:r>
          </m:e>
          <m:sub>
            <m:r>
              <w:rPr>
                <w:rFonts w:ascii="Cambria Math" w:hAnsi="Cambria Math" w:cstheme="majorBidi"/>
                <w:sz w:val="24"/>
                <w:szCs w:val="24"/>
                <w:lang w:val="en-GB"/>
              </w:rPr>
              <m:t>s</m:t>
            </m:r>
          </m:sub>
        </m:sSub>
        <m:r>
          <m:rPr>
            <m:sty m:val="p"/>
          </m:rPr>
          <w:rPr>
            <w:rFonts w:ascii="Cambria Math" w:hAnsi="Cambria Math" w:cstheme="majorBidi"/>
            <w:sz w:val="24"/>
            <w:szCs w:val="24"/>
            <w:lang w:val="en-GB"/>
          </w:rPr>
          <m:t>+</m:t>
        </m:r>
        <m:sSub>
          <m:sSubPr>
            <m:ctrlPr>
              <w:rPr>
                <w:rFonts w:ascii="Cambria Math" w:hAnsi="Cambria Math" w:cstheme="majorBidi"/>
                <w:sz w:val="24"/>
                <w:szCs w:val="24"/>
                <w:lang w:val="en-GB"/>
              </w:rPr>
            </m:ctrlPr>
          </m:sSubPr>
          <m:e>
            <m:r>
              <w:rPr>
                <w:rFonts w:ascii="Cambria Math" w:hAnsi="Cambria Math" w:cstheme="majorBidi"/>
                <w:sz w:val="24"/>
                <w:szCs w:val="24"/>
                <w:lang w:val="en-GB"/>
              </w:rPr>
              <m:t>β</m:t>
            </m:r>
          </m:e>
          <m:sub>
            <m:r>
              <w:rPr>
                <w:rFonts w:ascii="Cambria Math" w:hAnsi="Cambria Math" w:cstheme="majorBidi"/>
                <w:sz w:val="24"/>
                <w:szCs w:val="24"/>
                <w:lang w:val="en-GB"/>
              </w:rPr>
              <m:t>3</m:t>
            </m:r>
          </m:sub>
        </m:sSub>
        <m:sSub>
          <m:sSubPr>
            <m:ctrlPr>
              <w:rPr>
                <w:rFonts w:ascii="Cambria Math" w:hAnsi="Cambria Math" w:cstheme="majorBidi"/>
                <w:sz w:val="24"/>
                <w:szCs w:val="24"/>
                <w:lang w:val="en-GB"/>
              </w:rPr>
            </m:ctrlPr>
          </m:sSubPr>
          <m:e>
            <m:r>
              <w:rPr>
                <w:rFonts w:ascii="Cambria Math" w:hAnsi="Cambria Math" w:cstheme="majorBidi"/>
                <w:sz w:val="24"/>
                <w:szCs w:val="24"/>
                <w:lang w:val="en-GB"/>
              </w:rPr>
              <m:t>G</m:t>
            </m:r>
          </m:e>
          <m:sub>
            <m:r>
              <w:rPr>
                <w:rFonts w:ascii="Cambria Math" w:hAnsi="Cambria Math" w:cstheme="majorBidi"/>
                <w:sz w:val="24"/>
                <w:szCs w:val="24"/>
                <w:lang w:val="en-GB"/>
              </w:rPr>
              <m:t>env</m:t>
            </m:r>
          </m:sub>
        </m:sSub>
        <m:r>
          <m:rPr>
            <m:sty m:val="p"/>
          </m:rPr>
          <w:rPr>
            <w:rFonts w:ascii="Cambria Math" w:hAnsi="Cambria Math" w:cstheme="majorBidi"/>
            <w:sz w:val="24"/>
            <w:szCs w:val="24"/>
            <w:lang w:val="en-GB"/>
          </w:rPr>
          <m:t>+</m:t>
        </m:r>
        <m:r>
          <w:rPr>
            <w:rFonts w:ascii="Cambria Math" w:hAnsi="Cambria Math" w:cstheme="majorBidi"/>
            <w:sz w:val="24"/>
            <w:szCs w:val="24"/>
            <w:lang w:val="en-GB"/>
          </w:rPr>
          <m:t>ζ</m:t>
        </m:r>
      </m:oMath>
      <w:r w:rsidRPr="0048733A">
        <w:rPr>
          <w:rFonts w:asciiTheme="majorBidi" w:hAnsiTheme="majorBidi" w:cstheme="majorBidi"/>
          <w:sz w:val="24"/>
          <w:szCs w:val="24"/>
          <w:lang w:val="en-GB"/>
        </w:rPr>
        <w:t xml:space="preserve"> (6)</w:t>
      </w:r>
    </w:p>
    <w:p w14:paraId="14F215CB" w14:textId="77777777" w:rsidR="00480102" w:rsidRPr="0048733A" w:rsidRDefault="00480102" w:rsidP="00480102">
      <w:pPr>
        <w:rPr>
          <w:rFonts w:asciiTheme="majorBidi" w:hAnsiTheme="majorBidi" w:cstheme="majorBidi"/>
          <w:sz w:val="24"/>
          <w:szCs w:val="24"/>
          <w:lang w:val="en-GB"/>
        </w:rPr>
      </w:pPr>
      <w:r w:rsidRPr="0048733A">
        <w:rPr>
          <w:rFonts w:asciiTheme="majorBidi" w:hAnsiTheme="majorBidi" w:cstheme="majorBidi"/>
          <w:sz w:val="24"/>
          <w:szCs w:val="24"/>
          <w:lang w:val="en-GB"/>
        </w:rPr>
        <w:t>where:</w:t>
      </w:r>
    </w:p>
    <w:p w14:paraId="263AD6B4" w14:textId="77777777" w:rsidR="00480102" w:rsidRPr="0048733A" w:rsidRDefault="00C12525" w:rsidP="00480102">
      <w:pPr>
        <w:numPr>
          <w:ilvl w:val="0"/>
          <w:numId w:val="3"/>
        </w:numPr>
        <w:spacing w:after="200" w:line="240" w:lineRule="auto"/>
        <w:rPr>
          <w:rFonts w:asciiTheme="majorBidi" w:hAnsiTheme="majorBidi" w:cstheme="majorBidi"/>
          <w:sz w:val="24"/>
          <w:szCs w:val="24"/>
          <w:lang w:val="en-GB"/>
        </w:rPr>
      </w:pPr>
      <m:oMath>
        <m:sSub>
          <m:sSubPr>
            <m:ctrlPr>
              <w:rPr>
                <w:rFonts w:ascii="Cambria Math" w:hAnsi="Cambria Math" w:cstheme="majorBidi"/>
                <w:sz w:val="24"/>
                <w:szCs w:val="24"/>
                <w:lang w:val="en-GB"/>
              </w:rPr>
            </m:ctrlPr>
          </m:sSubPr>
          <m:e>
            <m:r>
              <w:rPr>
                <w:rFonts w:ascii="Cambria Math" w:hAnsi="Cambria Math" w:cstheme="majorBidi"/>
                <w:sz w:val="24"/>
                <w:szCs w:val="24"/>
                <w:lang w:val="en-GB"/>
              </w:rPr>
              <m:t>β</m:t>
            </m:r>
          </m:e>
          <m:sub>
            <m:r>
              <w:rPr>
                <w:rFonts w:ascii="Cambria Math" w:hAnsi="Cambria Math" w:cstheme="majorBidi"/>
                <w:sz w:val="24"/>
                <w:szCs w:val="24"/>
                <w:lang w:val="en-GB"/>
              </w:rPr>
              <m:t>1</m:t>
            </m:r>
          </m:sub>
        </m:sSub>
        <m:r>
          <m:rPr>
            <m:sty m:val="p"/>
          </m:rPr>
          <w:rPr>
            <w:rFonts w:ascii="Cambria Math" w:hAnsi="Cambria Math" w:cstheme="majorBidi"/>
            <w:sz w:val="24"/>
            <w:szCs w:val="24"/>
            <w:lang w:val="en-GB"/>
          </w:rPr>
          <m:t>,</m:t>
        </m:r>
        <m:sSub>
          <m:sSubPr>
            <m:ctrlPr>
              <w:rPr>
                <w:rFonts w:ascii="Cambria Math" w:hAnsi="Cambria Math" w:cstheme="majorBidi"/>
                <w:sz w:val="24"/>
                <w:szCs w:val="24"/>
                <w:lang w:val="en-GB"/>
              </w:rPr>
            </m:ctrlPr>
          </m:sSubPr>
          <m:e>
            <m:r>
              <w:rPr>
                <w:rFonts w:ascii="Cambria Math" w:hAnsi="Cambria Math" w:cstheme="majorBidi"/>
                <w:sz w:val="24"/>
                <w:szCs w:val="24"/>
                <w:lang w:val="en-GB"/>
              </w:rPr>
              <m:t>β</m:t>
            </m:r>
          </m:e>
          <m:sub>
            <m:r>
              <w:rPr>
                <w:rFonts w:ascii="Cambria Math" w:hAnsi="Cambria Math" w:cstheme="majorBidi"/>
                <w:sz w:val="24"/>
                <w:szCs w:val="24"/>
                <w:lang w:val="en-GB"/>
              </w:rPr>
              <m:t>2</m:t>
            </m:r>
          </m:sub>
        </m:sSub>
        <m:r>
          <m:rPr>
            <m:sty m:val="p"/>
          </m:rPr>
          <w:rPr>
            <w:rFonts w:ascii="Cambria Math" w:hAnsi="Cambria Math" w:cstheme="majorBidi"/>
            <w:sz w:val="24"/>
            <w:szCs w:val="24"/>
            <w:lang w:val="en-GB"/>
          </w:rPr>
          <m:t>,</m:t>
        </m:r>
        <m:sSub>
          <m:sSubPr>
            <m:ctrlPr>
              <w:rPr>
                <w:rFonts w:ascii="Cambria Math" w:hAnsi="Cambria Math" w:cstheme="majorBidi"/>
                <w:sz w:val="24"/>
                <w:szCs w:val="24"/>
                <w:lang w:val="en-GB"/>
              </w:rPr>
            </m:ctrlPr>
          </m:sSubPr>
          <m:e>
            <m:r>
              <w:rPr>
                <w:rFonts w:ascii="Cambria Math" w:hAnsi="Cambria Math" w:cstheme="majorBidi"/>
                <w:sz w:val="24"/>
                <w:szCs w:val="24"/>
                <w:lang w:val="en-GB"/>
              </w:rPr>
              <m:t>β</m:t>
            </m:r>
          </m:e>
          <m:sub>
            <m:r>
              <w:rPr>
                <w:rFonts w:ascii="Cambria Math" w:hAnsi="Cambria Math" w:cstheme="majorBidi"/>
                <w:sz w:val="24"/>
                <w:szCs w:val="24"/>
                <w:lang w:val="en-GB"/>
              </w:rPr>
              <m:t>3</m:t>
            </m:r>
          </m:sub>
        </m:sSub>
      </m:oMath>
      <w:r w:rsidR="00480102" w:rsidRPr="0048733A">
        <w:rPr>
          <w:rFonts w:asciiTheme="majorBidi" w:hAnsiTheme="majorBidi" w:cstheme="majorBidi"/>
          <w:sz w:val="24"/>
          <w:szCs w:val="24"/>
          <w:lang w:val="en-GB"/>
        </w:rPr>
        <w:t xml:space="preserve"> represent the contribution weights of economic, social, and environmental sustainability gaps, respectively,</w:t>
      </w:r>
    </w:p>
    <w:p w14:paraId="3A4B7595" w14:textId="77777777" w:rsidR="00480102" w:rsidRPr="0048733A" w:rsidRDefault="00480102" w:rsidP="00480102">
      <w:pPr>
        <w:numPr>
          <w:ilvl w:val="0"/>
          <w:numId w:val="3"/>
        </w:numPr>
        <w:spacing w:after="200" w:line="240" w:lineRule="auto"/>
        <w:rPr>
          <w:rFonts w:asciiTheme="majorBidi" w:hAnsiTheme="majorBidi" w:cstheme="majorBidi"/>
          <w:sz w:val="24"/>
          <w:szCs w:val="24"/>
          <w:lang w:val="en-GB"/>
        </w:rPr>
      </w:pPr>
      <m:oMath>
        <m:r>
          <w:rPr>
            <w:rFonts w:ascii="Cambria Math" w:hAnsi="Cambria Math" w:cstheme="majorBidi"/>
            <w:sz w:val="24"/>
            <w:szCs w:val="24"/>
            <w:lang w:val="en-GB"/>
          </w:rPr>
          <m:t>ζ</m:t>
        </m:r>
      </m:oMath>
      <w:r w:rsidRPr="0048733A">
        <w:rPr>
          <w:rFonts w:asciiTheme="majorBidi" w:hAnsiTheme="majorBidi" w:cstheme="majorBidi"/>
          <w:sz w:val="24"/>
          <w:szCs w:val="24"/>
          <w:lang w:val="en-GB"/>
        </w:rPr>
        <w:t xml:space="preserve"> represents the structural disturbance term.</w:t>
      </w:r>
    </w:p>
    <w:p w14:paraId="7BEAA5D3" w14:textId="77777777" w:rsidR="00480102" w:rsidRPr="0048733A" w:rsidRDefault="00480102" w:rsidP="00480102">
      <w:pPr>
        <w:pStyle w:val="Corpsdetexte"/>
        <w:rPr>
          <w:rFonts w:asciiTheme="majorBidi" w:hAnsiTheme="majorBidi" w:cstheme="majorBidi"/>
          <w:lang w:val="en-GB"/>
        </w:rPr>
      </w:pPr>
      <w:r w:rsidRPr="0048733A">
        <w:rPr>
          <w:rFonts w:asciiTheme="majorBidi" w:hAnsiTheme="majorBidi" w:cstheme="majorBidi"/>
          <w:lang w:val="en-GB"/>
        </w:rPr>
        <w:t>Composite index construction through weighted aggregation is widely used in sustainability assessment frameworks [21], [22]. The weights may be estimated empirically through SEM or assigned theoretically.</w:t>
      </w:r>
    </w:p>
    <w:p w14:paraId="73E8818A" w14:textId="2DEF59EE" w:rsidR="00480102" w:rsidRPr="0048733A" w:rsidRDefault="00480102" w:rsidP="00480102">
      <w:pPr>
        <w:pStyle w:val="Corpsdetexte"/>
        <w:rPr>
          <w:rFonts w:asciiTheme="majorBidi" w:hAnsiTheme="majorBidi" w:cstheme="majorBidi"/>
          <w:lang w:val="en-GB"/>
        </w:rPr>
      </w:pPr>
      <w:r w:rsidRPr="0048733A">
        <w:rPr>
          <w:rFonts w:asciiTheme="majorBidi" w:hAnsiTheme="majorBidi" w:cstheme="majorBidi"/>
          <w:lang w:val="en-GB"/>
        </w:rPr>
        <w:t xml:space="preserve">Unlike traditional sustainability indices that rely exclusively on operational or technical indicators [6], the proposed index incorporates stakeholder perception, stakeholder expectation, and their alignment, thereby integrating </w:t>
      </w:r>
      <w:r w:rsidR="00D16435" w:rsidRPr="0048733A">
        <w:rPr>
          <w:rFonts w:asciiTheme="majorBidi" w:hAnsiTheme="majorBidi" w:cstheme="majorBidi"/>
          <w:lang w:val="en-GB"/>
        </w:rPr>
        <w:t>behavioural</w:t>
      </w:r>
      <w:r w:rsidRPr="0048733A">
        <w:rPr>
          <w:rFonts w:asciiTheme="majorBidi" w:hAnsiTheme="majorBidi" w:cstheme="majorBidi"/>
          <w:lang w:val="en-GB"/>
        </w:rPr>
        <w:t xml:space="preserve"> and perceptual dimensions into sustainability measurement.</w:t>
      </w:r>
    </w:p>
    <w:p w14:paraId="39BE8EEF" w14:textId="77777777" w:rsidR="00480102" w:rsidRPr="0048733A" w:rsidRDefault="00480102" w:rsidP="00480102">
      <w:pPr>
        <w:pStyle w:val="Corpsdetexte"/>
        <w:rPr>
          <w:rFonts w:asciiTheme="majorBidi" w:hAnsiTheme="majorBidi" w:cstheme="majorBidi"/>
          <w:lang w:val="en-GB"/>
        </w:rPr>
      </w:pPr>
    </w:p>
    <w:p w14:paraId="5E7E2DC8" w14:textId="77777777" w:rsidR="00480102" w:rsidRPr="0048733A" w:rsidRDefault="00480102" w:rsidP="0048733A">
      <w:pPr>
        <w:pStyle w:val="Titre2"/>
        <w:spacing w:before="160" w:after="80" w:line="240" w:lineRule="auto"/>
        <w:rPr>
          <w:rFonts w:asciiTheme="majorBidi" w:hAnsiTheme="majorBidi" w:cstheme="majorBidi"/>
          <w:i/>
          <w:iCs/>
          <w:color w:val="auto"/>
          <w:sz w:val="24"/>
          <w:szCs w:val="24"/>
          <w:lang w:val="en-GB"/>
        </w:rPr>
      </w:pPr>
      <w:bookmarkStart w:id="4" w:name="interpretation-of-the-index"/>
      <w:r w:rsidRPr="0048733A">
        <w:rPr>
          <w:rFonts w:asciiTheme="majorBidi" w:hAnsiTheme="majorBidi" w:cstheme="majorBidi"/>
          <w:i/>
          <w:iCs/>
          <w:color w:val="auto"/>
          <w:sz w:val="24"/>
          <w:szCs w:val="24"/>
          <w:lang w:val="en-GB"/>
        </w:rPr>
        <w:lastRenderedPageBreak/>
        <w:t>Interpretation of the Index</w:t>
      </w:r>
    </w:p>
    <w:bookmarkEnd w:id="4"/>
    <w:p w14:paraId="29AF2C05" w14:textId="77777777" w:rsidR="00480102" w:rsidRPr="0048733A" w:rsidRDefault="00480102" w:rsidP="00FD272C">
      <w:pPr>
        <w:pStyle w:val="Corpsdetexte"/>
        <w:jc w:val="both"/>
        <w:rPr>
          <w:rFonts w:asciiTheme="majorBidi" w:hAnsiTheme="majorBidi" w:cstheme="majorBidi"/>
          <w:lang w:val="en-GB"/>
        </w:rPr>
      </w:pPr>
      <w:r w:rsidRPr="0048733A">
        <w:rPr>
          <w:rFonts w:asciiTheme="majorBidi" w:hAnsiTheme="majorBidi" w:cstheme="majorBidi"/>
          <w:lang w:val="en-GB"/>
        </w:rPr>
        <w:t>The proposed University Sustainability Index reflects institutional sustainability as an alignment-based construct rather than a purely operational performance measure. Alignment-based evaluation models emphasize the importance of congruence between organizational actions and stakeholder expectations in generating legitimacy and perceived effectiveness [5].</w:t>
      </w:r>
    </w:p>
    <w:p w14:paraId="403897E7" w14:textId="77777777" w:rsidR="00480102" w:rsidRPr="0048733A" w:rsidRDefault="00480102" w:rsidP="00480102">
      <w:pPr>
        <w:pStyle w:val="Corpsdetexte"/>
        <w:rPr>
          <w:rFonts w:asciiTheme="majorBidi" w:hAnsiTheme="majorBidi" w:cstheme="majorBidi"/>
          <w:lang w:val="en-GB"/>
        </w:rPr>
      </w:pPr>
      <w:r w:rsidRPr="0048733A">
        <w:rPr>
          <w:rFonts w:asciiTheme="majorBidi" w:hAnsiTheme="majorBidi" w:cstheme="majorBidi"/>
          <w:lang w:val="en-GB"/>
        </w:rPr>
        <w:t>Higher index values indicate:</w:t>
      </w:r>
    </w:p>
    <w:p w14:paraId="56285BD3" w14:textId="77777777" w:rsidR="00480102" w:rsidRPr="0048733A" w:rsidRDefault="00480102" w:rsidP="00480102">
      <w:pPr>
        <w:pStyle w:val="Corpsdetexte"/>
        <w:numPr>
          <w:ilvl w:val="0"/>
          <w:numId w:val="5"/>
        </w:numPr>
        <w:rPr>
          <w:rFonts w:asciiTheme="majorBidi" w:hAnsiTheme="majorBidi" w:cstheme="majorBidi"/>
          <w:lang w:val="en-GB"/>
        </w:rPr>
      </w:pPr>
      <w:r w:rsidRPr="0048733A">
        <w:rPr>
          <w:rFonts w:asciiTheme="majorBidi" w:hAnsiTheme="majorBidi" w:cstheme="majorBidi"/>
          <w:lang w:val="en-GB"/>
        </w:rPr>
        <w:t>Strong alignment between stakeholder expectations and perceived sustainability</w:t>
      </w:r>
    </w:p>
    <w:p w14:paraId="65577E7F" w14:textId="77777777" w:rsidR="00480102" w:rsidRPr="0048733A" w:rsidRDefault="00480102" w:rsidP="00480102">
      <w:pPr>
        <w:pStyle w:val="Corpsdetexte"/>
        <w:numPr>
          <w:ilvl w:val="0"/>
          <w:numId w:val="5"/>
        </w:numPr>
        <w:rPr>
          <w:rFonts w:asciiTheme="majorBidi" w:hAnsiTheme="majorBidi" w:cstheme="majorBidi"/>
          <w:lang w:val="en-GB"/>
        </w:rPr>
      </w:pPr>
      <w:r w:rsidRPr="0048733A">
        <w:rPr>
          <w:rFonts w:asciiTheme="majorBidi" w:hAnsiTheme="majorBidi" w:cstheme="majorBidi"/>
          <w:lang w:val="en-GB"/>
        </w:rPr>
        <w:t>Effective institutional sustainability strategies</w:t>
      </w:r>
    </w:p>
    <w:p w14:paraId="689CCDF6" w14:textId="77777777" w:rsidR="00480102" w:rsidRPr="0048733A" w:rsidRDefault="00480102" w:rsidP="00480102">
      <w:pPr>
        <w:pStyle w:val="Corpsdetexte"/>
        <w:numPr>
          <w:ilvl w:val="0"/>
          <w:numId w:val="5"/>
        </w:numPr>
        <w:rPr>
          <w:rFonts w:asciiTheme="majorBidi" w:hAnsiTheme="majorBidi" w:cstheme="majorBidi"/>
          <w:lang w:val="en-GB"/>
        </w:rPr>
      </w:pPr>
      <w:r w:rsidRPr="0048733A">
        <w:rPr>
          <w:rFonts w:asciiTheme="majorBidi" w:hAnsiTheme="majorBidi" w:cstheme="majorBidi"/>
          <w:lang w:val="en-GB"/>
        </w:rPr>
        <w:t>Higher stakeholder-perceived sustainability legitimacy</w:t>
      </w:r>
    </w:p>
    <w:p w14:paraId="629651EC" w14:textId="77777777" w:rsidR="00480102" w:rsidRPr="0048733A" w:rsidRDefault="00480102" w:rsidP="00480102">
      <w:pPr>
        <w:pStyle w:val="Corpsdetexte"/>
        <w:rPr>
          <w:rFonts w:asciiTheme="majorBidi" w:hAnsiTheme="majorBidi" w:cstheme="majorBidi"/>
          <w:lang w:val="en-GB"/>
        </w:rPr>
      </w:pPr>
      <w:r w:rsidRPr="0048733A">
        <w:rPr>
          <w:rFonts w:asciiTheme="majorBidi" w:hAnsiTheme="majorBidi" w:cstheme="majorBidi"/>
          <w:lang w:val="en-GB"/>
        </w:rPr>
        <w:t>Conversely, lower index values indicate structural misalignment and potential deficiencies in implementation or communication.</w:t>
      </w:r>
    </w:p>
    <w:p w14:paraId="3BD1B8BB" w14:textId="77777777" w:rsidR="00480102" w:rsidRPr="0048733A" w:rsidRDefault="00480102" w:rsidP="00480102">
      <w:pPr>
        <w:pStyle w:val="Corpsdetexte"/>
        <w:rPr>
          <w:rFonts w:asciiTheme="majorBidi" w:hAnsiTheme="majorBidi" w:cstheme="majorBidi"/>
          <w:lang w:val="en-GB"/>
        </w:rPr>
      </w:pPr>
    </w:p>
    <w:p w14:paraId="77A8AA48" w14:textId="77777777" w:rsidR="00480102" w:rsidRPr="0048733A" w:rsidRDefault="00480102" w:rsidP="0048733A">
      <w:pPr>
        <w:pStyle w:val="Titre2"/>
        <w:spacing w:before="160" w:after="80" w:line="240" w:lineRule="auto"/>
        <w:rPr>
          <w:rFonts w:asciiTheme="majorBidi" w:hAnsiTheme="majorBidi" w:cstheme="majorBidi"/>
          <w:i/>
          <w:iCs/>
          <w:color w:val="auto"/>
          <w:sz w:val="24"/>
          <w:szCs w:val="24"/>
          <w:lang w:val="en-GB"/>
        </w:rPr>
      </w:pPr>
      <w:bookmarkStart w:id="5" w:name="alignment-based-reformulation"/>
      <w:r w:rsidRPr="0048733A">
        <w:rPr>
          <w:rFonts w:asciiTheme="majorBidi" w:hAnsiTheme="majorBidi" w:cstheme="majorBidi"/>
          <w:i/>
          <w:iCs/>
          <w:color w:val="auto"/>
          <w:sz w:val="24"/>
          <w:szCs w:val="24"/>
          <w:lang w:val="en-GB"/>
        </w:rPr>
        <w:t>Alignment-Based Reformulation</w:t>
      </w:r>
    </w:p>
    <w:p w14:paraId="1C998FE2" w14:textId="77777777" w:rsidR="00480102" w:rsidRPr="0048733A" w:rsidRDefault="00480102" w:rsidP="00480102">
      <w:pPr>
        <w:pStyle w:val="FirstParagraph"/>
        <w:rPr>
          <w:rFonts w:asciiTheme="majorBidi" w:hAnsiTheme="majorBidi" w:cstheme="majorBidi"/>
          <w:lang w:val="en-GB"/>
        </w:rPr>
      </w:pPr>
      <w:r w:rsidRPr="0048733A">
        <w:rPr>
          <w:rFonts w:asciiTheme="majorBidi" w:hAnsiTheme="majorBidi" w:cstheme="majorBidi"/>
          <w:lang w:val="en-GB"/>
        </w:rPr>
        <w:t>Since sustainability performance increases when the gap decreases, the index can be reformulated to reflect alignment rather than divergence:</w:t>
      </w:r>
    </w:p>
    <w:p w14:paraId="4A31912A" w14:textId="77777777" w:rsidR="00480102" w:rsidRPr="0048733A" w:rsidRDefault="00480102" w:rsidP="00480102">
      <w:pPr>
        <w:pStyle w:val="Corpsdetexte"/>
        <w:jc w:val="center"/>
        <w:rPr>
          <w:rFonts w:asciiTheme="majorBidi" w:hAnsiTheme="majorBidi" w:cstheme="majorBidi"/>
          <w:lang w:val="en-GB"/>
        </w:rPr>
      </w:pPr>
      <m:oMath>
        <m:r>
          <w:rPr>
            <w:rFonts w:ascii="Cambria Math" w:hAnsi="Cambria Math" w:cstheme="majorBidi"/>
            <w:lang w:val="en-GB"/>
          </w:rPr>
          <m:t>USI</m:t>
        </m:r>
        <m:r>
          <m:rPr>
            <m:sty m:val="p"/>
          </m:rPr>
          <w:rPr>
            <w:rFonts w:ascii="Cambria Math" w:hAnsi="Cambria Math" w:cstheme="majorBidi"/>
            <w:lang w:val="en-GB"/>
          </w:rPr>
          <m:t>=</m:t>
        </m:r>
        <m:r>
          <w:rPr>
            <w:rFonts w:ascii="Cambria Math" w:hAnsi="Cambria Math" w:cstheme="majorBidi"/>
            <w:lang w:val="en-GB"/>
          </w:rPr>
          <m:t>1</m:t>
        </m:r>
        <m:r>
          <m:rPr>
            <m:sty m:val="p"/>
          </m:rPr>
          <w:rPr>
            <w:rFonts w:ascii="Cambria Math" w:hAnsi="Cambria Math" w:cstheme="majorBidi"/>
            <w:lang w:val="en-GB"/>
          </w:rPr>
          <m:t>-</m:t>
        </m:r>
        <m:d>
          <m:dPr>
            <m:ctrlPr>
              <w:rPr>
                <w:rFonts w:ascii="Cambria Math" w:hAnsi="Cambria Math" w:cstheme="majorBidi"/>
                <w:lang w:val="en-GB"/>
              </w:rPr>
            </m:ctrlPr>
          </m:dPr>
          <m:e>
            <m:sSub>
              <m:sSubPr>
                <m:ctrlPr>
                  <w:rPr>
                    <w:rFonts w:ascii="Cambria Math" w:hAnsi="Cambria Math" w:cstheme="majorBidi"/>
                    <w:lang w:val="en-GB"/>
                  </w:rPr>
                </m:ctrlPr>
              </m:sSubPr>
              <m:e>
                <m:r>
                  <w:rPr>
                    <w:rFonts w:ascii="Cambria Math" w:hAnsi="Cambria Math" w:cstheme="majorBidi"/>
                    <w:lang w:val="en-GB"/>
                  </w:rPr>
                  <m:t>β</m:t>
                </m:r>
              </m:e>
              <m:sub>
                <m:r>
                  <w:rPr>
                    <w:rFonts w:ascii="Cambria Math" w:hAnsi="Cambria Math" w:cstheme="majorBidi"/>
                    <w:lang w:val="en-GB"/>
                  </w:rPr>
                  <m:t>e</m:t>
                </m:r>
              </m:sub>
            </m:sSub>
            <m:d>
              <m:dPr>
                <m:begChr m:val="|"/>
                <m:endChr m:val="|"/>
                <m:ctrlPr>
                  <w:rPr>
                    <w:rFonts w:ascii="Cambria Math" w:hAnsi="Cambria Math" w:cstheme="majorBidi"/>
                    <w:lang w:val="en-GB"/>
                  </w:rPr>
                </m:ctrlPr>
              </m:dPr>
              <m:e>
                <m:sSub>
                  <m:sSubPr>
                    <m:ctrlPr>
                      <w:rPr>
                        <w:rFonts w:ascii="Cambria Math" w:hAnsi="Cambria Math" w:cstheme="majorBidi"/>
                        <w:lang w:val="en-GB"/>
                      </w:rPr>
                    </m:ctrlPr>
                  </m:sSubPr>
                  <m:e>
                    <m:r>
                      <w:rPr>
                        <w:rFonts w:ascii="Cambria Math" w:hAnsi="Cambria Math" w:cstheme="majorBidi"/>
                        <w:lang w:val="en-GB"/>
                      </w:rPr>
                      <m:t>G</m:t>
                    </m:r>
                  </m:e>
                  <m:sub>
                    <m:r>
                      <w:rPr>
                        <w:rFonts w:ascii="Cambria Math" w:hAnsi="Cambria Math" w:cstheme="majorBidi"/>
                        <w:lang w:val="en-GB"/>
                      </w:rPr>
                      <m:t>e</m:t>
                    </m:r>
                  </m:sub>
                </m:sSub>
              </m:e>
            </m:d>
            <m:r>
              <m:rPr>
                <m:sty m:val="p"/>
              </m:rPr>
              <w:rPr>
                <w:rFonts w:ascii="Cambria Math" w:hAnsi="Cambria Math" w:cstheme="majorBidi"/>
                <w:lang w:val="en-GB"/>
              </w:rPr>
              <m:t>+</m:t>
            </m:r>
            <m:sSub>
              <m:sSubPr>
                <m:ctrlPr>
                  <w:rPr>
                    <w:rFonts w:ascii="Cambria Math" w:hAnsi="Cambria Math" w:cstheme="majorBidi"/>
                    <w:lang w:val="en-GB"/>
                  </w:rPr>
                </m:ctrlPr>
              </m:sSubPr>
              <m:e>
                <m:r>
                  <w:rPr>
                    <w:rFonts w:ascii="Cambria Math" w:hAnsi="Cambria Math" w:cstheme="majorBidi"/>
                    <w:lang w:val="en-GB"/>
                  </w:rPr>
                  <m:t>β</m:t>
                </m:r>
              </m:e>
              <m:sub>
                <m:r>
                  <w:rPr>
                    <w:rFonts w:ascii="Cambria Math" w:hAnsi="Cambria Math" w:cstheme="majorBidi"/>
                    <w:lang w:val="en-GB"/>
                  </w:rPr>
                  <m:t>s</m:t>
                </m:r>
              </m:sub>
            </m:sSub>
            <m:d>
              <m:dPr>
                <m:begChr m:val="|"/>
                <m:endChr m:val="|"/>
                <m:ctrlPr>
                  <w:rPr>
                    <w:rFonts w:ascii="Cambria Math" w:hAnsi="Cambria Math" w:cstheme="majorBidi"/>
                    <w:lang w:val="en-GB"/>
                  </w:rPr>
                </m:ctrlPr>
              </m:dPr>
              <m:e>
                <m:sSub>
                  <m:sSubPr>
                    <m:ctrlPr>
                      <w:rPr>
                        <w:rFonts w:ascii="Cambria Math" w:hAnsi="Cambria Math" w:cstheme="majorBidi"/>
                        <w:lang w:val="en-GB"/>
                      </w:rPr>
                    </m:ctrlPr>
                  </m:sSubPr>
                  <m:e>
                    <m:r>
                      <w:rPr>
                        <w:rFonts w:ascii="Cambria Math" w:hAnsi="Cambria Math" w:cstheme="majorBidi"/>
                        <w:lang w:val="en-GB"/>
                      </w:rPr>
                      <m:t>G</m:t>
                    </m:r>
                  </m:e>
                  <m:sub>
                    <m:r>
                      <w:rPr>
                        <w:rFonts w:ascii="Cambria Math" w:hAnsi="Cambria Math" w:cstheme="majorBidi"/>
                        <w:lang w:val="en-GB"/>
                      </w:rPr>
                      <m:t>s</m:t>
                    </m:r>
                  </m:sub>
                </m:sSub>
              </m:e>
            </m:d>
            <m:r>
              <m:rPr>
                <m:sty m:val="p"/>
              </m:rPr>
              <w:rPr>
                <w:rFonts w:ascii="Cambria Math" w:hAnsi="Cambria Math" w:cstheme="majorBidi"/>
                <w:lang w:val="en-GB"/>
              </w:rPr>
              <m:t>+</m:t>
            </m:r>
            <m:sSub>
              <m:sSubPr>
                <m:ctrlPr>
                  <w:rPr>
                    <w:rFonts w:ascii="Cambria Math" w:hAnsi="Cambria Math" w:cstheme="majorBidi"/>
                    <w:lang w:val="en-GB"/>
                  </w:rPr>
                </m:ctrlPr>
              </m:sSubPr>
              <m:e>
                <m:r>
                  <w:rPr>
                    <w:rFonts w:ascii="Cambria Math" w:hAnsi="Cambria Math" w:cstheme="majorBidi"/>
                    <w:lang w:val="en-GB"/>
                  </w:rPr>
                  <m:t>β</m:t>
                </m:r>
              </m:e>
              <m:sub>
                <m:r>
                  <w:rPr>
                    <w:rFonts w:ascii="Cambria Math" w:hAnsi="Cambria Math" w:cstheme="majorBidi"/>
                    <w:lang w:val="en-GB"/>
                  </w:rPr>
                  <m:t>env</m:t>
                </m:r>
              </m:sub>
            </m:sSub>
            <m:d>
              <m:dPr>
                <m:begChr m:val="|"/>
                <m:endChr m:val="|"/>
                <m:ctrlPr>
                  <w:rPr>
                    <w:rFonts w:ascii="Cambria Math" w:hAnsi="Cambria Math" w:cstheme="majorBidi"/>
                    <w:lang w:val="en-GB"/>
                  </w:rPr>
                </m:ctrlPr>
              </m:dPr>
              <m:e>
                <m:sSub>
                  <m:sSubPr>
                    <m:ctrlPr>
                      <w:rPr>
                        <w:rFonts w:ascii="Cambria Math" w:hAnsi="Cambria Math" w:cstheme="majorBidi"/>
                        <w:lang w:val="en-GB"/>
                      </w:rPr>
                    </m:ctrlPr>
                  </m:sSubPr>
                  <m:e>
                    <m:r>
                      <w:rPr>
                        <w:rFonts w:ascii="Cambria Math" w:hAnsi="Cambria Math" w:cstheme="majorBidi"/>
                        <w:lang w:val="en-GB"/>
                      </w:rPr>
                      <m:t>G</m:t>
                    </m:r>
                  </m:e>
                  <m:sub>
                    <m:r>
                      <w:rPr>
                        <w:rFonts w:ascii="Cambria Math" w:hAnsi="Cambria Math" w:cstheme="majorBidi"/>
                        <w:lang w:val="en-GB"/>
                      </w:rPr>
                      <m:t>env</m:t>
                    </m:r>
                  </m:sub>
                </m:sSub>
              </m:e>
            </m:d>
          </m:e>
        </m:d>
      </m:oMath>
      <w:r w:rsidRPr="0048733A">
        <w:rPr>
          <w:rFonts w:asciiTheme="majorBidi" w:hAnsiTheme="majorBidi" w:cstheme="majorBidi"/>
          <w:lang w:val="en-GB"/>
        </w:rPr>
        <w:t xml:space="preserve"> (7)</w:t>
      </w:r>
    </w:p>
    <w:p w14:paraId="6A9ADDB5" w14:textId="77777777" w:rsidR="00480102" w:rsidRPr="0048733A" w:rsidRDefault="00480102" w:rsidP="00480102">
      <w:pPr>
        <w:pStyle w:val="FirstParagraph"/>
        <w:rPr>
          <w:rFonts w:asciiTheme="majorBidi" w:hAnsiTheme="majorBidi" w:cstheme="majorBidi"/>
          <w:lang w:val="en-GB"/>
        </w:rPr>
      </w:pPr>
      <w:r w:rsidRPr="0048733A">
        <w:rPr>
          <w:rFonts w:asciiTheme="majorBidi" w:hAnsiTheme="majorBidi" w:cstheme="majorBidi"/>
          <w:lang w:val="en-GB"/>
        </w:rPr>
        <w:t>This formulation ensures that higher index values correspond to stronger alignment between stakeholder expectations and institutional sustainability performance.</w:t>
      </w:r>
    </w:p>
    <w:p w14:paraId="523866B5" w14:textId="77777777" w:rsidR="00480102" w:rsidRPr="0048733A" w:rsidRDefault="00480102" w:rsidP="0048733A">
      <w:pPr>
        <w:pStyle w:val="Titre2"/>
        <w:spacing w:before="160" w:after="80" w:line="240" w:lineRule="auto"/>
        <w:rPr>
          <w:rFonts w:asciiTheme="majorBidi" w:hAnsiTheme="majorBidi" w:cstheme="majorBidi"/>
          <w:i/>
          <w:iCs/>
          <w:color w:val="auto"/>
          <w:sz w:val="24"/>
          <w:szCs w:val="24"/>
          <w:lang w:val="en-GB"/>
        </w:rPr>
      </w:pPr>
      <w:bookmarkStart w:id="6" w:name="normalized-index-formulation"/>
      <w:bookmarkEnd w:id="5"/>
      <w:r w:rsidRPr="0048733A">
        <w:rPr>
          <w:rFonts w:asciiTheme="majorBidi" w:hAnsiTheme="majorBidi" w:cstheme="majorBidi"/>
          <w:i/>
          <w:iCs/>
          <w:color w:val="auto"/>
          <w:sz w:val="24"/>
          <w:szCs w:val="24"/>
          <w:lang w:val="en-GB"/>
        </w:rPr>
        <w:t>Normalized Index Formulation</w:t>
      </w:r>
    </w:p>
    <w:p w14:paraId="58C9148E" w14:textId="77777777" w:rsidR="00480102" w:rsidRPr="0048733A" w:rsidRDefault="00480102" w:rsidP="00480102">
      <w:pPr>
        <w:pStyle w:val="FirstParagraph"/>
        <w:rPr>
          <w:rFonts w:asciiTheme="majorBidi" w:hAnsiTheme="majorBidi" w:cstheme="majorBidi"/>
          <w:lang w:val="en-GB"/>
        </w:rPr>
      </w:pPr>
      <w:r w:rsidRPr="0048733A">
        <w:rPr>
          <w:rFonts w:asciiTheme="majorBidi" w:hAnsiTheme="majorBidi" w:cstheme="majorBidi"/>
          <w:lang w:val="en-GB"/>
        </w:rPr>
        <w:t xml:space="preserve">For comparability across institutions, the index can be normalized to lie within the interval </w:t>
      </w:r>
      <m:oMath>
        <m:r>
          <m:rPr>
            <m:sty m:val="p"/>
          </m:rPr>
          <w:rPr>
            <w:rFonts w:ascii="Cambria Math" w:hAnsi="Cambria Math" w:cstheme="majorBidi"/>
            <w:lang w:val="en-GB"/>
          </w:rPr>
          <m:t>[</m:t>
        </m:r>
        <m:r>
          <w:rPr>
            <w:rFonts w:ascii="Cambria Math" w:hAnsi="Cambria Math" w:cstheme="majorBidi"/>
            <w:lang w:val="en-GB"/>
          </w:rPr>
          <m:t>0</m:t>
        </m:r>
        <m:r>
          <m:rPr>
            <m:sty m:val="p"/>
          </m:rPr>
          <w:rPr>
            <w:rFonts w:ascii="Cambria Math" w:hAnsi="Cambria Math" w:cstheme="majorBidi"/>
            <w:lang w:val="en-GB"/>
          </w:rPr>
          <m:t>,</m:t>
        </m:r>
        <m:r>
          <w:rPr>
            <w:rFonts w:ascii="Cambria Math" w:hAnsi="Cambria Math" w:cstheme="majorBidi"/>
            <w:lang w:val="en-GB"/>
          </w:rPr>
          <m:t>1</m:t>
        </m:r>
        <m:r>
          <m:rPr>
            <m:sty m:val="p"/>
          </m:rPr>
          <w:rPr>
            <w:rFonts w:ascii="Cambria Math" w:hAnsi="Cambria Math" w:cstheme="majorBidi"/>
            <w:lang w:val="en-GB"/>
          </w:rPr>
          <m:t>]</m:t>
        </m:r>
      </m:oMath>
      <w:r w:rsidRPr="0048733A">
        <w:rPr>
          <w:rFonts w:asciiTheme="majorBidi" w:hAnsiTheme="majorBidi" w:cstheme="majorBidi"/>
          <w:lang w:val="en-GB"/>
        </w:rPr>
        <w:t>:</w:t>
      </w:r>
    </w:p>
    <w:p w14:paraId="35266D85" w14:textId="77777777" w:rsidR="00480102" w:rsidRPr="0048733A" w:rsidRDefault="00480102" w:rsidP="00480102">
      <w:pPr>
        <w:pStyle w:val="Corpsdetexte"/>
        <w:jc w:val="center"/>
        <w:rPr>
          <w:rFonts w:asciiTheme="majorBidi" w:hAnsiTheme="majorBidi" w:cstheme="majorBidi"/>
          <w:lang w:val="en-GB"/>
        </w:rPr>
      </w:pPr>
      <m:oMath>
        <m:r>
          <w:rPr>
            <w:rFonts w:ascii="Cambria Math" w:hAnsi="Cambria Math" w:cstheme="majorBidi"/>
            <w:lang w:val="en-GB"/>
          </w:rPr>
          <m:t>US</m:t>
        </m:r>
        <m:sSup>
          <m:sSupPr>
            <m:ctrlPr>
              <w:rPr>
                <w:rFonts w:ascii="Cambria Math" w:hAnsi="Cambria Math" w:cstheme="majorBidi"/>
                <w:lang w:val="en-GB"/>
              </w:rPr>
            </m:ctrlPr>
          </m:sSupPr>
          <m:e>
            <m:r>
              <w:rPr>
                <w:rFonts w:ascii="Cambria Math" w:hAnsi="Cambria Math" w:cstheme="majorBidi"/>
                <w:lang w:val="en-GB"/>
              </w:rPr>
              <m:t>I</m:t>
            </m:r>
          </m:e>
          <m:sup>
            <m:r>
              <m:rPr>
                <m:sty m:val="p"/>
              </m:rPr>
              <w:rPr>
                <w:rFonts w:ascii="Cambria Math" w:hAnsi="Cambria Math" w:cstheme="majorBidi"/>
                <w:lang w:val="en-GB"/>
              </w:rPr>
              <m:t>*</m:t>
            </m:r>
          </m:sup>
        </m:sSup>
        <m:r>
          <m:rPr>
            <m:sty m:val="p"/>
          </m:rPr>
          <w:rPr>
            <w:rFonts w:ascii="Cambria Math" w:hAnsi="Cambria Math" w:cstheme="majorBidi"/>
            <w:lang w:val="en-GB"/>
          </w:rPr>
          <m:t>=</m:t>
        </m:r>
        <m:f>
          <m:fPr>
            <m:ctrlPr>
              <w:rPr>
                <w:rFonts w:ascii="Cambria Math" w:hAnsi="Cambria Math" w:cstheme="majorBidi"/>
                <w:lang w:val="en-GB"/>
              </w:rPr>
            </m:ctrlPr>
          </m:fPr>
          <m:num>
            <m:r>
              <w:rPr>
                <w:rFonts w:ascii="Cambria Math" w:hAnsi="Cambria Math" w:cstheme="majorBidi"/>
                <w:lang w:val="en-GB"/>
              </w:rPr>
              <m:t>USI</m:t>
            </m:r>
            <m:r>
              <m:rPr>
                <m:sty m:val="p"/>
              </m:rPr>
              <w:rPr>
                <w:rFonts w:ascii="Cambria Math" w:hAnsi="Cambria Math" w:cstheme="majorBidi"/>
                <w:lang w:val="en-GB"/>
              </w:rPr>
              <m:t>-</m:t>
            </m:r>
            <m:r>
              <w:rPr>
                <w:rFonts w:ascii="Cambria Math" w:hAnsi="Cambria Math" w:cstheme="majorBidi"/>
                <w:lang w:val="en-GB"/>
              </w:rPr>
              <m:t>US</m:t>
            </m:r>
            <m:sSub>
              <m:sSubPr>
                <m:ctrlPr>
                  <w:rPr>
                    <w:rFonts w:ascii="Cambria Math" w:hAnsi="Cambria Math" w:cstheme="majorBidi"/>
                    <w:lang w:val="en-GB"/>
                  </w:rPr>
                </m:ctrlPr>
              </m:sSubPr>
              <m:e>
                <m:r>
                  <w:rPr>
                    <w:rFonts w:ascii="Cambria Math" w:hAnsi="Cambria Math" w:cstheme="majorBidi"/>
                    <w:lang w:val="en-GB"/>
                  </w:rPr>
                  <m:t>I</m:t>
                </m:r>
              </m:e>
              <m:sub>
                <m:r>
                  <w:rPr>
                    <w:rFonts w:ascii="Cambria Math" w:hAnsi="Cambria Math" w:cstheme="majorBidi"/>
                    <w:lang w:val="en-GB"/>
                  </w:rPr>
                  <m:t>min</m:t>
                </m:r>
              </m:sub>
            </m:sSub>
          </m:num>
          <m:den>
            <m:r>
              <w:rPr>
                <w:rFonts w:ascii="Cambria Math" w:hAnsi="Cambria Math" w:cstheme="majorBidi"/>
                <w:lang w:val="en-GB"/>
              </w:rPr>
              <m:t>US</m:t>
            </m:r>
            <m:sSub>
              <m:sSubPr>
                <m:ctrlPr>
                  <w:rPr>
                    <w:rFonts w:ascii="Cambria Math" w:hAnsi="Cambria Math" w:cstheme="majorBidi"/>
                    <w:lang w:val="en-GB"/>
                  </w:rPr>
                </m:ctrlPr>
              </m:sSubPr>
              <m:e>
                <m:r>
                  <w:rPr>
                    <w:rFonts w:ascii="Cambria Math" w:hAnsi="Cambria Math" w:cstheme="majorBidi"/>
                    <w:lang w:val="en-GB"/>
                  </w:rPr>
                  <m:t>I</m:t>
                </m:r>
              </m:e>
              <m:sub>
                <m:r>
                  <w:rPr>
                    <w:rFonts w:ascii="Cambria Math" w:hAnsi="Cambria Math" w:cstheme="majorBidi"/>
                    <w:lang w:val="en-GB"/>
                  </w:rPr>
                  <m:t>max</m:t>
                </m:r>
              </m:sub>
            </m:sSub>
            <m:r>
              <m:rPr>
                <m:sty m:val="p"/>
              </m:rPr>
              <w:rPr>
                <w:rFonts w:ascii="Cambria Math" w:hAnsi="Cambria Math" w:cstheme="majorBidi"/>
                <w:lang w:val="en-GB"/>
              </w:rPr>
              <m:t>-</m:t>
            </m:r>
            <m:r>
              <w:rPr>
                <w:rFonts w:ascii="Cambria Math" w:hAnsi="Cambria Math" w:cstheme="majorBidi"/>
                <w:lang w:val="en-GB"/>
              </w:rPr>
              <m:t>US</m:t>
            </m:r>
            <m:sSub>
              <m:sSubPr>
                <m:ctrlPr>
                  <w:rPr>
                    <w:rFonts w:ascii="Cambria Math" w:hAnsi="Cambria Math" w:cstheme="majorBidi"/>
                    <w:lang w:val="en-GB"/>
                  </w:rPr>
                </m:ctrlPr>
              </m:sSubPr>
              <m:e>
                <m:r>
                  <w:rPr>
                    <w:rFonts w:ascii="Cambria Math" w:hAnsi="Cambria Math" w:cstheme="majorBidi"/>
                    <w:lang w:val="en-GB"/>
                  </w:rPr>
                  <m:t>I</m:t>
                </m:r>
              </m:e>
              <m:sub>
                <m:r>
                  <w:rPr>
                    <w:rFonts w:ascii="Cambria Math" w:hAnsi="Cambria Math" w:cstheme="majorBidi"/>
                    <w:lang w:val="en-GB"/>
                  </w:rPr>
                  <m:t>min</m:t>
                </m:r>
              </m:sub>
            </m:sSub>
          </m:den>
        </m:f>
      </m:oMath>
      <w:r w:rsidRPr="0048733A">
        <w:rPr>
          <w:rFonts w:asciiTheme="majorBidi" w:hAnsiTheme="majorBidi" w:cstheme="majorBidi"/>
          <w:lang w:val="en-GB"/>
        </w:rPr>
        <w:t xml:space="preserve"> (8)</w:t>
      </w:r>
    </w:p>
    <w:p w14:paraId="1E444A4E" w14:textId="77777777" w:rsidR="00480102" w:rsidRPr="0048733A" w:rsidRDefault="00480102" w:rsidP="00480102">
      <w:pPr>
        <w:pStyle w:val="FirstParagraph"/>
        <w:rPr>
          <w:rFonts w:asciiTheme="majorBidi" w:hAnsiTheme="majorBidi" w:cstheme="majorBidi"/>
          <w:lang w:val="en-GB"/>
        </w:rPr>
      </w:pPr>
      <w:r w:rsidRPr="0048733A">
        <w:rPr>
          <w:rFonts w:asciiTheme="majorBidi" w:hAnsiTheme="majorBidi" w:cstheme="majorBidi"/>
          <w:lang w:val="en-GB"/>
        </w:rPr>
        <w:t xml:space="preserve">where </w:t>
      </w:r>
      <m:oMath>
        <m:r>
          <w:rPr>
            <w:rFonts w:ascii="Cambria Math" w:hAnsi="Cambria Math" w:cstheme="majorBidi"/>
            <w:lang w:val="en-GB"/>
          </w:rPr>
          <m:t>US</m:t>
        </m:r>
        <m:sSub>
          <m:sSubPr>
            <m:ctrlPr>
              <w:rPr>
                <w:rFonts w:ascii="Cambria Math" w:hAnsi="Cambria Math" w:cstheme="majorBidi"/>
                <w:lang w:val="en-GB"/>
              </w:rPr>
            </m:ctrlPr>
          </m:sSubPr>
          <m:e>
            <m:r>
              <w:rPr>
                <w:rFonts w:ascii="Cambria Math" w:hAnsi="Cambria Math" w:cstheme="majorBidi"/>
                <w:lang w:val="en-GB"/>
              </w:rPr>
              <m:t>I</m:t>
            </m:r>
          </m:e>
          <m:sub>
            <m:r>
              <w:rPr>
                <w:rFonts w:ascii="Cambria Math" w:hAnsi="Cambria Math" w:cstheme="majorBidi"/>
                <w:lang w:val="en-GB"/>
              </w:rPr>
              <m:t>min</m:t>
            </m:r>
          </m:sub>
        </m:sSub>
      </m:oMath>
      <w:r w:rsidRPr="0048733A">
        <w:rPr>
          <w:rFonts w:asciiTheme="majorBidi" w:hAnsiTheme="majorBidi" w:cstheme="majorBidi"/>
          <w:lang w:val="en-GB"/>
        </w:rPr>
        <w:t xml:space="preserve"> and </w:t>
      </w:r>
      <m:oMath>
        <m:r>
          <w:rPr>
            <w:rFonts w:ascii="Cambria Math" w:hAnsi="Cambria Math" w:cstheme="majorBidi"/>
            <w:lang w:val="en-GB"/>
          </w:rPr>
          <m:t>US</m:t>
        </m:r>
        <m:sSub>
          <m:sSubPr>
            <m:ctrlPr>
              <w:rPr>
                <w:rFonts w:ascii="Cambria Math" w:hAnsi="Cambria Math" w:cstheme="majorBidi"/>
                <w:lang w:val="en-GB"/>
              </w:rPr>
            </m:ctrlPr>
          </m:sSubPr>
          <m:e>
            <m:r>
              <w:rPr>
                <w:rFonts w:ascii="Cambria Math" w:hAnsi="Cambria Math" w:cstheme="majorBidi"/>
                <w:lang w:val="en-GB"/>
              </w:rPr>
              <m:t>I</m:t>
            </m:r>
          </m:e>
          <m:sub>
            <m:r>
              <w:rPr>
                <w:rFonts w:ascii="Cambria Math" w:hAnsi="Cambria Math" w:cstheme="majorBidi"/>
                <w:lang w:val="en-GB"/>
              </w:rPr>
              <m:t>max</m:t>
            </m:r>
          </m:sub>
        </m:sSub>
      </m:oMath>
      <w:r w:rsidRPr="0048733A">
        <w:rPr>
          <w:rFonts w:asciiTheme="majorBidi" w:hAnsiTheme="majorBidi" w:cstheme="majorBidi"/>
          <w:lang w:val="en-GB"/>
        </w:rPr>
        <w:t xml:space="preserve"> represent the theoretical minimum and maximum index values.</w:t>
      </w:r>
    </w:p>
    <w:bookmarkEnd w:id="3"/>
    <w:bookmarkEnd w:id="6"/>
    <w:p w14:paraId="3CE354A6" w14:textId="77777777" w:rsidR="00480102" w:rsidRPr="0048733A" w:rsidRDefault="00480102" w:rsidP="00480102">
      <w:pPr>
        <w:rPr>
          <w:rFonts w:asciiTheme="majorBidi" w:hAnsiTheme="majorBidi" w:cstheme="majorBidi"/>
          <w:sz w:val="24"/>
          <w:szCs w:val="24"/>
          <w:lang w:val="en-GB"/>
        </w:rPr>
      </w:pPr>
      <w:r w:rsidRPr="0048733A">
        <w:rPr>
          <w:rFonts w:asciiTheme="majorBidi" w:hAnsiTheme="majorBidi" w:cstheme="majorBidi"/>
          <w:sz w:val="24"/>
          <w:szCs w:val="24"/>
          <w:lang w:val="en-GB"/>
        </w:rPr>
        <w:t>Index normalization techniques are commonly employed in composite sustainability indicator construction to ensure cross-unit comparability and interpretability [21], [22].</w:t>
      </w:r>
    </w:p>
    <w:p w14:paraId="0B4AE4F8" w14:textId="77777777" w:rsidR="00DA0F40" w:rsidRPr="0048733A" w:rsidRDefault="00DA0F40" w:rsidP="00DA0F40">
      <w:pPr>
        <w:rPr>
          <w:rFonts w:ascii="Times New Roman" w:eastAsia="Times New Roman" w:hAnsi="Times New Roman" w:cs="Times New Roman"/>
          <w:b/>
          <w:bCs/>
          <w:sz w:val="28"/>
          <w:szCs w:val="28"/>
          <w:highlight w:val="yellow"/>
          <w:lang w:val="en-GB"/>
        </w:rPr>
      </w:pPr>
    </w:p>
    <w:p w14:paraId="602B9FE7" w14:textId="5A3EB43A" w:rsidR="007B7487" w:rsidRDefault="000B17E4" w:rsidP="007B7487">
      <w:pPr>
        <w:shd w:val="clear" w:color="auto" w:fill="FFFFFF" w:themeFill="background1"/>
        <w:rPr>
          <w:rFonts w:ascii="Times New Roman" w:eastAsia="Times New Roman" w:hAnsi="Times New Roman" w:cs="Times New Roman"/>
          <w:b/>
          <w:bCs/>
          <w:sz w:val="28"/>
          <w:szCs w:val="28"/>
          <w:lang w:val="en-GB"/>
        </w:rPr>
      </w:pPr>
      <w:r w:rsidRPr="0048733A">
        <w:rPr>
          <w:rFonts w:ascii="Times New Roman" w:eastAsia="Times New Roman" w:hAnsi="Times New Roman" w:cs="Times New Roman"/>
          <w:b/>
          <w:bCs/>
          <w:sz w:val="28"/>
          <w:szCs w:val="28"/>
          <w:lang w:val="en-GB"/>
        </w:rPr>
        <w:t xml:space="preserve">Discussion </w:t>
      </w:r>
    </w:p>
    <w:p w14:paraId="7E61F37A" w14:textId="77777777" w:rsidR="007347C2" w:rsidRPr="007347C2" w:rsidRDefault="007347C2" w:rsidP="007347C2">
      <w:pPr>
        <w:pStyle w:val="NormalWeb"/>
        <w:spacing w:before="240" w:beforeAutospacing="0" w:after="240" w:afterAutospacing="0"/>
        <w:jc w:val="both"/>
        <w:rPr>
          <w:lang w:val="en-US"/>
        </w:rPr>
      </w:pPr>
      <w:r w:rsidRPr="007347C2">
        <w:rPr>
          <w:color w:val="000000"/>
          <w:lang w:val="en-US"/>
        </w:rPr>
        <w:t xml:space="preserve">This study demonstrates that the sustainable performance of universities cannot be fully captured by technical or operational indicators alone (Muñoz-Suárez et al., 2020; Urbanski &amp; Leal, 2015). Qualitative analyses reveal a Sustainability Expectation Perception Gap, a systematic divergence between stakeholders’ perceptions and the initiatives implemented by institutions. This gap highlights limitations in visibility, communication, and strategic alignment that traditional performance measures fail to capture (Sonetti et al., 2016; Horan &amp; O’Regan, 2021). Recognizing this gap emphasizes the importance of integrating stakeholders’ perspectives into sustainability assessments (Freeman, 1984; Donaldson &amp; Preston, 1995). Building on these insights, the study proposes a future integrative model to incorporate </w:t>
      </w:r>
      <w:r w:rsidRPr="007347C2">
        <w:rPr>
          <w:color w:val="000000"/>
          <w:lang w:val="en-US"/>
        </w:rPr>
        <w:lastRenderedPageBreak/>
        <w:t>perception-based variables into sustainable performance indices, enabling a more holistic and behaviorally informed evaluation across economic, social, and environmental dimensions (Freeman et al., 2010; Popowska &amp; Sady, 2024).</w:t>
      </w:r>
    </w:p>
    <w:p w14:paraId="0EC6784C" w14:textId="77777777" w:rsidR="007347C2" w:rsidRPr="007347C2" w:rsidRDefault="007347C2" w:rsidP="007347C2">
      <w:pPr>
        <w:pStyle w:val="NormalWeb"/>
        <w:spacing w:before="240" w:beforeAutospacing="0" w:after="240" w:afterAutospacing="0"/>
        <w:jc w:val="both"/>
        <w:rPr>
          <w:lang w:val="en-US"/>
        </w:rPr>
      </w:pPr>
      <w:r w:rsidRPr="007347C2">
        <w:rPr>
          <w:color w:val="000000"/>
          <w:lang w:val="en-US"/>
        </w:rPr>
        <w:t>The economic dimension of sustainability at ESB is characterized by effective operational implementation, primarily through digitalization and resource optimization (Min-Allah &amp; Alrashed, 2020; Ceccarini et al., 2021). Digitalization dominates responses and reflects a pragmatic view of economic sustainability, focused on immediately visible resource savings, particularly paper reduction. In contrast, energy optimization initiatives, although present, are less frequently mentioned and less perceptible (Maistry &amp; Annegar, 2016; Soares et al., 2015). Concrete actions such as intelligent room management or reducing energy waste are identified, while more technical or strategic measures (solar panels, energy control systems) remain largely unrecognized (Diniz et al., 2024; Ayadi et al., 2025; Movlyanov &amp; Selçuklu, 2025). This situation appears to reflect not a lack of initiatives, but rather a deficit in visibility and communication, particularly regarding investments in sustainable infrastructure and their long-term impact (Washington-Ottombre, 2024; Rosa et al., 2024). Human capital development emerges as a more abstract dimension, primarily driven by faculty and less integrated into students’ perception of sustainability. The observed gap does not stem mainly from a lack of actions, but from insufficient strategic valorization: poor communication, low budgetary transparency, absence of visible quantitative indicators, and a lack of a formalized structured framework (green budgeting, CSR reporting) (White, 2014; Romero &amp; Mulfarth, 2017).</w:t>
      </w:r>
    </w:p>
    <w:p w14:paraId="6F01C184" w14:textId="77777777" w:rsidR="007347C2" w:rsidRPr="007347C2" w:rsidRDefault="007347C2" w:rsidP="007347C2">
      <w:pPr>
        <w:pStyle w:val="NormalWeb"/>
        <w:spacing w:before="240" w:beforeAutospacing="0" w:after="240" w:afterAutospacing="0"/>
        <w:jc w:val="both"/>
        <w:rPr>
          <w:lang w:val="en-US"/>
        </w:rPr>
      </w:pPr>
      <w:r w:rsidRPr="007347C2">
        <w:rPr>
          <w:color w:val="000000"/>
          <w:lang w:val="en-US"/>
        </w:rPr>
        <w:t>The analysis of the social dimension reveals a mix of recognized initiatives and significant gaps. Although respondents acknowledge efforts in inclusion, student clubs, integration events, and community engagement activities (Arias-Valle &amp; Marimón, 2024; Agustina et al., 2023), expectations generally emphasize the need for greater institutionalization and structural reinforcement, particularly regarding psychological support services and anti-discrimination mechanisms (Djukic-Min et al., 2025). The most pronounced gap concerns mental health support: while some initiatives are perceived, stakeholders call for permanent, structured, and more accessible psychological services. Moreover, expectations indicate a shift from occasional participation based on events toward involvement in decision-making, reflecting a demand for participatory governance (Alalawi &amp; Omar, 2024; Djukic-Min et al., 2025). Overall, the findings suggest that the university’s social sustainability is perceived as active but insufficiently formalized, highlighting a transition from symbolic engagement toward structured social responsibility (Mitchell et al., 1997).</w:t>
      </w:r>
    </w:p>
    <w:p w14:paraId="3169D0DA" w14:textId="77777777" w:rsidR="007347C2" w:rsidRPr="007347C2" w:rsidRDefault="007347C2" w:rsidP="007347C2">
      <w:pPr>
        <w:pStyle w:val="NormalWeb"/>
        <w:spacing w:before="240" w:beforeAutospacing="0" w:after="240" w:afterAutospacing="0"/>
        <w:jc w:val="both"/>
        <w:rPr>
          <w:lang w:val="en-US"/>
        </w:rPr>
      </w:pPr>
      <w:r w:rsidRPr="007347C2">
        <w:rPr>
          <w:color w:val="000000"/>
          <w:lang w:val="en-US"/>
        </w:rPr>
        <w:t>The environmental dimension shows a partial alignment between perceived initiatives and stakeholder expectations. Waste, plastic, and water management, as well as environmental awareness and student engagement, are moderately implemented but need stronger structure and visibility (Zen et al., 2016; Rupani et al., 2023; Pujiati et al., 2024; Hamid et al., 2017). Sustainable mobility presents the largest gap, reflecting a clear demand for structured programs (Ibrahim et al., 2022; Johar et al., 2025). Overall, the university’s environmental sustainability is active yet insufficiently institutionalized, highlighting the need for reinforcement, strategic integration, and consistent stakeholder involvement (Dagiliūtė et al., 2018; Zhao &amp; Zou, 2023).</w:t>
      </w:r>
    </w:p>
    <w:p w14:paraId="437E0440" w14:textId="77777777" w:rsidR="007347C2" w:rsidRPr="007347C2" w:rsidRDefault="007347C2" w:rsidP="007347C2">
      <w:pPr>
        <w:pStyle w:val="NormalWeb"/>
        <w:spacing w:before="240" w:beforeAutospacing="0" w:after="240" w:afterAutospacing="0"/>
        <w:jc w:val="both"/>
        <w:rPr>
          <w:lang w:val="en-US"/>
        </w:rPr>
      </w:pPr>
      <w:r w:rsidRPr="007347C2">
        <w:rPr>
          <w:color w:val="000000"/>
          <w:lang w:val="en-US"/>
        </w:rPr>
        <w:t>Limitations  </w:t>
      </w:r>
    </w:p>
    <w:p w14:paraId="5475E8E9" w14:textId="77777777" w:rsidR="007347C2" w:rsidRPr="007347C2" w:rsidRDefault="007347C2" w:rsidP="007347C2">
      <w:pPr>
        <w:pStyle w:val="NormalWeb"/>
        <w:spacing w:before="240" w:beforeAutospacing="0" w:after="240" w:afterAutospacing="0"/>
        <w:jc w:val="both"/>
        <w:rPr>
          <w:lang w:val="en-US"/>
        </w:rPr>
      </w:pPr>
      <w:r w:rsidRPr="007347C2">
        <w:rPr>
          <w:color w:val="000000"/>
          <w:lang w:val="en-US"/>
        </w:rPr>
        <w:t xml:space="preserve">The study has several limitations. First, it relies primarily on qualitative interviews and the perceptions of internal stakeholders, which are context-specific. Notably, the perspectives of external stakeholders were not included, yet they could provide valuable additional insights into the university’s sustainability performance. Second, the findings may not be directly </w:t>
      </w:r>
      <w:r w:rsidRPr="007347C2">
        <w:rPr>
          <w:color w:val="000000"/>
          <w:lang w:val="en-US"/>
        </w:rPr>
        <w:lastRenderedPageBreak/>
        <w:t>transferable to other universities or contexts; they should be interpreted in terms of contextual applicability rather than broad generalization. Finally, the study focuses on current initiatives and stakeholder perceptions, without testing or operationalizing the proposed variable ( Sustainability Expectation Perception Gap) in practice. Future research could address these limitations by including external stakeholder perspectives and exploring the applicability of the model across different contexts.</w:t>
      </w:r>
    </w:p>
    <w:p w14:paraId="4A750E6E" w14:textId="77777777" w:rsidR="007347C2" w:rsidRPr="007347C2" w:rsidRDefault="007347C2" w:rsidP="007347C2">
      <w:pPr>
        <w:pStyle w:val="Titre3"/>
        <w:spacing w:before="280" w:after="80"/>
        <w:jc w:val="both"/>
        <w:rPr>
          <w:lang w:val="en-US"/>
        </w:rPr>
      </w:pPr>
      <w:r w:rsidRPr="007347C2">
        <w:rPr>
          <w:b w:val="0"/>
          <w:bCs w:val="0"/>
          <w:color w:val="000000"/>
          <w:sz w:val="24"/>
          <w:szCs w:val="24"/>
          <w:lang w:val="en-US"/>
        </w:rPr>
        <w:t>Theoretical Implications</w:t>
      </w:r>
    </w:p>
    <w:p w14:paraId="07B77F5C" w14:textId="77777777" w:rsidR="007347C2" w:rsidRPr="007347C2" w:rsidRDefault="007347C2" w:rsidP="007347C2">
      <w:pPr>
        <w:pStyle w:val="NormalWeb"/>
        <w:spacing w:before="240" w:beforeAutospacing="0" w:after="240" w:afterAutospacing="0"/>
        <w:jc w:val="both"/>
        <w:rPr>
          <w:lang w:val="en-US"/>
        </w:rPr>
      </w:pPr>
      <w:r w:rsidRPr="007347C2">
        <w:rPr>
          <w:color w:val="000000"/>
          <w:lang w:val="en-US"/>
        </w:rPr>
        <w:t>These findings contribute to the literature by demonstrating that sustainable performance in universities is not only a matter of technical measures but also of perception and stakeholder alignment. The Sustainability Expectation Perception Gap highlights the importance of integrating behavioral and perceptual dimensions into sustainability models, offering a more comprehensive framework for assessing performance across economic, social, and environmental dimensions.</w:t>
      </w:r>
    </w:p>
    <w:p w14:paraId="259DA764" w14:textId="77777777" w:rsidR="007347C2" w:rsidRPr="007347C2" w:rsidRDefault="007347C2" w:rsidP="007347C2">
      <w:pPr>
        <w:pStyle w:val="Titre3"/>
        <w:spacing w:before="280" w:after="80"/>
        <w:jc w:val="both"/>
        <w:rPr>
          <w:lang w:val="en-US"/>
        </w:rPr>
      </w:pPr>
      <w:r w:rsidRPr="007347C2">
        <w:rPr>
          <w:b w:val="0"/>
          <w:bCs w:val="0"/>
          <w:color w:val="000000"/>
          <w:sz w:val="24"/>
          <w:szCs w:val="24"/>
          <w:lang w:val="en-US"/>
        </w:rPr>
        <w:t>Managerial Implications</w:t>
      </w:r>
    </w:p>
    <w:p w14:paraId="2C2B7F4C" w14:textId="77777777" w:rsidR="007347C2" w:rsidRPr="007347C2" w:rsidRDefault="007347C2" w:rsidP="007347C2">
      <w:pPr>
        <w:pStyle w:val="NormalWeb"/>
        <w:spacing w:before="240" w:beforeAutospacing="0" w:after="240" w:afterAutospacing="0"/>
        <w:jc w:val="both"/>
        <w:rPr>
          <w:lang w:val="en-US"/>
        </w:rPr>
      </w:pPr>
      <w:r w:rsidRPr="007347C2">
        <w:rPr>
          <w:color w:val="000000"/>
          <w:lang w:val="en-US"/>
        </w:rPr>
        <w:t>Practically, universities can use these insights to recognize and reduce the Sustainability Expectation Perception Gap, thereby enhancing the effectiveness of sustainability initiatives, improving stakeholder satisfaction, and fostering more active engagement among students and staff. This approach provides a framework to align institutional strategies with actual expectations, going beyond technical indicators and reinforcing both the legitimacy and the sustainability of actions undertaken.</w:t>
      </w:r>
    </w:p>
    <w:p w14:paraId="62F60008" w14:textId="6309309D" w:rsidR="00810737" w:rsidRPr="00790B96" w:rsidRDefault="00810737">
      <w:pPr>
        <w:spacing w:before="240" w:after="240"/>
        <w:rPr>
          <w:rFonts w:ascii="Times New Roman" w:eastAsia="Times New Roman" w:hAnsi="Times New Roman" w:cs="Times New Roman"/>
          <w:b/>
          <w:bCs/>
          <w:sz w:val="24"/>
          <w:szCs w:val="24"/>
          <w:lang w:val="en-GB"/>
        </w:rPr>
      </w:pPr>
    </w:p>
    <w:p w14:paraId="1F15E3F1" w14:textId="0AEC929F" w:rsidR="00D16435" w:rsidRDefault="00D16435">
      <w:pPr>
        <w:spacing w:before="240" w:after="240"/>
        <w:rPr>
          <w:rFonts w:ascii="Times New Roman" w:eastAsia="Times New Roman" w:hAnsi="Times New Roman" w:cs="Times New Roman"/>
          <w:b/>
          <w:bCs/>
          <w:sz w:val="28"/>
          <w:szCs w:val="28"/>
          <w:lang w:val="en-GB"/>
        </w:rPr>
      </w:pPr>
      <w:r>
        <w:rPr>
          <w:rFonts w:ascii="Times New Roman" w:eastAsia="Times New Roman" w:hAnsi="Times New Roman" w:cs="Times New Roman"/>
          <w:b/>
          <w:bCs/>
          <w:sz w:val="28"/>
          <w:szCs w:val="28"/>
          <w:lang w:val="en-GB"/>
        </w:rPr>
        <w:t xml:space="preserve">References </w:t>
      </w:r>
    </w:p>
    <w:p w14:paraId="3F73247E" w14:textId="77777777" w:rsidR="007347C2" w:rsidRDefault="007347C2" w:rsidP="007347C2">
      <w:pPr>
        <w:pStyle w:val="NormalWeb"/>
        <w:spacing w:before="0" w:beforeAutospacing="0" w:after="0" w:afterAutospacing="0"/>
        <w:ind w:firstLine="567"/>
      </w:pPr>
      <w:r w:rsidRPr="007347C2">
        <w:rPr>
          <w:color w:val="000000"/>
          <w:lang w:val="en-US"/>
        </w:rPr>
        <w:t xml:space="preserve">Abubakar, I. R., Aina, Y. A., &amp; Alshuwaikhat, H. M. (2020). Sustainable development at Saudi Arabian universities: An overview of institutional frameworks. </w:t>
      </w:r>
      <w:r>
        <w:rPr>
          <w:i/>
          <w:iCs/>
          <w:color w:val="000000"/>
        </w:rPr>
        <w:t>Sustainability, 12</w:t>
      </w:r>
      <w:r>
        <w:rPr>
          <w:color w:val="000000"/>
        </w:rPr>
        <w:t>(19), 8008.</w:t>
      </w:r>
      <w:hyperlink r:id="rId9" w:history="1">
        <w:r>
          <w:rPr>
            <w:rStyle w:val="Lienhypertexte"/>
            <w:color w:val="000000"/>
          </w:rPr>
          <w:t xml:space="preserve"> </w:t>
        </w:r>
        <w:r>
          <w:rPr>
            <w:rStyle w:val="Lienhypertexte"/>
            <w:color w:val="1155CC"/>
          </w:rPr>
          <w:t>https://doi.org/10.3390/su12198008</w:t>
        </w:r>
      </w:hyperlink>
    </w:p>
    <w:p w14:paraId="3F4BC7E5" w14:textId="77777777" w:rsidR="007347C2" w:rsidRDefault="007347C2" w:rsidP="007347C2">
      <w:pPr>
        <w:pStyle w:val="NormalWeb"/>
        <w:spacing w:before="0" w:beforeAutospacing="0" w:after="0" w:afterAutospacing="0"/>
        <w:ind w:firstLine="567"/>
      </w:pPr>
      <w:r w:rsidRPr="007347C2">
        <w:rPr>
          <w:color w:val="000000"/>
          <w:lang w:val="en-US"/>
        </w:rPr>
        <w:t xml:space="preserve">Agustina, L., Meyliana, M., &amp; Hanny, H. (2023). Constructing CSR student self-consciousness through university social responsibility implementation: Evidence in Indonesia. </w:t>
      </w:r>
      <w:r>
        <w:rPr>
          <w:i/>
          <w:iCs/>
          <w:color w:val="000000"/>
        </w:rPr>
        <w:t>Social Responsibility Journal</w:t>
      </w:r>
      <w:r>
        <w:rPr>
          <w:color w:val="000000"/>
        </w:rPr>
        <w:t>.</w:t>
      </w:r>
      <w:hyperlink r:id="rId10" w:history="1">
        <w:r>
          <w:rPr>
            <w:rStyle w:val="Lienhypertexte"/>
            <w:color w:val="000000"/>
          </w:rPr>
          <w:t xml:space="preserve"> </w:t>
        </w:r>
        <w:r>
          <w:rPr>
            <w:rStyle w:val="Lienhypertexte"/>
            <w:color w:val="1155CC"/>
          </w:rPr>
          <w:t>https://doi.org/10.1108/SRJ-05-2020-0170</w:t>
        </w:r>
      </w:hyperlink>
    </w:p>
    <w:p w14:paraId="59407907" w14:textId="77777777" w:rsidR="007347C2" w:rsidRDefault="007347C2" w:rsidP="007347C2">
      <w:pPr>
        <w:pStyle w:val="NormalWeb"/>
        <w:spacing w:before="0" w:beforeAutospacing="0" w:after="0" w:afterAutospacing="0"/>
        <w:ind w:firstLine="567"/>
      </w:pPr>
      <w:r w:rsidRPr="007347C2">
        <w:rPr>
          <w:color w:val="000000"/>
          <w:lang w:val="en-US"/>
        </w:rPr>
        <w:t>Ahmed, E. K. A., Dewidar, K. M., El-Hakeem, Y. A., &amp; Guirguis, M. N. (2025). An integrated framework for sustainable retrofitting of existing university buildings.</w:t>
      </w:r>
      <w:hyperlink r:id="rId11" w:history="1">
        <w:r w:rsidRPr="007347C2">
          <w:rPr>
            <w:rStyle w:val="Lienhypertexte"/>
            <w:color w:val="000000"/>
            <w:lang w:val="en-US"/>
          </w:rPr>
          <w:t xml:space="preserve"> </w:t>
        </w:r>
        <w:r>
          <w:rPr>
            <w:rStyle w:val="Lienhypertexte"/>
            <w:color w:val="1155CC"/>
          </w:rPr>
          <w:t>https://doi.org/10.1007/s43621-024-00703-7</w:t>
        </w:r>
      </w:hyperlink>
    </w:p>
    <w:p w14:paraId="196FDD68" w14:textId="77777777" w:rsidR="007347C2" w:rsidRDefault="007347C2" w:rsidP="007347C2">
      <w:pPr>
        <w:pStyle w:val="NormalWeb"/>
        <w:spacing w:before="0" w:beforeAutospacing="0" w:after="0" w:afterAutospacing="0"/>
        <w:ind w:firstLine="567"/>
      </w:pPr>
      <w:r w:rsidRPr="007347C2">
        <w:rPr>
          <w:color w:val="000000"/>
          <w:lang w:val="de-DE"/>
        </w:rPr>
        <w:t xml:space="preserve">Alalawi, N. S., &amp; Omar, O. (2024). </w:t>
      </w:r>
      <w:r w:rsidRPr="007347C2">
        <w:rPr>
          <w:color w:val="000000"/>
          <w:lang w:val="en-US"/>
        </w:rPr>
        <w:t xml:space="preserve">Towards greener campuses: Assessing pro-environmental behaviours in the University of Bahrain campus. </w:t>
      </w:r>
      <w:r>
        <w:rPr>
          <w:i/>
          <w:iCs/>
          <w:color w:val="000000"/>
        </w:rPr>
        <w:t>Sustainability, 16</w:t>
      </w:r>
      <w:r>
        <w:rPr>
          <w:color w:val="000000"/>
        </w:rPr>
        <w:t>(5), 1869.</w:t>
      </w:r>
      <w:hyperlink r:id="rId12" w:history="1">
        <w:r>
          <w:rPr>
            <w:rStyle w:val="Lienhypertexte"/>
            <w:color w:val="000000"/>
          </w:rPr>
          <w:t xml:space="preserve"> </w:t>
        </w:r>
        <w:r>
          <w:rPr>
            <w:rStyle w:val="Lienhypertexte"/>
            <w:color w:val="1155CC"/>
          </w:rPr>
          <w:t>https://doi.org/10.3390/su16051869</w:t>
        </w:r>
      </w:hyperlink>
    </w:p>
    <w:p w14:paraId="738DACC7" w14:textId="77777777" w:rsidR="007347C2" w:rsidRDefault="007347C2" w:rsidP="007347C2">
      <w:pPr>
        <w:pStyle w:val="NormalWeb"/>
        <w:spacing w:before="0" w:beforeAutospacing="0" w:after="0" w:afterAutospacing="0"/>
        <w:ind w:firstLine="567"/>
      </w:pPr>
      <w:r>
        <w:rPr>
          <w:color w:val="000000"/>
        </w:rPr>
        <w:t xml:space="preserve">Alali, R., &amp; Aboud, Y. Z. (2024). </w:t>
      </w:r>
      <w:r w:rsidRPr="007347C2">
        <w:rPr>
          <w:color w:val="000000"/>
          <w:lang w:val="en-US"/>
        </w:rPr>
        <w:t xml:space="preserve">Sustainability assessment of higher education institutions: Faculty members’ perspective in Saudi universities. </w:t>
      </w:r>
      <w:r>
        <w:rPr>
          <w:i/>
          <w:iCs/>
          <w:color w:val="000000"/>
        </w:rPr>
        <w:t>GeoJournal of Tourism and Geosites, 52</w:t>
      </w:r>
      <w:r>
        <w:rPr>
          <w:color w:val="000000"/>
        </w:rPr>
        <w:t>(1), 109–119.</w:t>
      </w:r>
      <w:hyperlink r:id="rId13" w:history="1">
        <w:r>
          <w:rPr>
            <w:rStyle w:val="Lienhypertexte"/>
            <w:color w:val="000000"/>
          </w:rPr>
          <w:t xml:space="preserve"> </w:t>
        </w:r>
        <w:r>
          <w:rPr>
            <w:rStyle w:val="Lienhypertexte"/>
            <w:color w:val="1155CC"/>
          </w:rPr>
          <w:t>https://doi.org/10.30892/gtg.52109-1190</w:t>
        </w:r>
      </w:hyperlink>
    </w:p>
    <w:p w14:paraId="1D2A51DF" w14:textId="77777777" w:rsidR="007347C2" w:rsidRDefault="007347C2" w:rsidP="007347C2">
      <w:pPr>
        <w:pStyle w:val="NormalWeb"/>
        <w:spacing w:before="0" w:beforeAutospacing="0" w:after="0" w:afterAutospacing="0"/>
        <w:ind w:firstLine="567"/>
      </w:pPr>
      <w:r w:rsidRPr="007347C2">
        <w:rPr>
          <w:color w:val="000000"/>
          <w:lang w:val="en-US"/>
        </w:rPr>
        <w:t xml:space="preserve">Alshuwaikhat, H. M., &amp; Abubakar, I. (2008). An integrated approach to achieving campus sustainability: Assessment of the current campus environmental management practices. </w:t>
      </w:r>
      <w:r>
        <w:rPr>
          <w:i/>
          <w:iCs/>
          <w:color w:val="000000"/>
        </w:rPr>
        <w:t>Journal of Cleaner Production, 16</w:t>
      </w:r>
      <w:r>
        <w:rPr>
          <w:color w:val="000000"/>
        </w:rPr>
        <w:t>(16), 1777–1785.</w:t>
      </w:r>
      <w:hyperlink r:id="rId14" w:history="1">
        <w:r>
          <w:rPr>
            <w:rStyle w:val="Lienhypertexte"/>
            <w:color w:val="000000"/>
          </w:rPr>
          <w:t xml:space="preserve"> </w:t>
        </w:r>
        <w:r>
          <w:rPr>
            <w:rStyle w:val="Lienhypertexte"/>
            <w:color w:val="1155CC"/>
          </w:rPr>
          <w:t>https://doi.org/10.1016/j.jclepro.2007.12.002</w:t>
        </w:r>
      </w:hyperlink>
    </w:p>
    <w:p w14:paraId="7B9389FC" w14:textId="77777777" w:rsidR="007347C2" w:rsidRDefault="007347C2" w:rsidP="007347C2">
      <w:pPr>
        <w:pStyle w:val="NormalWeb"/>
        <w:spacing w:before="0" w:beforeAutospacing="0" w:after="0" w:afterAutospacing="0"/>
        <w:ind w:firstLine="567"/>
      </w:pPr>
      <w:r w:rsidRPr="007347C2">
        <w:rPr>
          <w:color w:val="000000"/>
          <w:lang w:val="de-DE"/>
        </w:rPr>
        <w:t xml:space="preserve">Alshuwaikhat, H. M., Adenle, Y. A., &amp; Saghir, B. (2016). </w:t>
      </w:r>
      <w:r w:rsidRPr="007347C2">
        <w:rPr>
          <w:color w:val="000000"/>
          <w:lang w:val="en-US"/>
        </w:rPr>
        <w:t xml:space="preserve">Sustainability assessment of higher education institutions in Saudi Arabia. </w:t>
      </w:r>
      <w:r>
        <w:rPr>
          <w:i/>
          <w:iCs/>
          <w:color w:val="000000"/>
        </w:rPr>
        <w:t>Sustainability, 8</w:t>
      </w:r>
      <w:r>
        <w:rPr>
          <w:color w:val="000000"/>
        </w:rPr>
        <w:t>(8), 750.</w:t>
      </w:r>
      <w:hyperlink r:id="rId15" w:history="1">
        <w:r>
          <w:rPr>
            <w:rStyle w:val="Lienhypertexte"/>
            <w:color w:val="000000"/>
          </w:rPr>
          <w:t xml:space="preserve"> </w:t>
        </w:r>
        <w:r>
          <w:rPr>
            <w:rStyle w:val="Lienhypertexte"/>
            <w:color w:val="1155CC"/>
          </w:rPr>
          <w:t>https://doi.org/10.3390/su8080750</w:t>
        </w:r>
      </w:hyperlink>
    </w:p>
    <w:p w14:paraId="66218EAB" w14:textId="77777777" w:rsidR="007347C2" w:rsidRDefault="007347C2" w:rsidP="007347C2">
      <w:pPr>
        <w:pStyle w:val="NormalWeb"/>
        <w:spacing w:before="0" w:beforeAutospacing="0" w:after="0" w:afterAutospacing="0"/>
        <w:ind w:firstLine="567"/>
      </w:pPr>
      <w:r w:rsidRPr="007347C2">
        <w:rPr>
          <w:color w:val="000000"/>
          <w:lang w:val="en-US"/>
        </w:rPr>
        <w:lastRenderedPageBreak/>
        <w:t xml:space="preserve">Amaral, A. R., Rodrigues, E., Gaspar, A., &amp; Gomes, Á. (2020). A review of empirical data of sustainability initiatives in university campus operations. </w:t>
      </w:r>
      <w:r>
        <w:rPr>
          <w:i/>
          <w:iCs/>
          <w:color w:val="000000"/>
        </w:rPr>
        <w:t>Journal of Cleaner Production, 250</w:t>
      </w:r>
      <w:r>
        <w:rPr>
          <w:color w:val="000000"/>
        </w:rPr>
        <w:t>, 119558.</w:t>
      </w:r>
      <w:hyperlink r:id="rId16" w:history="1">
        <w:r>
          <w:rPr>
            <w:rStyle w:val="Lienhypertexte"/>
            <w:color w:val="000000"/>
          </w:rPr>
          <w:t xml:space="preserve"> </w:t>
        </w:r>
        <w:r>
          <w:rPr>
            <w:rStyle w:val="Lienhypertexte"/>
            <w:color w:val="1155CC"/>
          </w:rPr>
          <w:t>https://doi.org/10.1016/j.jclepro.2019.119558</w:t>
        </w:r>
      </w:hyperlink>
    </w:p>
    <w:p w14:paraId="306B155B" w14:textId="77777777" w:rsidR="007347C2" w:rsidRPr="007347C2" w:rsidRDefault="007347C2" w:rsidP="007347C2">
      <w:pPr>
        <w:pStyle w:val="NormalWeb"/>
        <w:spacing w:before="0" w:beforeAutospacing="0" w:after="0" w:afterAutospacing="0"/>
        <w:ind w:firstLine="567"/>
        <w:rPr>
          <w:lang w:val="en-US"/>
        </w:rPr>
      </w:pPr>
      <w:r>
        <w:rPr>
          <w:color w:val="000000"/>
        </w:rPr>
        <w:t xml:space="preserve">Arias-Valle, M. B., &amp; Marimon, F. (2024). </w:t>
      </w:r>
      <w:r w:rsidRPr="007347C2">
        <w:rPr>
          <w:color w:val="000000"/>
          <w:lang w:val="en-US"/>
        </w:rPr>
        <w:t xml:space="preserve">Integrating social responsibility into sustainability strategies: The case of the Catholic University of Cuyo. </w:t>
      </w:r>
      <w:r w:rsidRPr="007347C2">
        <w:rPr>
          <w:i/>
          <w:iCs/>
          <w:color w:val="000000"/>
          <w:lang w:val="en-US"/>
        </w:rPr>
        <w:t>Journal of Teacher Education for Sustainability</w:t>
      </w:r>
      <w:r w:rsidRPr="007347C2">
        <w:rPr>
          <w:color w:val="000000"/>
          <w:lang w:val="en-US"/>
        </w:rPr>
        <w:t>.</w:t>
      </w:r>
      <w:hyperlink r:id="rId17" w:history="1">
        <w:r w:rsidRPr="007347C2">
          <w:rPr>
            <w:rStyle w:val="Lienhypertexte"/>
            <w:color w:val="000000"/>
            <w:lang w:val="en-US"/>
          </w:rPr>
          <w:t xml:space="preserve"> </w:t>
        </w:r>
        <w:r w:rsidRPr="007347C2">
          <w:rPr>
            <w:rStyle w:val="Lienhypertexte"/>
            <w:color w:val="1155CC"/>
            <w:lang w:val="en-US"/>
          </w:rPr>
          <w:t>https://doi.org/10.2478/jtes-2024-0022</w:t>
        </w:r>
      </w:hyperlink>
    </w:p>
    <w:p w14:paraId="171F18BB"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Ayadi, O., Rinchi, B., Alnaser, S., &amp; Haj-Ahmed, M. (2025). Transition towards a sustainable campus: Design, implementation, and performance of a 16 MWp solar photovoltaic system. </w:t>
      </w:r>
      <w:r w:rsidRPr="007347C2">
        <w:rPr>
          <w:i/>
          <w:iCs/>
          <w:color w:val="000000"/>
          <w:lang w:val="en-US"/>
        </w:rPr>
        <w:t>Case Studies in Thermal Engineering</w:t>
      </w:r>
      <w:r w:rsidRPr="007347C2">
        <w:rPr>
          <w:color w:val="000000"/>
          <w:lang w:val="en-US"/>
        </w:rPr>
        <w:t>.</w:t>
      </w:r>
      <w:hyperlink r:id="rId18" w:history="1">
        <w:r w:rsidRPr="007347C2">
          <w:rPr>
            <w:rStyle w:val="Lienhypertexte"/>
            <w:color w:val="000000"/>
            <w:lang w:val="en-US"/>
          </w:rPr>
          <w:t xml:space="preserve"> </w:t>
        </w:r>
        <w:r w:rsidRPr="007347C2">
          <w:rPr>
            <w:rStyle w:val="Lienhypertexte"/>
            <w:color w:val="1155CC"/>
            <w:lang w:val="en-US"/>
          </w:rPr>
          <w:t>https://doi.org/10.1016/j.csite.2025.105907</w:t>
        </w:r>
      </w:hyperlink>
    </w:p>
    <w:p w14:paraId="1F047B27" w14:textId="77777777" w:rsidR="007347C2" w:rsidRDefault="007347C2" w:rsidP="007347C2">
      <w:pPr>
        <w:pStyle w:val="NormalWeb"/>
        <w:spacing w:before="0" w:beforeAutospacing="0" w:after="0" w:afterAutospacing="0"/>
        <w:ind w:firstLine="567"/>
      </w:pPr>
      <w:r>
        <w:rPr>
          <w:color w:val="000000"/>
        </w:rPr>
        <w:t xml:space="preserve">Ceccarini, C., Mirri, S., Salomoni, P., &amp; Prandi, C. (2021). </w:t>
      </w:r>
      <w:r w:rsidRPr="007347C2">
        <w:rPr>
          <w:color w:val="000000"/>
          <w:lang w:val="en-US"/>
        </w:rPr>
        <w:t xml:space="preserve">On exploiting data visualization and IoT for increasing sustainability and safety in a smart campus. </w:t>
      </w:r>
      <w:r>
        <w:rPr>
          <w:i/>
          <w:iCs/>
          <w:color w:val="000000"/>
        </w:rPr>
        <w:t>Mobile Networks and Applications</w:t>
      </w:r>
      <w:r>
        <w:rPr>
          <w:color w:val="000000"/>
        </w:rPr>
        <w:t>.</w:t>
      </w:r>
      <w:hyperlink r:id="rId19" w:history="1">
        <w:r>
          <w:rPr>
            <w:rStyle w:val="Lienhypertexte"/>
            <w:color w:val="000000"/>
          </w:rPr>
          <w:t xml:space="preserve"> </w:t>
        </w:r>
        <w:r>
          <w:rPr>
            <w:rStyle w:val="Lienhypertexte"/>
            <w:color w:val="1155CC"/>
          </w:rPr>
          <w:t>https://doi.org/10.1007/s11036-021-01742-4</w:t>
        </w:r>
      </w:hyperlink>
    </w:p>
    <w:p w14:paraId="09F54A02" w14:textId="77777777" w:rsidR="007347C2" w:rsidRPr="007347C2" w:rsidRDefault="007347C2" w:rsidP="007347C2">
      <w:pPr>
        <w:pStyle w:val="NormalWeb"/>
        <w:spacing w:before="0" w:beforeAutospacing="0" w:after="0" w:afterAutospacing="0"/>
        <w:ind w:firstLine="567"/>
        <w:rPr>
          <w:lang w:val="en-US"/>
        </w:rPr>
      </w:pPr>
      <w:r>
        <w:rPr>
          <w:color w:val="000000"/>
        </w:rPr>
        <w:t xml:space="preserve">Da Silva, L. A., Dutra, A. R. D., &amp; Guerra, J. B. S. O. D. (2023). </w:t>
      </w:r>
      <w:r w:rsidRPr="007347C2">
        <w:rPr>
          <w:color w:val="000000"/>
          <w:lang w:val="en-US"/>
        </w:rPr>
        <w:t xml:space="preserve">Decarbonization in higher education institutions as a way to achieve a green campus: A literature review. </w:t>
      </w:r>
      <w:r w:rsidRPr="007347C2">
        <w:rPr>
          <w:i/>
          <w:iCs/>
          <w:color w:val="000000"/>
          <w:lang w:val="en-US"/>
        </w:rPr>
        <w:t>Sustainability, 15</w:t>
      </w:r>
      <w:r w:rsidRPr="007347C2">
        <w:rPr>
          <w:color w:val="000000"/>
          <w:lang w:val="en-US"/>
        </w:rPr>
        <w:t>(5), 4043.</w:t>
      </w:r>
      <w:hyperlink r:id="rId20" w:history="1">
        <w:r w:rsidRPr="007347C2">
          <w:rPr>
            <w:rStyle w:val="Lienhypertexte"/>
            <w:color w:val="000000"/>
            <w:lang w:val="en-US"/>
          </w:rPr>
          <w:t xml:space="preserve"> </w:t>
        </w:r>
        <w:r w:rsidRPr="007347C2">
          <w:rPr>
            <w:rStyle w:val="Lienhypertexte"/>
            <w:color w:val="1155CC"/>
            <w:lang w:val="en-US"/>
          </w:rPr>
          <w:t>https://doi.org/10.3390/su15054043</w:t>
        </w:r>
      </w:hyperlink>
    </w:p>
    <w:p w14:paraId="2224E31B"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Dagiliūtė, R., Liobikienė, G., &amp; Minelgaitė, A. (2018). Sustainability at universities: Students’ perceptions from green and non-green universities. </w:t>
      </w:r>
      <w:r w:rsidRPr="007347C2">
        <w:rPr>
          <w:i/>
          <w:iCs/>
          <w:color w:val="000000"/>
          <w:lang w:val="en-US"/>
        </w:rPr>
        <w:t>Journal of Cleaner Production, 181</w:t>
      </w:r>
      <w:r w:rsidRPr="007347C2">
        <w:rPr>
          <w:color w:val="000000"/>
          <w:lang w:val="en-US"/>
        </w:rPr>
        <w:t>, 473–482.</w:t>
      </w:r>
      <w:hyperlink r:id="rId21" w:history="1">
        <w:r w:rsidRPr="007347C2">
          <w:rPr>
            <w:rStyle w:val="Lienhypertexte"/>
            <w:color w:val="000000"/>
            <w:lang w:val="en-US"/>
          </w:rPr>
          <w:t xml:space="preserve"> </w:t>
        </w:r>
        <w:r w:rsidRPr="007347C2">
          <w:rPr>
            <w:rStyle w:val="Lienhypertexte"/>
            <w:color w:val="1155CC"/>
            <w:lang w:val="en-US"/>
          </w:rPr>
          <w:t>https://doi.org/10.1016/j.jclepro.2018.01.213</w:t>
        </w:r>
      </w:hyperlink>
    </w:p>
    <w:p w14:paraId="7C293502"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Dawodu, A., Guo, C. G., Zou, T., Osebor, F., Tang, J. H., Liu, C., Wu, C. Y., &amp; Oladejo, J. (2024). Developing an integrated participatory methodology framework for campus sustainability assessment tools (CSAT): A case study of a Sino-foreign university in China. </w:t>
      </w:r>
      <w:r w:rsidRPr="007347C2">
        <w:rPr>
          <w:i/>
          <w:iCs/>
          <w:color w:val="000000"/>
          <w:lang w:val="en-US"/>
        </w:rPr>
        <w:t>Progress in Planning, 170</w:t>
      </w:r>
      <w:r w:rsidRPr="007347C2">
        <w:rPr>
          <w:color w:val="000000"/>
          <w:lang w:val="en-US"/>
        </w:rPr>
        <w:t>, 100827.</w:t>
      </w:r>
      <w:hyperlink r:id="rId22" w:history="1">
        <w:r w:rsidRPr="007347C2">
          <w:rPr>
            <w:rStyle w:val="Lienhypertexte"/>
            <w:color w:val="000000"/>
            <w:lang w:val="en-US"/>
          </w:rPr>
          <w:t xml:space="preserve"> </w:t>
        </w:r>
        <w:r w:rsidRPr="007347C2">
          <w:rPr>
            <w:rStyle w:val="Lienhypertexte"/>
            <w:color w:val="1155CC"/>
            <w:lang w:val="en-US"/>
          </w:rPr>
          <w:t>https://doi.org/10.1016/j.progress.2023.100827</w:t>
        </w:r>
      </w:hyperlink>
    </w:p>
    <w:p w14:paraId="53E38264"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De Young, R., Scheuer, K., Roush, J., &amp; Kozeleski, K. (2016). Student interest in campus community gardens: Sowing the seeds for direct engagement with sustainability. In </w:t>
      </w:r>
      <w:r w:rsidRPr="007347C2">
        <w:rPr>
          <w:i/>
          <w:iCs/>
          <w:color w:val="000000"/>
          <w:lang w:val="en-US"/>
        </w:rPr>
        <w:t>[Book/Proceedings]</w:t>
      </w:r>
      <w:r w:rsidRPr="007347C2">
        <w:rPr>
          <w:color w:val="000000"/>
          <w:lang w:val="en-US"/>
        </w:rPr>
        <w:t>.</w:t>
      </w:r>
      <w:hyperlink r:id="rId23" w:history="1">
        <w:r w:rsidRPr="007347C2">
          <w:rPr>
            <w:rStyle w:val="Lienhypertexte"/>
            <w:color w:val="000000"/>
            <w:lang w:val="en-US"/>
          </w:rPr>
          <w:t xml:space="preserve"> </w:t>
        </w:r>
        <w:r w:rsidRPr="007347C2">
          <w:rPr>
            <w:rStyle w:val="Lienhypertexte"/>
            <w:color w:val="1155CC"/>
            <w:lang w:val="en-US"/>
          </w:rPr>
          <w:t>https://doi.org/10.1007/978-3-319-26866-8_10</w:t>
        </w:r>
      </w:hyperlink>
    </w:p>
    <w:p w14:paraId="5A0E091F"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Deveci, E. Ü., Akarsu, C., Madenli, Ö., Özkal, C. B., Deveci, T., &amp; Dedeoğlu, Z. (2025). Assessment of solid waste generation, characterization and current practices for sustainable waste management of universities in Türkiye.</w:t>
      </w:r>
      <w:hyperlink r:id="rId24" w:history="1">
        <w:r w:rsidRPr="007347C2">
          <w:rPr>
            <w:rStyle w:val="Lienhypertexte"/>
            <w:color w:val="000000"/>
            <w:lang w:val="en-US"/>
          </w:rPr>
          <w:t xml:space="preserve"> </w:t>
        </w:r>
        <w:r w:rsidRPr="007347C2">
          <w:rPr>
            <w:rStyle w:val="Lienhypertexte"/>
            <w:color w:val="1155CC"/>
            <w:lang w:val="en-US"/>
          </w:rPr>
          <w:t>https://doi.org/10.1007/s10163-025-02360-y</w:t>
        </w:r>
      </w:hyperlink>
    </w:p>
    <w:p w14:paraId="6780DF73" w14:textId="77777777" w:rsidR="007347C2" w:rsidRDefault="007347C2" w:rsidP="007347C2">
      <w:pPr>
        <w:pStyle w:val="NormalWeb"/>
        <w:spacing w:before="0" w:beforeAutospacing="0" w:after="0" w:afterAutospacing="0"/>
        <w:ind w:firstLine="567"/>
      </w:pPr>
      <w:r w:rsidRPr="007347C2">
        <w:rPr>
          <w:color w:val="000000"/>
          <w:lang w:val="en-US"/>
        </w:rPr>
        <w:t xml:space="preserve">Dewata, I., Barlian, E., Syah, N., Umar, I., Heldi, Yuniarti, E., Putra, A., Yulius, Ramdhan, M., Candra, O., Sari, S. M., Suciandica, M., Yuzandi, I., &amp; Fachrin, R. D. (2025). Integration of water quality assessment and waste management systems: A strategic approach towards a sustainable green campus in the UI GreenMetric framework. </w:t>
      </w:r>
      <w:r>
        <w:rPr>
          <w:i/>
          <w:iCs/>
          <w:color w:val="000000"/>
        </w:rPr>
        <w:t>GeoJournal of Tourism and Geosites, 201</w:t>
      </w:r>
      <w:r>
        <w:rPr>
          <w:color w:val="000000"/>
        </w:rPr>
        <w:t>(11).</w:t>
      </w:r>
      <w:hyperlink r:id="rId25" w:history="1">
        <w:r>
          <w:rPr>
            <w:rStyle w:val="Lienhypertexte"/>
            <w:color w:val="000000"/>
          </w:rPr>
          <w:t xml:space="preserve"> </w:t>
        </w:r>
        <w:r>
          <w:rPr>
            <w:rStyle w:val="Lienhypertexte"/>
            <w:color w:val="1155CC"/>
          </w:rPr>
          <w:t>https://doi.org/10.21163/GT_2025.201.11</w:t>
        </w:r>
      </w:hyperlink>
    </w:p>
    <w:p w14:paraId="56091BEA"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Donaldson, T., &amp; Preston, L. E. (1995). The stakeholder theory of the corporation: Concepts, evidence, and implications. </w:t>
      </w:r>
      <w:r w:rsidRPr="007347C2">
        <w:rPr>
          <w:i/>
          <w:iCs/>
          <w:color w:val="000000"/>
          <w:lang w:val="en-US"/>
        </w:rPr>
        <w:t>Academy of management Review</w:t>
      </w:r>
      <w:r w:rsidRPr="007347C2">
        <w:rPr>
          <w:color w:val="000000"/>
          <w:lang w:val="en-US"/>
        </w:rPr>
        <w:t xml:space="preserve">, </w:t>
      </w:r>
      <w:r w:rsidRPr="007347C2">
        <w:rPr>
          <w:i/>
          <w:iCs/>
          <w:color w:val="000000"/>
          <w:lang w:val="en-US"/>
        </w:rPr>
        <w:t>20</w:t>
      </w:r>
      <w:r w:rsidRPr="007347C2">
        <w:rPr>
          <w:color w:val="000000"/>
          <w:lang w:val="en-US"/>
        </w:rPr>
        <w:t>(1), 65-91.</w:t>
      </w:r>
    </w:p>
    <w:p w14:paraId="3680B161"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Diniz, A. S. A. C., da Silva, G. M., Nunes, R. E. A., Santana, V. A. C., Braga, D. S., &amp; Maia, C. B. (2024). Evaluation of solar photovoltaics on university buildings: A case study toward campus sustainability. </w:t>
      </w:r>
      <w:r w:rsidRPr="007347C2">
        <w:rPr>
          <w:i/>
          <w:iCs/>
          <w:color w:val="000000"/>
          <w:lang w:val="en-US"/>
        </w:rPr>
        <w:t>Solar Compass, 3</w:t>
      </w:r>
      <w:r w:rsidRPr="007347C2">
        <w:rPr>
          <w:color w:val="000000"/>
          <w:lang w:val="en-US"/>
        </w:rPr>
        <w:t>, 100100.</w:t>
      </w:r>
      <w:hyperlink r:id="rId26" w:history="1">
        <w:r w:rsidRPr="007347C2">
          <w:rPr>
            <w:rStyle w:val="Lienhypertexte"/>
            <w:color w:val="000000"/>
            <w:lang w:val="en-US"/>
          </w:rPr>
          <w:t xml:space="preserve"> </w:t>
        </w:r>
        <w:r w:rsidRPr="007347C2">
          <w:rPr>
            <w:rStyle w:val="Lienhypertexte"/>
            <w:color w:val="1155CC"/>
            <w:lang w:val="en-US"/>
          </w:rPr>
          <w:t>https://doi.org/10.1016/j.solcom.2024.100100</w:t>
        </w:r>
      </w:hyperlink>
    </w:p>
    <w:p w14:paraId="0221BA1F"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Disterheft, A., Caeiro, S., Miranda Azeiteiro, U. M., &amp; Leal Filho, W. (2013). Sustainability science and education for sustainable development in universities: A way for transition. In </w:t>
      </w:r>
      <w:r w:rsidRPr="007347C2">
        <w:rPr>
          <w:i/>
          <w:iCs/>
          <w:color w:val="000000"/>
          <w:lang w:val="en-US"/>
        </w:rPr>
        <w:t>[Book/Proceedings]</w:t>
      </w:r>
      <w:r w:rsidRPr="007347C2">
        <w:rPr>
          <w:color w:val="000000"/>
          <w:lang w:val="en-US"/>
        </w:rPr>
        <w:t>.</w:t>
      </w:r>
      <w:hyperlink r:id="rId27" w:history="1">
        <w:r w:rsidRPr="007347C2">
          <w:rPr>
            <w:rStyle w:val="Lienhypertexte"/>
            <w:color w:val="000000"/>
            <w:lang w:val="en-US"/>
          </w:rPr>
          <w:t xml:space="preserve"> </w:t>
        </w:r>
        <w:r w:rsidRPr="007347C2">
          <w:rPr>
            <w:rStyle w:val="Lienhypertexte"/>
            <w:color w:val="1155CC"/>
            <w:lang w:val="en-US"/>
          </w:rPr>
          <w:t>https://doi.org/10.1007/978-3-319-02375-5_1</w:t>
        </w:r>
      </w:hyperlink>
    </w:p>
    <w:p w14:paraId="62EDEF9B"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Djukic-Min, D., Norcross, J., &amp; Searing, E. (2025). The effect of shared and inclusive governance on environmental sustainability at US universities. </w:t>
      </w:r>
      <w:r w:rsidRPr="007347C2">
        <w:rPr>
          <w:i/>
          <w:iCs/>
          <w:color w:val="000000"/>
          <w:lang w:val="en-US"/>
        </w:rPr>
        <w:t>Sustainability, 17</w:t>
      </w:r>
      <w:r w:rsidRPr="007347C2">
        <w:rPr>
          <w:color w:val="000000"/>
          <w:lang w:val="en-US"/>
        </w:rPr>
        <w:t>(14), 6630.</w:t>
      </w:r>
      <w:hyperlink r:id="rId28" w:history="1">
        <w:r w:rsidRPr="007347C2">
          <w:rPr>
            <w:rStyle w:val="Lienhypertexte"/>
            <w:color w:val="000000"/>
            <w:lang w:val="en-US"/>
          </w:rPr>
          <w:t xml:space="preserve"> </w:t>
        </w:r>
        <w:r w:rsidRPr="007347C2">
          <w:rPr>
            <w:rStyle w:val="Lienhypertexte"/>
            <w:color w:val="1155CC"/>
            <w:lang w:val="en-US"/>
          </w:rPr>
          <w:t>https://doi.org/10.3390/su17146630</w:t>
        </w:r>
      </w:hyperlink>
    </w:p>
    <w:p w14:paraId="5D0DFDED"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Fatah, A., &amp; Waro, M. T. K. (2025). The Qur'ānic green campus model in Islamic higher education Indonesia; Koraniczny model zielonego kampusu w islamskim szkolnictwie wyższym w Indonezji.</w:t>
      </w:r>
      <w:hyperlink r:id="rId29" w:history="1">
        <w:r w:rsidRPr="007347C2">
          <w:rPr>
            <w:rStyle w:val="Lienhypertexte"/>
            <w:color w:val="000000"/>
            <w:lang w:val="en-US"/>
          </w:rPr>
          <w:t xml:space="preserve"> </w:t>
        </w:r>
        <w:r w:rsidRPr="007347C2">
          <w:rPr>
            <w:rStyle w:val="Lienhypertexte"/>
            <w:color w:val="1155CC"/>
            <w:lang w:val="en-US"/>
          </w:rPr>
          <w:t>https://doi.org/10.21697/seb.2024.5840</w:t>
        </w:r>
      </w:hyperlink>
    </w:p>
    <w:p w14:paraId="7CD35E29"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lastRenderedPageBreak/>
        <w:t>Freeman, R. E. (1984). Strategic management: A stakeholder approach. Boston: Pitman.</w:t>
      </w:r>
    </w:p>
    <w:p w14:paraId="53D04EC4"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Freeman, R. E., Harrison, J. S., Wicks, A. C., Parmar, B. L., &amp; De Colle, S. (2010). Stakeholder theory: The state of the art.</w:t>
      </w:r>
    </w:p>
    <w:p w14:paraId="796AA96A" w14:textId="77777777" w:rsidR="007347C2" w:rsidRPr="007347C2" w:rsidRDefault="007347C2" w:rsidP="007347C2">
      <w:pPr>
        <w:pStyle w:val="NormalWeb"/>
        <w:spacing w:before="0" w:beforeAutospacing="0" w:after="0" w:afterAutospacing="0"/>
        <w:ind w:firstLine="567"/>
        <w:rPr>
          <w:lang w:val="de-DE"/>
        </w:rPr>
      </w:pPr>
      <w:r>
        <w:rPr>
          <w:color w:val="000000"/>
        </w:rPr>
        <w:t xml:space="preserve">Gamage, K. A. A., Munguia-Vega, N., &amp; Velázquez Contreras, L. (2022). </w:t>
      </w:r>
      <w:r w:rsidRPr="007347C2">
        <w:rPr>
          <w:color w:val="000000"/>
          <w:lang w:val="en-US"/>
        </w:rPr>
        <w:t xml:space="preserve">Happy sustainability: A future quest for more sustainable universities. </w:t>
      </w:r>
      <w:r w:rsidRPr="007347C2">
        <w:rPr>
          <w:i/>
          <w:iCs/>
          <w:color w:val="000000"/>
          <w:lang w:val="en-US"/>
        </w:rPr>
        <w:t>Social Sciences, 11</w:t>
      </w:r>
      <w:r w:rsidRPr="007347C2">
        <w:rPr>
          <w:color w:val="000000"/>
          <w:lang w:val="en-US"/>
        </w:rPr>
        <w:t>(1), 24.</w:t>
      </w:r>
      <w:hyperlink r:id="rId30" w:history="1">
        <w:r w:rsidRPr="007347C2">
          <w:rPr>
            <w:rStyle w:val="Lienhypertexte"/>
            <w:color w:val="000000"/>
            <w:lang w:val="en-US"/>
          </w:rPr>
          <w:t xml:space="preserve"> </w:t>
        </w:r>
        <w:r w:rsidRPr="007347C2">
          <w:rPr>
            <w:rStyle w:val="Lienhypertexte"/>
            <w:color w:val="1155CC"/>
            <w:lang w:val="de-DE"/>
          </w:rPr>
          <w:t>https://doi.org/10.3390/socsci11010024</w:t>
        </w:r>
      </w:hyperlink>
    </w:p>
    <w:p w14:paraId="0BF23D26"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de-DE"/>
        </w:rPr>
        <w:t xml:space="preserve">Geh, N., Emuze, F., &amp; Das, D. K. (2024). </w:t>
      </w:r>
      <w:r w:rsidRPr="007347C2">
        <w:rPr>
          <w:color w:val="000000"/>
          <w:lang w:val="en-US"/>
        </w:rPr>
        <w:t xml:space="preserve">Barriers to the deployment of solar photovoltaic in public universities in South Africa: A Delphi study. </w:t>
      </w:r>
      <w:r w:rsidRPr="007347C2">
        <w:rPr>
          <w:i/>
          <w:iCs/>
          <w:color w:val="000000"/>
          <w:lang w:val="en-US"/>
        </w:rPr>
        <w:t>International Journal of Building Pathology and Adaptation</w:t>
      </w:r>
      <w:r w:rsidRPr="007347C2">
        <w:rPr>
          <w:color w:val="000000"/>
          <w:lang w:val="en-US"/>
        </w:rPr>
        <w:t>.</w:t>
      </w:r>
      <w:hyperlink r:id="rId31" w:history="1">
        <w:r w:rsidRPr="007347C2">
          <w:rPr>
            <w:rStyle w:val="Lienhypertexte"/>
            <w:color w:val="000000"/>
            <w:lang w:val="en-US"/>
          </w:rPr>
          <w:t xml:space="preserve"> </w:t>
        </w:r>
        <w:r w:rsidRPr="007347C2">
          <w:rPr>
            <w:rStyle w:val="Lienhypertexte"/>
            <w:color w:val="1155CC"/>
            <w:lang w:val="en-US"/>
          </w:rPr>
          <w:t>https://doi.org/10.1108/IJBPA-11-2021-0147</w:t>
        </w:r>
      </w:hyperlink>
    </w:p>
    <w:p w14:paraId="6720952C"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Gomez, T., &amp; Derr, V. (2021). Landscapes as living laboratories for sustainable campus planning and stewardship: A scoping review of approaches and practices. </w:t>
      </w:r>
      <w:r w:rsidRPr="007347C2">
        <w:rPr>
          <w:i/>
          <w:iCs/>
          <w:color w:val="000000"/>
          <w:lang w:val="en-US"/>
        </w:rPr>
        <w:t>Landscape and Urban Planning, 209</w:t>
      </w:r>
      <w:r w:rsidRPr="007347C2">
        <w:rPr>
          <w:color w:val="000000"/>
          <w:lang w:val="en-US"/>
        </w:rPr>
        <w:t>, 104259.</w:t>
      </w:r>
      <w:hyperlink r:id="rId32" w:history="1">
        <w:r w:rsidRPr="007347C2">
          <w:rPr>
            <w:rStyle w:val="Lienhypertexte"/>
            <w:color w:val="000000"/>
            <w:lang w:val="en-US"/>
          </w:rPr>
          <w:t xml:space="preserve"> </w:t>
        </w:r>
        <w:r w:rsidRPr="007347C2">
          <w:rPr>
            <w:rStyle w:val="Lienhypertexte"/>
            <w:color w:val="1155CC"/>
            <w:lang w:val="en-US"/>
          </w:rPr>
          <w:t>https://doi.org/10.1016/j.landurbplan.2021.104259</w:t>
        </w:r>
      </w:hyperlink>
    </w:p>
    <w:p w14:paraId="6807A5EE"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Hamid, S., Ijab, M. T., Sulaiman, H., Anwar, R., &amp; Norman Anir, A. A. (2017). Social media for environmental sustainability awareness in higher education. </w:t>
      </w:r>
      <w:r w:rsidRPr="007347C2">
        <w:rPr>
          <w:i/>
          <w:iCs/>
          <w:color w:val="000000"/>
          <w:lang w:val="en-US"/>
        </w:rPr>
        <w:t>International Journal of Sustainability in Higher Education</w:t>
      </w:r>
      <w:r w:rsidRPr="007347C2">
        <w:rPr>
          <w:color w:val="000000"/>
          <w:lang w:val="en-US"/>
        </w:rPr>
        <w:t>.</w:t>
      </w:r>
      <w:hyperlink r:id="rId33" w:history="1">
        <w:r w:rsidRPr="007347C2">
          <w:rPr>
            <w:rStyle w:val="Lienhypertexte"/>
            <w:color w:val="000000"/>
            <w:lang w:val="en-US"/>
          </w:rPr>
          <w:t xml:space="preserve"> </w:t>
        </w:r>
        <w:r w:rsidRPr="007347C2">
          <w:rPr>
            <w:rStyle w:val="Lienhypertexte"/>
            <w:color w:val="1155CC"/>
            <w:lang w:val="en-US"/>
          </w:rPr>
          <w:t>https://doi.org/10.1108/IJSHE-01-2015-0010</w:t>
        </w:r>
      </w:hyperlink>
    </w:p>
    <w:p w14:paraId="0875795A"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Hess, D. J., &amp; Collins, B. M. (2018). Climate change and higher education: Assessing factors that affect curriculum requirements. </w:t>
      </w:r>
      <w:r w:rsidRPr="007347C2">
        <w:rPr>
          <w:i/>
          <w:iCs/>
          <w:color w:val="000000"/>
          <w:lang w:val="en-US"/>
        </w:rPr>
        <w:t>Journal of Cleaner Production, 170</w:t>
      </w:r>
      <w:r w:rsidRPr="007347C2">
        <w:rPr>
          <w:color w:val="000000"/>
          <w:lang w:val="en-US"/>
        </w:rPr>
        <w:t>, 1451–1458.</w:t>
      </w:r>
      <w:hyperlink r:id="rId34" w:history="1">
        <w:r w:rsidRPr="007347C2">
          <w:rPr>
            <w:rStyle w:val="Lienhypertexte"/>
            <w:color w:val="000000"/>
            <w:lang w:val="en-US"/>
          </w:rPr>
          <w:t xml:space="preserve"> </w:t>
        </w:r>
        <w:r w:rsidRPr="007347C2">
          <w:rPr>
            <w:rStyle w:val="Lienhypertexte"/>
            <w:color w:val="1155CC"/>
            <w:lang w:val="en-US"/>
          </w:rPr>
          <w:t>https://doi.org/10.1016/j.jclepro.2017.09.215</w:t>
        </w:r>
      </w:hyperlink>
    </w:p>
    <w:p w14:paraId="1DBD15AA"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Horan, W., &amp; O’Regan, B. (2021). Developing a practical framework of sustainability indicators relevant to all higher education institutions to enable meaningful international rankings. </w:t>
      </w:r>
      <w:r w:rsidRPr="007347C2">
        <w:rPr>
          <w:i/>
          <w:iCs/>
          <w:color w:val="000000"/>
          <w:lang w:val="en-US"/>
        </w:rPr>
        <w:t>Sustainability, 13</w:t>
      </w:r>
      <w:r w:rsidRPr="007347C2">
        <w:rPr>
          <w:color w:val="000000"/>
          <w:lang w:val="en-US"/>
        </w:rPr>
        <w:t>(2), 629.</w:t>
      </w:r>
      <w:hyperlink r:id="rId35" w:history="1">
        <w:r w:rsidRPr="007347C2">
          <w:rPr>
            <w:rStyle w:val="Lienhypertexte"/>
            <w:color w:val="000000"/>
            <w:lang w:val="en-US"/>
          </w:rPr>
          <w:t xml:space="preserve"> </w:t>
        </w:r>
        <w:r w:rsidRPr="007347C2">
          <w:rPr>
            <w:rStyle w:val="Lienhypertexte"/>
            <w:color w:val="1155CC"/>
            <w:lang w:val="en-US"/>
          </w:rPr>
          <w:t>https://doi.org/10.3390/su13020629</w:t>
        </w:r>
      </w:hyperlink>
    </w:p>
    <w:p w14:paraId="79F4D56C"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Ibrahim, A. N. H., Borhan, M. N., Darus, N. S., Yunin, N. A. M., &amp; Ismail, R. (2022). Understanding the willingness of students to use bicycles for sustainable commuting in a university setting: A structural equation modelling approach. </w:t>
      </w:r>
      <w:r w:rsidRPr="007347C2">
        <w:rPr>
          <w:i/>
          <w:iCs/>
          <w:color w:val="000000"/>
          <w:lang w:val="en-US"/>
        </w:rPr>
        <w:t>Mathematics, 10</w:t>
      </w:r>
      <w:r w:rsidRPr="007347C2">
        <w:rPr>
          <w:color w:val="000000"/>
          <w:lang w:val="en-US"/>
        </w:rPr>
        <w:t>(6), 861.</w:t>
      </w:r>
      <w:hyperlink r:id="rId36" w:history="1">
        <w:r w:rsidRPr="007347C2">
          <w:rPr>
            <w:rStyle w:val="Lienhypertexte"/>
            <w:color w:val="000000"/>
            <w:lang w:val="en-US"/>
          </w:rPr>
          <w:t xml:space="preserve"> </w:t>
        </w:r>
        <w:r w:rsidRPr="007347C2">
          <w:rPr>
            <w:rStyle w:val="Lienhypertexte"/>
            <w:color w:val="1155CC"/>
            <w:lang w:val="en-US"/>
          </w:rPr>
          <w:t>https://doi.org/10.3390/math10060861</w:t>
        </w:r>
      </w:hyperlink>
    </w:p>
    <w:p w14:paraId="40AC990E"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Jain, S., Agarwal, A., Jani, V., Singhal, S., Sharma, P., &amp; Jalan, R. (2017). Assessment of carbon neutrality and sustainability in educational campuses (CANSEC): A general framework. </w:t>
      </w:r>
      <w:r w:rsidRPr="007347C2">
        <w:rPr>
          <w:i/>
          <w:iCs/>
          <w:color w:val="000000"/>
          <w:lang w:val="en-US"/>
        </w:rPr>
        <w:t>Ecological Indicators, 76</w:t>
      </w:r>
      <w:r w:rsidRPr="007347C2">
        <w:rPr>
          <w:color w:val="000000"/>
          <w:lang w:val="en-US"/>
        </w:rPr>
        <w:t>, 198–212.</w:t>
      </w:r>
      <w:hyperlink r:id="rId37" w:history="1">
        <w:r w:rsidRPr="007347C2">
          <w:rPr>
            <w:rStyle w:val="Lienhypertexte"/>
            <w:color w:val="000000"/>
            <w:lang w:val="en-US"/>
          </w:rPr>
          <w:t xml:space="preserve"> </w:t>
        </w:r>
        <w:r w:rsidRPr="007347C2">
          <w:rPr>
            <w:rStyle w:val="Lienhypertexte"/>
            <w:color w:val="1155CC"/>
            <w:lang w:val="en-US"/>
          </w:rPr>
          <w:t>https://doi.org/10.1016/j.ecolind.2017.01.012</w:t>
        </w:r>
      </w:hyperlink>
    </w:p>
    <w:p w14:paraId="38787BA3"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Jiang, Q., &amp; Kurnitski, J. (2023). Performance based core sustainability metrics for university campuses developing towards climate neutrality: A robust PICSOU framework. </w:t>
      </w:r>
      <w:r w:rsidRPr="007347C2">
        <w:rPr>
          <w:i/>
          <w:iCs/>
          <w:color w:val="000000"/>
          <w:lang w:val="en-US"/>
        </w:rPr>
        <w:t>Sustainable Cities and Society, 94</w:t>
      </w:r>
      <w:r w:rsidRPr="007347C2">
        <w:rPr>
          <w:color w:val="000000"/>
          <w:lang w:val="en-US"/>
        </w:rPr>
        <w:t>, 104723.</w:t>
      </w:r>
      <w:hyperlink r:id="rId38" w:history="1">
        <w:r w:rsidRPr="007347C2">
          <w:rPr>
            <w:rStyle w:val="Lienhypertexte"/>
            <w:color w:val="000000"/>
            <w:lang w:val="en-US"/>
          </w:rPr>
          <w:t xml:space="preserve"> </w:t>
        </w:r>
        <w:r w:rsidRPr="007347C2">
          <w:rPr>
            <w:rStyle w:val="Lienhypertexte"/>
            <w:color w:val="1155CC"/>
            <w:lang w:val="en-US"/>
          </w:rPr>
          <w:t>https://doi.org/10.1016/j.scs.2023.104723</w:t>
        </w:r>
      </w:hyperlink>
    </w:p>
    <w:p w14:paraId="012BF5FC"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Johar, K., Mohamed, W. M., Atiqah Othman, N., &amp; Mouloud, M. (2025). Optimizing campus bus operations: A case study in sustainable transport automation. In </w:t>
      </w:r>
      <w:r w:rsidRPr="007347C2">
        <w:rPr>
          <w:i/>
          <w:iCs/>
          <w:color w:val="000000"/>
          <w:lang w:val="en-US"/>
        </w:rPr>
        <w:t>Proceedings</w:t>
      </w:r>
      <w:r w:rsidRPr="007347C2">
        <w:rPr>
          <w:color w:val="000000"/>
          <w:lang w:val="en-US"/>
        </w:rPr>
        <w:t>.</w:t>
      </w:r>
      <w:hyperlink r:id="rId39" w:history="1">
        <w:r w:rsidRPr="007347C2">
          <w:rPr>
            <w:rStyle w:val="Lienhypertexte"/>
            <w:color w:val="000000"/>
            <w:lang w:val="en-US"/>
          </w:rPr>
          <w:t xml:space="preserve"> </w:t>
        </w:r>
        <w:r w:rsidRPr="007347C2">
          <w:rPr>
            <w:rStyle w:val="Lienhypertexte"/>
            <w:color w:val="1155CC"/>
            <w:lang w:val="en-US"/>
          </w:rPr>
          <w:t>https://doi.org/10.1109/ROMA66616.2025.11155732</w:t>
        </w:r>
      </w:hyperlink>
    </w:p>
    <w:p w14:paraId="0E8868E4"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Kanchanawongpaisan, S., Tee, M., Yangzhi, M., Lu, L., &amp; Fang, G. (2025). Evaluating the impact of green infrastructure on campus sustainability goals: A case study of universities in Bangkok.</w:t>
      </w:r>
      <w:hyperlink r:id="rId40" w:history="1">
        <w:r w:rsidRPr="007347C2">
          <w:rPr>
            <w:rStyle w:val="Lienhypertexte"/>
            <w:color w:val="000000"/>
            <w:lang w:val="en-US"/>
          </w:rPr>
          <w:t xml:space="preserve"> </w:t>
        </w:r>
        <w:r w:rsidRPr="007347C2">
          <w:rPr>
            <w:rStyle w:val="Lienhypertexte"/>
            <w:color w:val="1155CC"/>
            <w:lang w:val="en-US"/>
          </w:rPr>
          <w:t>https://doi.org/10.55214/25768484.v9i2.4766</w:t>
        </w:r>
      </w:hyperlink>
    </w:p>
    <w:p w14:paraId="222CA9FB"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Lambrechts, W., &amp; Ceulemans, K. (2013). Sustainability assessment in higher education: Evaluating the use of the auditing instrument for sustainability in higher education (AISHE) in Belgium. In </w:t>
      </w:r>
      <w:r w:rsidRPr="007347C2">
        <w:rPr>
          <w:i/>
          <w:iCs/>
          <w:color w:val="000000"/>
          <w:lang w:val="en-US"/>
        </w:rPr>
        <w:t>[Book/Proceedings]</w:t>
      </w:r>
      <w:r w:rsidRPr="007347C2">
        <w:rPr>
          <w:color w:val="000000"/>
          <w:lang w:val="en-US"/>
        </w:rPr>
        <w:t>.</w:t>
      </w:r>
      <w:hyperlink r:id="rId41" w:history="1">
        <w:r w:rsidRPr="007347C2">
          <w:rPr>
            <w:rStyle w:val="Lienhypertexte"/>
            <w:color w:val="000000"/>
            <w:lang w:val="en-US"/>
          </w:rPr>
          <w:t xml:space="preserve"> </w:t>
        </w:r>
        <w:r w:rsidRPr="007347C2">
          <w:rPr>
            <w:rStyle w:val="Lienhypertexte"/>
            <w:color w:val="1155CC"/>
            <w:lang w:val="en-US"/>
          </w:rPr>
          <w:t>https://doi.org/10.1007/978-3-319-02375-5_9</w:t>
        </w:r>
      </w:hyperlink>
    </w:p>
    <w:p w14:paraId="2681B52D"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Laporte, J. P., Román-Collado, R., &amp; Cansino, J. M. (2025). Enhancing sustainability in higher education: Energy consumption patterns in UK universities. </w:t>
      </w:r>
      <w:r w:rsidRPr="007347C2">
        <w:rPr>
          <w:i/>
          <w:iCs/>
          <w:color w:val="000000"/>
          <w:lang w:val="en-US"/>
        </w:rPr>
        <w:t>Journal of Cleaner Production</w:t>
      </w:r>
      <w:r w:rsidRPr="007347C2">
        <w:rPr>
          <w:color w:val="000000"/>
          <w:lang w:val="en-US"/>
        </w:rPr>
        <w:t>.</w:t>
      </w:r>
      <w:hyperlink r:id="rId42" w:history="1">
        <w:r w:rsidRPr="007347C2">
          <w:rPr>
            <w:rStyle w:val="Lienhypertexte"/>
            <w:color w:val="000000"/>
            <w:lang w:val="en-US"/>
          </w:rPr>
          <w:t xml:space="preserve"> </w:t>
        </w:r>
        <w:r w:rsidRPr="007347C2">
          <w:rPr>
            <w:rStyle w:val="Lienhypertexte"/>
            <w:color w:val="1155CC"/>
            <w:lang w:val="en-US"/>
          </w:rPr>
          <w:t>https://doi.org/10.1016/j.jclepro.2025.146154</w:t>
        </w:r>
      </w:hyperlink>
    </w:p>
    <w:p w14:paraId="591036E8"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Leclerc, S. H., &amp; Badami, M. G. (2022). Material circularity in large organizations: Action-research to shift information technology (IT) material flows. </w:t>
      </w:r>
      <w:r w:rsidRPr="007347C2">
        <w:rPr>
          <w:i/>
          <w:iCs/>
          <w:color w:val="000000"/>
          <w:lang w:val="en-US"/>
        </w:rPr>
        <w:t>Journal of Cleaner Production, 353</w:t>
      </w:r>
      <w:r w:rsidRPr="007347C2">
        <w:rPr>
          <w:color w:val="000000"/>
          <w:lang w:val="en-US"/>
        </w:rPr>
        <w:t>, 131333.</w:t>
      </w:r>
      <w:hyperlink r:id="rId43" w:history="1">
        <w:r w:rsidRPr="007347C2">
          <w:rPr>
            <w:rStyle w:val="Lienhypertexte"/>
            <w:color w:val="000000"/>
            <w:lang w:val="en-US"/>
          </w:rPr>
          <w:t xml:space="preserve"> </w:t>
        </w:r>
        <w:r w:rsidRPr="007347C2">
          <w:rPr>
            <w:rStyle w:val="Lienhypertexte"/>
            <w:color w:val="1155CC"/>
            <w:lang w:val="en-US"/>
          </w:rPr>
          <w:t>https://doi.org/10.1016/j.jclepro.2022.131333</w:t>
        </w:r>
      </w:hyperlink>
    </w:p>
    <w:p w14:paraId="5E174346"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Maistry, N., &amp; Annegarn, H. (2016). Using energy profiles to identify university energy reduction opportunities. </w:t>
      </w:r>
      <w:r w:rsidRPr="007347C2">
        <w:rPr>
          <w:i/>
          <w:iCs/>
          <w:color w:val="000000"/>
          <w:lang w:val="en-US"/>
        </w:rPr>
        <w:t>International Journal of Sustainability in Higher Education</w:t>
      </w:r>
      <w:r w:rsidRPr="007347C2">
        <w:rPr>
          <w:color w:val="000000"/>
          <w:lang w:val="en-US"/>
        </w:rPr>
        <w:t>.</w:t>
      </w:r>
      <w:hyperlink r:id="rId44" w:history="1">
        <w:r w:rsidRPr="007347C2">
          <w:rPr>
            <w:rStyle w:val="Lienhypertexte"/>
            <w:color w:val="000000"/>
            <w:lang w:val="en-US"/>
          </w:rPr>
          <w:t xml:space="preserve"> </w:t>
        </w:r>
        <w:r w:rsidRPr="007347C2">
          <w:rPr>
            <w:rStyle w:val="Lienhypertexte"/>
            <w:color w:val="1155CC"/>
            <w:lang w:val="en-US"/>
          </w:rPr>
          <w:t>https://doi.org/10.1108/IJSHE-09-2014-0129</w:t>
        </w:r>
      </w:hyperlink>
    </w:p>
    <w:p w14:paraId="3D7CC69F" w14:textId="77777777" w:rsidR="007347C2" w:rsidRPr="007347C2" w:rsidRDefault="007347C2" w:rsidP="007347C2">
      <w:pPr>
        <w:pStyle w:val="NormalWeb"/>
        <w:spacing w:before="0" w:beforeAutospacing="0" w:after="0" w:afterAutospacing="0"/>
        <w:ind w:firstLine="567"/>
        <w:rPr>
          <w:lang w:val="en-US"/>
        </w:rPr>
      </w:pPr>
      <w:r>
        <w:rPr>
          <w:color w:val="000000"/>
        </w:rPr>
        <w:lastRenderedPageBreak/>
        <w:t xml:space="preserve">Mendes, T., Teixeira, H., Lopes, A. M., &amp; de Azevedo Correia, A. (2025). </w:t>
      </w:r>
      <w:r w:rsidRPr="007347C2">
        <w:rPr>
          <w:color w:val="000000"/>
          <w:lang w:val="en-US"/>
        </w:rPr>
        <w:t xml:space="preserve">From environmental knowledge to pro-environmental behaviors: Paving the way for more sustainable higher education institutions through a mission refocus. </w:t>
      </w:r>
      <w:r w:rsidRPr="007347C2">
        <w:rPr>
          <w:i/>
          <w:iCs/>
          <w:color w:val="000000"/>
          <w:lang w:val="en-US"/>
        </w:rPr>
        <w:t>Journal of Science Education and Technology</w:t>
      </w:r>
      <w:r w:rsidRPr="007347C2">
        <w:rPr>
          <w:color w:val="000000"/>
          <w:lang w:val="en-US"/>
        </w:rPr>
        <w:t>.</w:t>
      </w:r>
      <w:hyperlink r:id="rId45" w:history="1">
        <w:r w:rsidRPr="007347C2">
          <w:rPr>
            <w:rStyle w:val="Lienhypertexte"/>
            <w:color w:val="000000"/>
            <w:lang w:val="en-US"/>
          </w:rPr>
          <w:t xml:space="preserve"> </w:t>
        </w:r>
        <w:r w:rsidRPr="007347C2">
          <w:rPr>
            <w:rStyle w:val="Lienhypertexte"/>
            <w:color w:val="1155CC"/>
            <w:lang w:val="en-US"/>
          </w:rPr>
          <w:t>https://doi.org/10.1007/s10961-024-10181-8</w:t>
        </w:r>
      </w:hyperlink>
    </w:p>
    <w:p w14:paraId="76DC94B4"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Min-Allah, N., &amp; Alrashed, S. (2020). Smart campus—A sketch. </w:t>
      </w:r>
      <w:r w:rsidRPr="007347C2">
        <w:rPr>
          <w:i/>
          <w:iCs/>
          <w:color w:val="000000"/>
          <w:lang w:val="en-US"/>
        </w:rPr>
        <w:t>Sustainable Cities and Society, 59</w:t>
      </w:r>
      <w:r w:rsidRPr="007347C2">
        <w:rPr>
          <w:color w:val="000000"/>
          <w:lang w:val="en-US"/>
        </w:rPr>
        <w:t>, 102231.</w:t>
      </w:r>
      <w:hyperlink r:id="rId46" w:history="1">
        <w:r w:rsidRPr="007347C2">
          <w:rPr>
            <w:rStyle w:val="Lienhypertexte"/>
            <w:color w:val="000000"/>
            <w:lang w:val="en-US"/>
          </w:rPr>
          <w:t xml:space="preserve"> </w:t>
        </w:r>
        <w:r w:rsidRPr="007347C2">
          <w:rPr>
            <w:rStyle w:val="Lienhypertexte"/>
            <w:color w:val="1155CC"/>
            <w:lang w:val="en-US"/>
          </w:rPr>
          <w:t>https://doi.org/10.1016/j.scs.2020.102231</w:t>
        </w:r>
      </w:hyperlink>
    </w:p>
    <w:p w14:paraId="0741C085"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Mitchell, R. K., Agle, B. R., &amp; Wood, D. J. (1997). Toward a theory of stakeholder identification and salience: Defining the principle of who and what really counts. </w:t>
      </w:r>
      <w:r w:rsidRPr="007347C2">
        <w:rPr>
          <w:i/>
          <w:iCs/>
          <w:color w:val="000000"/>
          <w:lang w:val="en-US"/>
        </w:rPr>
        <w:t>Academy of management review</w:t>
      </w:r>
      <w:r w:rsidRPr="007347C2">
        <w:rPr>
          <w:color w:val="000000"/>
          <w:lang w:val="en-US"/>
        </w:rPr>
        <w:t xml:space="preserve">, </w:t>
      </w:r>
      <w:r w:rsidRPr="007347C2">
        <w:rPr>
          <w:i/>
          <w:iCs/>
          <w:color w:val="000000"/>
          <w:lang w:val="en-US"/>
        </w:rPr>
        <w:t>22</w:t>
      </w:r>
      <w:r w:rsidRPr="007347C2">
        <w:rPr>
          <w:color w:val="000000"/>
          <w:lang w:val="en-US"/>
        </w:rPr>
        <w:t>(4), 853-886.</w:t>
      </w:r>
    </w:p>
    <w:p w14:paraId="00835D00"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Mohamad, Z. F., Abd Kadir, S. N., Nasaruddin, A., Sakai, N., Zuki, F. M., Hussein, H., Sulaiman, A. H., &amp; Salleh, M. S. A. M. (2018). Heartware as a driver for campus sustainability: Insights from an action-oriented exploratory case study. </w:t>
      </w:r>
      <w:r w:rsidRPr="007347C2">
        <w:rPr>
          <w:i/>
          <w:iCs/>
          <w:color w:val="000000"/>
          <w:lang w:val="en-US"/>
        </w:rPr>
        <w:t>Journal of Cleaner Production, 197</w:t>
      </w:r>
      <w:r w:rsidRPr="007347C2">
        <w:rPr>
          <w:color w:val="000000"/>
          <w:lang w:val="en-US"/>
        </w:rPr>
        <w:t>, 1089–1100.</w:t>
      </w:r>
      <w:hyperlink r:id="rId47" w:history="1">
        <w:r w:rsidRPr="007347C2">
          <w:rPr>
            <w:rStyle w:val="Lienhypertexte"/>
            <w:color w:val="000000"/>
            <w:lang w:val="en-US"/>
          </w:rPr>
          <w:t xml:space="preserve"> </w:t>
        </w:r>
        <w:r w:rsidRPr="007347C2">
          <w:rPr>
            <w:rStyle w:val="Lienhypertexte"/>
            <w:color w:val="1155CC"/>
            <w:lang w:val="en-US"/>
          </w:rPr>
          <w:t>https://doi.org/10.1016/j.jclepro.2018.06.111</w:t>
        </w:r>
      </w:hyperlink>
    </w:p>
    <w:p w14:paraId="4A9382B2"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Movlyanov, A., &amp; Selçuklu, S. B. (2025). Energy efficiency optimization model for sustainable campus buildings and transportation. </w:t>
      </w:r>
      <w:r w:rsidRPr="007347C2">
        <w:rPr>
          <w:i/>
          <w:iCs/>
          <w:color w:val="000000"/>
          <w:lang w:val="en-US"/>
        </w:rPr>
        <w:t>Buildings, 15</w:t>
      </w:r>
      <w:r w:rsidRPr="007347C2">
        <w:rPr>
          <w:color w:val="000000"/>
          <w:lang w:val="en-US"/>
        </w:rPr>
        <w:t>(12), 1993.</w:t>
      </w:r>
      <w:hyperlink r:id="rId48" w:history="1">
        <w:r w:rsidRPr="007347C2">
          <w:rPr>
            <w:rStyle w:val="Lienhypertexte"/>
            <w:color w:val="000000"/>
            <w:lang w:val="en-US"/>
          </w:rPr>
          <w:t xml:space="preserve"> </w:t>
        </w:r>
        <w:r w:rsidRPr="007347C2">
          <w:rPr>
            <w:rStyle w:val="Lienhypertexte"/>
            <w:color w:val="1155CC"/>
            <w:lang w:val="en-US"/>
          </w:rPr>
          <w:t>https://doi.org/10.3390/buildings15121993</w:t>
        </w:r>
      </w:hyperlink>
    </w:p>
    <w:p w14:paraId="1809BB43"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Murshed, M. (2020). Electricity conservation opportunities within private university campuses in Bangladesh. </w:t>
      </w:r>
      <w:r w:rsidRPr="007347C2">
        <w:rPr>
          <w:i/>
          <w:iCs/>
          <w:color w:val="000000"/>
          <w:lang w:val="en-US"/>
        </w:rPr>
        <w:t>Environment and Planning B: Urban Analytics and City Science</w:t>
      </w:r>
      <w:r w:rsidRPr="007347C2">
        <w:rPr>
          <w:color w:val="000000"/>
          <w:lang w:val="en-US"/>
        </w:rPr>
        <w:t>.</w:t>
      </w:r>
      <w:hyperlink r:id="rId49" w:history="1">
        <w:r w:rsidRPr="007347C2">
          <w:rPr>
            <w:rStyle w:val="Lienhypertexte"/>
            <w:color w:val="000000"/>
            <w:lang w:val="en-US"/>
          </w:rPr>
          <w:t xml:space="preserve"> </w:t>
        </w:r>
        <w:r w:rsidRPr="007347C2">
          <w:rPr>
            <w:rStyle w:val="Lienhypertexte"/>
            <w:color w:val="1155CC"/>
            <w:lang w:val="en-US"/>
          </w:rPr>
          <w:t>https://doi.org/10.1177/0958305X19857209</w:t>
        </w:r>
      </w:hyperlink>
    </w:p>
    <w:p w14:paraId="4861BB0D"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Mustari, A. H., Santoso, N., &amp; Guna Wiyanda, P. D. S. (2025). Biodiversity in campus of IPB University. </w:t>
      </w:r>
      <w:r w:rsidRPr="007347C2">
        <w:rPr>
          <w:i/>
          <w:iCs/>
          <w:color w:val="000000"/>
          <w:lang w:val="en-US"/>
        </w:rPr>
        <w:t>IOP Conference Series: Earth and Environmental Science, 1506</w:t>
      </w:r>
      <w:r w:rsidRPr="007347C2">
        <w:rPr>
          <w:color w:val="000000"/>
          <w:lang w:val="en-US"/>
        </w:rPr>
        <w:t>(1), 012001.</w:t>
      </w:r>
      <w:hyperlink r:id="rId50" w:history="1">
        <w:r w:rsidRPr="007347C2">
          <w:rPr>
            <w:rStyle w:val="Lienhypertexte"/>
            <w:color w:val="000000"/>
            <w:lang w:val="en-US"/>
          </w:rPr>
          <w:t xml:space="preserve"> </w:t>
        </w:r>
        <w:r w:rsidRPr="007347C2">
          <w:rPr>
            <w:rStyle w:val="Lienhypertexte"/>
            <w:color w:val="1155CC"/>
            <w:lang w:val="en-US"/>
          </w:rPr>
          <w:t>https://doi.org/10.1088/1755-1315/1506/1/012001</w:t>
        </w:r>
      </w:hyperlink>
    </w:p>
    <w:p w14:paraId="6851C706"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Muñoz-Suárez, M., Olmeda, N., &amp; Osca, J. M. (2020). A comparative analysis between global university rankings and environmental sustainability of universities. </w:t>
      </w:r>
      <w:r w:rsidRPr="007347C2">
        <w:rPr>
          <w:i/>
          <w:iCs/>
          <w:color w:val="000000"/>
          <w:lang w:val="en-US"/>
        </w:rPr>
        <w:t>Sustainability, 12</w:t>
      </w:r>
      <w:r w:rsidRPr="007347C2">
        <w:rPr>
          <w:color w:val="000000"/>
          <w:lang w:val="en-US"/>
        </w:rPr>
        <w:t>(14), 5759.</w:t>
      </w:r>
      <w:hyperlink r:id="rId51" w:history="1">
        <w:r w:rsidRPr="007347C2">
          <w:rPr>
            <w:rStyle w:val="Lienhypertexte"/>
            <w:color w:val="000000"/>
            <w:lang w:val="en-US"/>
          </w:rPr>
          <w:t xml:space="preserve"> </w:t>
        </w:r>
        <w:r w:rsidRPr="007347C2">
          <w:rPr>
            <w:rStyle w:val="Lienhypertexte"/>
            <w:color w:val="1155CC"/>
            <w:lang w:val="en-US"/>
          </w:rPr>
          <w:t>https://doi.org/10.3390/su12145759</w:t>
        </w:r>
      </w:hyperlink>
    </w:p>
    <w:p w14:paraId="244D2133"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Méndez, J. I., Ponce-Cruz, P., Peffer, T., Meier, A., &amp; Molina-Gutierrez, A. (2021). A gamified HMI as a response for implementing a smart-sustainable university campus. In </w:t>
      </w:r>
      <w:r w:rsidRPr="007347C2">
        <w:rPr>
          <w:i/>
          <w:iCs/>
          <w:color w:val="000000"/>
          <w:lang w:val="en-US"/>
        </w:rPr>
        <w:t>[Book/Proceedings]</w:t>
      </w:r>
      <w:r w:rsidRPr="007347C2">
        <w:rPr>
          <w:color w:val="000000"/>
          <w:lang w:val="en-US"/>
        </w:rPr>
        <w:t>.</w:t>
      </w:r>
      <w:hyperlink r:id="rId52" w:history="1">
        <w:r w:rsidRPr="007347C2">
          <w:rPr>
            <w:rStyle w:val="Lienhypertexte"/>
            <w:color w:val="000000"/>
            <w:lang w:val="en-US"/>
          </w:rPr>
          <w:t xml:space="preserve"> </w:t>
        </w:r>
        <w:r w:rsidRPr="007347C2">
          <w:rPr>
            <w:rStyle w:val="Lienhypertexte"/>
            <w:color w:val="1155CC"/>
            <w:lang w:val="en-US"/>
          </w:rPr>
          <w:t>https://doi.org/10.1007/978-3-030-85969-5_64</w:t>
        </w:r>
      </w:hyperlink>
    </w:p>
    <w:p w14:paraId="3DFF6A35"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Nadzri, M. N. H. M., Othman, M., Razali, N. A. M., &amp; Nordin, N. (2024). Assessment of spring water security for small community using Internet of Things (IoT). In </w:t>
      </w:r>
      <w:r w:rsidRPr="007347C2">
        <w:rPr>
          <w:i/>
          <w:iCs/>
          <w:color w:val="000000"/>
          <w:lang w:val="en-US"/>
        </w:rPr>
        <w:t>[Book/Proceedings]</w:t>
      </w:r>
      <w:r w:rsidRPr="007347C2">
        <w:rPr>
          <w:color w:val="000000"/>
          <w:lang w:val="en-US"/>
        </w:rPr>
        <w:t>.</w:t>
      </w:r>
      <w:hyperlink r:id="rId53" w:history="1">
        <w:r w:rsidRPr="007347C2">
          <w:rPr>
            <w:rStyle w:val="Lienhypertexte"/>
            <w:color w:val="000000"/>
            <w:lang w:val="en-US"/>
          </w:rPr>
          <w:t xml:space="preserve"> </w:t>
        </w:r>
        <w:r w:rsidRPr="007347C2">
          <w:rPr>
            <w:rStyle w:val="Lienhypertexte"/>
            <w:color w:val="1155CC"/>
            <w:lang w:val="en-US"/>
          </w:rPr>
          <w:t>https://doi.org/10.1007/978-981-97-0751-5_21</w:t>
        </w:r>
      </w:hyperlink>
    </w:p>
    <w:p w14:paraId="0A9A5471"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Nagatomo, D., &amp; Wei, T. Y. (2023). Research of STEM education for environmental sustainability in higher education. </w:t>
      </w:r>
      <w:r w:rsidRPr="007347C2">
        <w:rPr>
          <w:i/>
          <w:iCs/>
          <w:color w:val="000000"/>
          <w:lang w:val="en-US"/>
        </w:rPr>
        <w:t>AIP Conference Proceedings</w:t>
      </w:r>
      <w:r w:rsidRPr="007347C2">
        <w:rPr>
          <w:color w:val="000000"/>
          <w:lang w:val="en-US"/>
        </w:rPr>
        <w:t>.</w:t>
      </w:r>
      <w:hyperlink r:id="rId54" w:history="1">
        <w:r w:rsidRPr="007347C2">
          <w:rPr>
            <w:rStyle w:val="Lienhypertexte"/>
            <w:color w:val="000000"/>
            <w:lang w:val="en-US"/>
          </w:rPr>
          <w:t xml:space="preserve"> </w:t>
        </w:r>
        <w:r w:rsidRPr="007347C2">
          <w:rPr>
            <w:rStyle w:val="Lienhypertexte"/>
            <w:color w:val="1155CC"/>
            <w:lang w:val="en-US"/>
          </w:rPr>
          <w:t>https://doi.org/10.1063/5.0111727</w:t>
        </w:r>
      </w:hyperlink>
    </w:p>
    <w:p w14:paraId="5DA616B7"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Nursey-Bray, M., Palmer, R., Meyer-McLean, B., Wanner, T., &amp; Birzer, C. (2019). The fear of not flying: Achieving sustainable academic plane travel in higher education based on insights from South Australia. </w:t>
      </w:r>
      <w:r w:rsidRPr="007347C2">
        <w:rPr>
          <w:i/>
          <w:iCs/>
          <w:color w:val="000000"/>
          <w:lang w:val="en-US"/>
        </w:rPr>
        <w:t>Sustainability, 11</w:t>
      </w:r>
      <w:r w:rsidRPr="007347C2">
        <w:rPr>
          <w:color w:val="000000"/>
          <w:lang w:val="en-US"/>
        </w:rPr>
        <w:t>(9), 2694.</w:t>
      </w:r>
      <w:hyperlink r:id="rId55" w:history="1">
        <w:r w:rsidRPr="007347C2">
          <w:rPr>
            <w:rStyle w:val="Lienhypertexte"/>
            <w:color w:val="000000"/>
            <w:lang w:val="en-US"/>
          </w:rPr>
          <w:t xml:space="preserve"> </w:t>
        </w:r>
        <w:r w:rsidRPr="007347C2">
          <w:rPr>
            <w:rStyle w:val="Lienhypertexte"/>
            <w:color w:val="1155CC"/>
            <w:lang w:val="en-US"/>
          </w:rPr>
          <w:t>https://doi.org/10.3390/su11092694</w:t>
        </w:r>
      </w:hyperlink>
    </w:p>
    <w:p w14:paraId="47C25601"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Popowska, M. M., &amp; Sady, M. (2024). Universities' journey towards sustainability: Systematic literature review. </w:t>
      </w:r>
      <w:r w:rsidRPr="007347C2">
        <w:rPr>
          <w:i/>
          <w:iCs/>
          <w:color w:val="000000"/>
          <w:lang w:val="en-US"/>
        </w:rPr>
        <w:t>International Journal of Sustainability in Higher Education</w:t>
      </w:r>
      <w:r w:rsidRPr="007347C2">
        <w:rPr>
          <w:color w:val="000000"/>
          <w:lang w:val="en-US"/>
        </w:rPr>
        <w:t>.</w:t>
      </w:r>
      <w:hyperlink r:id="rId56" w:history="1">
        <w:r w:rsidRPr="007347C2">
          <w:rPr>
            <w:rStyle w:val="Lienhypertexte"/>
            <w:color w:val="000000"/>
            <w:lang w:val="en-US"/>
          </w:rPr>
          <w:t xml:space="preserve"> </w:t>
        </w:r>
        <w:r w:rsidRPr="007347C2">
          <w:rPr>
            <w:rStyle w:val="Lienhypertexte"/>
            <w:color w:val="1155CC"/>
            <w:lang w:val="en-US"/>
          </w:rPr>
          <w:t>https://doi.org/10.1108/IJSHE-08-2022-0280</w:t>
        </w:r>
      </w:hyperlink>
    </w:p>
    <w:p w14:paraId="056A30F2"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Pujiati, A., Handayani, B. D., Nihayah, D. M., Aulia Rachman, M., &amp; Rosalia, A. C. T. (2024). Willingness to pay to reduce plastic waste in order to realize green campus. </w:t>
      </w:r>
      <w:r w:rsidRPr="007347C2">
        <w:rPr>
          <w:i/>
          <w:iCs/>
          <w:color w:val="000000"/>
          <w:lang w:val="en-US"/>
        </w:rPr>
        <w:t>International Journal of Sustainable Development and Planning, 19</w:t>
      </w:r>
      <w:r w:rsidRPr="007347C2">
        <w:rPr>
          <w:color w:val="000000"/>
          <w:lang w:val="en-US"/>
        </w:rPr>
        <w:t>(11), 35.</w:t>
      </w:r>
      <w:hyperlink r:id="rId57" w:history="1">
        <w:r w:rsidRPr="007347C2">
          <w:rPr>
            <w:rStyle w:val="Lienhypertexte"/>
            <w:color w:val="000000"/>
            <w:lang w:val="en-US"/>
          </w:rPr>
          <w:t xml:space="preserve"> </w:t>
        </w:r>
        <w:r w:rsidRPr="007347C2">
          <w:rPr>
            <w:rStyle w:val="Lienhypertexte"/>
            <w:color w:val="1155CC"/>
            <w:lang w:val="en-US"/>
          </w:rPr>
          <w:t>https://doi.org/10.18280/ijsdp.191135</w:t>
        </w:r>
      </w:hyperlink>
    </w:p>
    <w:p w14:paraId="55E45974"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Riyanto, I., Margatama, L., Hakim, H., Martini, Hindarto, D. E. (2018). Motion sensor application on building lighting installation for energy saving and carbon reduction joint crediting mechanism. </w:t>
      </w:r>
      <w:r w:rsidRPr="007347C2">
        <w:rPr>
          <w:i/>
          <w:iCs/>
          <w:color w:val="000000"/>
          <w:lang w:val="en-US"/>
        </w:rPr>
        <w:t>Applied System Innovation, 1</w:t>
      </w:r>
      <w:r w:rsidRPr="007347C2">
        <w:rPr>
          <w:color w:val="000000"/>
          <w:lang w:val="en-US"/>
        </w:rPr>
        <w:t>(3), 23.</w:t>
      </w:r>
      <w:hyperlink r:id="rId58" w:history="1">
        <w:r w:rsidRPr="007347C2">
          <w:rPr>
            <w:rStyle w:val="Lienhypertexte"/>
            <w:color w:val="000000"/>
            <w:lang w:val="en-US"/>
          </w:rPr>
          <w:t xml:space="preserve"> </w:t>
        </w:r>
        <w:r w:rsidRPr="007347C2">
          <w:rPr>
            <w:rStyle w:val="Lienhypertexte"/>
            <w:color w:val="1155CC"/>
            <w:lang w:val="en-US"/>
          </w:rPr>
          <w:t>https://doi.org/10.3390/asi1030023</w:t>
        </w:r>
      </w:hyperlink>
    </w:p>
    <w:p w14:paraId="3448910E"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lastRenderedPageBreak/>
        <w:t xml:space="preserve">Romero, M., &amp; Mülfrath, R. (2017). University of São Paulo: Sustainability masterplan for policies, plans, goals and actions. In </w:t>
      </w:r>
      <w:r w:rsidRPr="007347C2">
        <w:rPr>
          <w:i/>
          <w:iCs/>
          <w:color w:val="000000"/>
          <w:lang w:val="en-US"/>
        </w:rPr>
        <w:t>[Book/Proceedings]</w:t>
      </w:r>
      <w:r w:rsidRPr="007347C2">
        <w:rPr>
          <w:color w:val="000000"/>
          <w:lang w:val="en-US"/>
        </w:rPr>
        <w:t>.</w:t>
      </w:r>
      <w:hyperlink r:id="rId59" w:history="1">
        <w:r w:rsidRPr="007347C2">
          <w:rPr>
            <w:rStyle w:val="Lienhypertexte"/>
            <w:color w:val="000000"/>
            <w:lang w:val="en-US"/>
          </w:rPr>
          <w:t xml:space="preserve"> </w:t>
        </w:r>
        <w:r w:rsidRPr="007347C2">
          <w:rPr>
            <w:rStyle w:val="Lienhypertexte"/>
            <w:color w:val="1155CC"/>
            <w:lang w:val="en-US"/>
          </w:rPr>
          <w:t>https://doi.org/10.1007/978-3-319-47877-7_34</w:t>
        </w:r>
      </w:hyperlink>
    </w:p>
    <w:p w14:paraId="5EF19EB9"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Rosa, M. R., Boscarioli, C., &amp; Freitas Zara, K. R. (2024). A systematic review of the trends and patterns of sustainability reporting in universities. </w:t>
      </w:r>
      <w:r w:rsidRPr="007347C2">
        <w:rPr>
          <w:i/>
          <w:iCs/>
          <w:color w:val="000000"/>
          <w:lang w:val="en-US"/>
        </w:rPr>
        <w:t>International Journal of Sustainability in Higher Education</w:t>
      </w:r>
      <w:r w:rsidRPr="007347C2">
        <w:rPr>
          <w:color w:val="000000"/>
          <w:lang w:val="en-US"/>
        </w:rPr>
        <w:t>.</w:t>
      </w:r>
      <w:hyperlink r:id="rId60" w:history="1">
        <w:r w:rsidRPr="007347C2">
          <w:rPr>
            <w:rStyle w:val="Lienhypertexte"/>
            <w:color w:val="000000"/>
            <w:lang w:val="en-US"/>
          </w:rPr>
          <w:t xml:space="preserve"> </w:t>
        </w:r>
        <w:r w:rsidRPr="007347C2">
          <w:rPr>
            <w:rStyle w:val="Lienhypertexte"/>
            <w:color w:val="1155CC"/>
            <w:lang w:val="en-US"/>
          </w:rPr>
          <w:t>https://doi.org/10.1108/IJSHE-12-2022-0399</w:t>
        </w:r>
      </w:hyperlink>
    </w:p>
    <w:p w14:paraId="76631AD6" w14:textId="77777777" w:rsidR="007347C2" w:rsidRPr="007347C2" w:rsidRDefault="007347C2" w:rsidP="007347C2">
      <w:pPr>
        <w:pStyle w:val="NormalWeb"/>
        <w:spacing w:before="0" w:beforeAutospacing="0" w:after="0" w:afterAutospacing="0"/>
        <w:ind w:firstLine="567"/>
        <w:rPr>
          <w:lang w:val="en-US"/>
        </w:rPr>
      </w:pPr>
      <w:r>
        <w:rPr>
          <w:color w:val="000000"/>
        </w:rPr>
        <w:t xml:space="preserve">Rupani, P. F., Embrandiri, A., Garg, V. K., Abbaspour, M., Dewil, R., &amp; Appels, L. (2023). </w:t>
      </w:r>
      <w:r w:rsidRPr="007347C2">
        <w:rPr>
          <w:color w:val="000000"/>
          <w:lang w:val="en-US"/>
        </w:rPr>
        <w:t xml:space="preserve">Vermicomposting of green organic wastes using </w:t>
      </w:r>
      <w:r w:rsidRPr="007347C2">
        <w:rPr>
          <w:i/>
          <w:iCs/>
          <w:color w:val="000000"/>
          <w:lang w:val="en-US"/>
        </w:rPr>
        <w:t>Eisenia fetida</w:t>
      </w:r>
      <w:r w:rsidRPr="007347C2">
        <w:rPr>
          <w:color w:val="000000"/>
          <w:lang w:val="en-US"/>
        </w:rPr>
        <w:t xml:space="preserve"> under field conditions: A case study of a green campus. </w:t>
      </w:r>
      <w:r w:rsidRPr="007347C2">
        <w:rPr>
          <w:i/>
          <w:iCs/>
          <w:color w:val="000000"/>
          <w:lang w:val="en-US"/>
        </w:rPr>
        <w:t>Waste and Biomass Valorization</w:t>
      </w:r>
      <w:r w:rsidRPr="007347C2">
        <w:rPr>
          <w:color w:val="000000"/>
          <w:lang w:val="en-US"/>
        </w:rPr>
        <w:t>.</w:t>
      </w:r>
      <w:hyperlink r:id="rId61" w:history="1">
        <w:r w:rsidRPr="007347C2">
          <w:rPr>
            <w:rStyle w:val="Lienhypertexte"/>
            <w:color w:val="000000"/>
            <w:lang w:val="en-US"/>
          </w:rPr>
          <w:t xml:space="preserve"> </w:t>
        </w:r>
        <w:r w:rsidRPr="007347C2">
          <w:rPr>
            <w:rStyle w:val="Lienhypertexte"/>
            <w:color w:val="1155CC"/>
            <w:lang w:val="en-US"/>
          </w:rPr>
          <w:t>https://doi.org/10.1007/s12649-022-02004-4</w:t>
        </w:r>
      </w:hyperlink>
    </w:p>
    <w:p w14:paraId="530978B4"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Setiawati, C. I., &amp; Maulana, A. (2021). Analysis of academic stakeholders' satisfaction on green campus implementation in Telkom University using importance performance analysis approach. </w:t>
      </w:r>
      <w:r w:rsidRPr="007347C2">
        <w:rPr>
          <w:i/>
          <w:iCs/>
          <w:color w:val="000000"/>
          <w:lang w:val="en-US"/>
        </w:rPr>
        <w:t>International Journal of Learning and Change</w:t>
      </w:r>
      <w:r w:rsidRPr="007347C2">
        <w:rPr>
          <w:color w:val="000000"/>
          <w:lang w:val="en-US"/>
        </w:rPr>
        <w:t>.</w:t>
      </w:r>
      <w:hyperlink r:id="rId62" w:history="1">
        <w:r w:rsidRPr="007347C2">
          <w:rPr>
            <w:rStyle w:val="Lienhypertexte"/>
            <w:color w:val="000000"/>
            <w:lang w:val="en-US"/>
          </w:rPr>
          <w:t xml:space="preserve"> </w:t>
        </w:r>
        <w:r w:rsidRPr="007347C2">
          <w:rPr>
            <w:rStyle w:val="Lienhypertexte"/>
            <w:color w:val="1155CC"/>
            <w:lang w:val="en-US"/>
          </w:rPr>
          <w:t>https://doi.org/10.1504/IJLC.2021.115190</w:t>
        </w:r>
      </w:hyperlink>
    </w:p>
    <w:p w14:paraId="2D688010"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Sharma, H., &amp; Kaur, G. (2016). Optimization and simulation of smart grid distributed generation: A case study of university campus. In </w:t>
      </w:r>
      <w:r w:rsidRPr="007347C2">
        <w:rPr>
          <w:i/>
          <w:iCs/>
          <w:color w:val="000000"/>
          <w:lang w:val="en-US"/>
        </w:rPr>
        <w:t>Proceedings</w:t>
      </w:r>
      <w:r w:rsidRPr="007347C2">
        <w:rPr>
          <w:color w:val="000000"/>
          <w:lang w:val="en-US"/>
        </w:rPr>
        <w:t>.</w:t>
      </w:r>
      <w:hyperlink r:id="rId63" w:history="1">
        <w:r w:rsidRPr="007347C2">
          <w:rPr>
            <w:rStyle w:val="Lienhypertexte"/>
            <w:color w:val="000000"/>
            <w:lang w:val="en-US"/>
          </w:rPr>
          <w:t xml:space="preserve"> </w:t>
        </w:r>
        <w:r w:rsidRPr="007347C2">
          <w:rPr>
            <w:rStyle w:val="Lienhypertexte"/>
            <w:color w:val="1155CC"/>
            <w:lang w:val="en-US"/>
          </w:rPr>
          <w:t>https://doi.org/10.1109/SEGE.2016.7589517</w:t>
        </w:r>
      </w:hyperlink>
    </w:p>
    <w:p w14:paraId="1D05A428" w14:textId="77777777" w:rsidR="007347C2" w:rsidRDefault="007347C2" w:rsidP="007347C2">
      <w:pPr>
        <w:pStyle w:val="NormalWeb"/>
        <w:spacing w:before="0" w:beforeAutospacing="0" w:after="0" w:afterAutospacing="0"/>
        <w:ind w:firstLine="567"/>
      </w:pPr>
      <w:r w:rsidRPr="007347C2">
        <w:rPr>
          <w:color w:val="000000"/>
          <w:lang w:val="en-US"/>
        </w:rPr>
        <w:t xml:space="preserve">Soares, N., Pereira, L. D., Ferreira, J., Conceição, P., &amp; da Silva, P. P. (2015). Energy efficiency of higher education buildings: A case study. </w:t>
      </w:r>
      <w:r w:rsidRPr="007347C2">
        <w:rPr>
          <w:i/>
          <w:iCs/>
          <w:color w:val="000000"/>
          <w:lang w:val="en-US"/>
        </w:rPr>
        <w:t>International Journal of Sustainability in Higher Education</w:t>
      </w:r>
      <w:r w:rsidRPr="007347C2">
        <w:rPr>
          <w:color w:val="000000"/>
          <w:lang w:val="en-US"/>
        </w:rPr>
        <w:t>.</w:t>
      </w:r>
      <w:hyperlink r:id="rId64" w:history="1">
        <w:r w:rsidRPr="007347C2">
          <w:rPr>
            <w:rStyle w:val="Lienhypertexte"/>
            <w:color w:val="000000"/>
            <w:lang w:val="en-US"/>
          </w:rPr>
          <w:t xml:space="preserve"> </w:t>
        </w:r>
        <w:r>
          <w:rPr>
            <w:rStyle w:val="Lienhypertexte"/>
            <w:color w:val="1155CC"/>
          </w:rPr>
          <w:t>https://doi.org/10.1108/IJSHE-11-2013-0147</w:t>
        </w:r>
      </w:hyperlink>
    </w:p>
    <w:p w14:paraId="7C774ACD" w14:textId="77777777" w:rsidR="007347C2" w:rsidRPr="007347C2" w:rsidRDefault="007347C2" w:rsidP="007347C2">
      <w:pPr>
        <w:pStyle w:val="NormalWeb"/>
        <w:spacing w:before="0" w:beforeAutospacing="0" w:after="0" w:afterAutospacing="0"/>
        <w:ind w:firstLine="567"/>
        <w:rPr>
          <w:lang w:val="en-US"/>
        </w:rPr>
      </w:pPr>
      <w:r>
        <w:rPr>
          <w:color w:val="000000"/>
        </w:rPr>
        <w:t xml:space="preserve">Sonetti, G., Lombardi, P., &amp; Chelleri, L. (2016). </w:t>
      </w:r>
      <w:r w:rsidRPr="007347C2">
        <w:rPr>
          <w:color w:val="000000"/>
          <w:lang w:val="en-US"/>
        </w:rPr>
        <w:t xml:space="preserve">True green and sustainable university campuses? Toward a clusters approach. </w:t>
      </w:r>
      <w:r w:rsidRPr="007347C2">
        <w:rPr>
          <w:i/>
          <w:iCs/>
          <w:color w:val="000000"/>
          <w:lang w:val="en-US"/>
        </w:rPr>
        <w:t>Sustainability, 8</w:t>
      </w:r>
      <w:r w:rsidRPr="007347C2">
        <w:rPr>
          <w:color w:val="000000"/>
          <w:lang w:val="en-US"/>
        </w:rPr>
        <w:t>(1), 83.</w:t>
      </w:r>
      <w:hyperlink r:id="rId65" w:history="1">
        <w:r w:rsidRPr="007347C2">
          <w:rPr>
            <w:rStyle w:val="Lienhypertexte"/>
            <w:color w:val="000000"/>
            <w:lang w:val="en-US"/>
          </w:rPr>
          <w:t xml:space="preserve"> </w:t>
        </w:r>
        <w:r w:rsidRPr="007347C2">
          <w:rPr>
            <w:rStyle w:val="Lienhypertexte"/>
            <w:color w:val="1155CC"/>
            <w:lang w:val="en-US"/>
          </w:rPr>
          <w:t>https://doi.org/10.3390/su8010083</w:t>
        </w:r>
      </w:hyperlink>
    </w:p>
    <w:p w14:paraId="077D8420"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Subbarao, V., Srinivas, K., &amp; Pavithr, R. S. (2019). A survey on Internet of Things based smart, digital green and intelligent campus. In </w:t>
      </w:r>
      <w:r w:rsidRPr="007347C2">
        <w:rPr>
          <w:i/>
          <w:iCs/>
          <w:color w:val="000000"/>
          <w:lang w:val="en-US"/>
        </w:rPr>
        <w:t>Proceedings</w:t>
      </w:r>
      <w:r w:rsidRPr="007347C2">
        <w:rPr>
          <w:color w:val="000000"/>
          <w:lang w:val="en-US"/>
        </w:rPr>
        <w:t>.</w:t>
      </w:r>
      <w:hyperlink r:id="rId66" w:history="1">
        <w:r w:rsidRPr="007347C2">
          <w:rPr>
            <w:rStyle w:val="Lienhypertexte"/>
            <w:color w:val="000000"/>
            <w:lang w:val="en-US"/>
          </w:rPr>
          <w:t xml:space="preserve"> </w:t>
        </w:r>
        <w:r w:rsidRPr="007347C2">
          <w:rPr>
            <w:rStyle w:val="Lienhypertexte"/>
            <w:color w:val="1155CC"/>
            <w:lang w:val="en-US"/>
          </w:rPr>
          <w:t>https://doi.org/10.1109/IoT-SIU.2019.8777476</w:t>
        </w:r>
      </w:hyperlink>
    </w:p>
    <w:p w14:paraId="75427798"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Sugiarto, A., Lee, C.-W., &amp; Dolfriandra Huruta, A. D. (2022). A systematic review of the sustainable campus concept. </w:t>
      </w:r>
      <w:r w:rsidRPr="007347C2">
        <w:rPr>
          <w:i/>
          <w:iCs/>
          <w:color w:val="000000"/>
          <w:lang w:val="en-US"/>
        </w:rPr>
        <w:t>Behavioral Sciences, 12</w:t>
      </w:r>
      <w:r w:rsidRPr="007347C2">
        <w:rPr>
          <w:color w:val="000000"/>
          <w:lang w:val="en-US"/>
        </w:rPr>
        <w:t>(5), 130.</w:t>
      </w:r>
      <w:hyperlink r:id="rId67" w:history="1">
        <w:r w:rsidRPr="007347C2">
          <w:rPr>
            <w:rStyle w:val="Lienhypertexte"/>
            <w:color w:val="000000"/>
            <w:lang w:val="en-US"/>
          </w:rPr>
          <w:t xml:space="preserve"> </w:t>
        </w:r>
        <w:r w:rsidRPr="007347C2">
          <w:rPr>
            <w:rStyle w:val="Lienhypertexte"/>
            <w:color w:val="1155CC"/>
            <w:lang w:val="en-US"/>
          </w:rPr>
          <w:t>https://doi.org/10.3390/bs12050130</w:t>
        </w:r>
      </w:hyperlink>
    </w:p>
    <w:p w14:paraId="11F2F65C"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Thoo, A. C., Tee, S. J., Huam, H. T., &amp; Mas’od, A. (2022). Determinants of recycling behavior in higher education institution. </w:t>
      </w:r>
      <w:r w:rsidRPr="007347C2">
        <w:rPr>
          <w:i/>
          <w:iCs/>
          <w:color w:val="000000"/>
          <w:lang w:val="en-US"/>
        </w:rPr>
        <w:t>Social Responsibility Journal</w:t>
      </w:r>
      <w:r w:rsidRPr="007347C2">
        <w:rPr>
          <w:color w:val="000000"/>
          <w:lang w:val="en-US"/>
        </w:rPr>
        <w:t>.</w:t>
      </w:r>
      <w:hyperlink r:id="rId68" w:history="1">
        <w:r w:rsidRPr="007347C2">
          <w:rPr>
            <w:rStyle w:val="Lienhypertexte"/>
            <w:color w:val="000000"/>
            <w:lang w:val="en-US"/>
          </w:rPr>
          <w:t xml:space="preserve"> </w:t>
        </w:r>
        <w:r w:rsidRPr="007347C2">
          <w:rPr>
            <w:rStyle w:val="Lienhypertexte"/>
            <w:color w:val="1155CC"/>
            <w:lang w:val="en-US"/>
          </w:rPr>
          <w:t>https://doi.org/10.1108/SRJ-05-2021-0209</w:t>
        </w:r>
      </w:hyperlink>
    </w:p>
    <w:p w14:paraId="30E1EFE1"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Urbanski, M., &amp; Leal Filho, W. (2015). Measuring sustainability at universities by means of the Sustainability Tracking, Assessment and Rating System (STARS): Early findings from STARS data. </w:t>
      </w:r>
      <w:r w:rsidRPr="007347C2">
        <w:rPr>
          <w:i/>
          <w:iCs/>
          <w:color w:val="000000"/>
          <w:lang w:val="en-US"/>
        </w:rPr>
        <w:t>Environment, Development and Sustainability, 17</w:t>
      </w:r>
      <w:r w:rsidRPr="007347C2">
        <w:rPr>
          <w:color w:val="000000"/>
          <w:lang w:val="en-US"/>
        </w:rPr>
        <w:t>(2), 209–220.</w:t>
      </w:r>
      <w:hyperlink r:id="rId69" w:history="1">
        <w:r w:rsidRPr="007347C2">
          <w:rPr>
            <w:rStyle w:val="Lienhypertexte"/>
            <w:color w:val="000000"/>
            <w:lang w:val="en-US"/>
          </w:rPr>
          <w:t xml:space="preserve"> </w:t>
        </w:r>
        <w:r w:rsidRPr="007347C2">
          <w:rPr>
            <w:rStyle w:val="Lienhypertexte"/>
            <w:color w:val="1155CC"/>
            <w:lang w:val="en-US"/>
          </w:rPr>
          <w:t>https://doi.org/10.1007/s10668-014-9564-3</w:t>
        </w:r>
      </w:hyperlink>
    </w:p>
    <w:p w14:paraId="66BC5703"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Velazquez, L., Munguia, N., Platt, A., &amp; Taddei, J. (2006). Sustainable university: What can be the matter? </w:t>
      </w:r>
      <w:r w:rsidRPr="007347C2">
        <w:rPr>
          <w:i/>
          <w:iCs/>
          <w:color w:val="000000"/>
          <w:lang w:val="en-US"/>
        </w:rPr>
        <w:t>Journal of Cleaner Production, 14</w:t>
      </w:r>
      <w:r w:rsidRPr="007347C2">
        <w:rPr>
          <w:color w:val="000000"/>
          <w:lang w:val="en-US"/>
        </w:rPr>
        <w:t>(9–11), 810–819.</w:t>
      </w:r>
      <w:hyperlink r:id="rId70" w:history="1">
        <w:r w:rsidRPr="007347C2">
          <w:rPr>
            <w:rStyle w:val="Lienhypertexte"/>
            <w:color w:val="000000"/>
            <w:lang w:val="en-US"/>
          </w:rPr>
          <w:t xml:space="preserve"> </w:t>
        </w:r>
        <w:r w:rsidRPr="007347C2">
          <w:rPr>
            <w:rStyle w:val="Lienhypertexte"/>
            <w:color w:val="1155CC"/>
            <w:lang w:val="en-US"/>
          </w:rPr>
          <w:t>https://doi.org/10.1016/j.jclepro.2005.12.008</w:t>
        </w:r>
      </w:hyperlink>
    </w:p>
    <w:p w14:paraId="62630AD8"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Washington-Ottombre, C. (2024). Campus sustainability, organizational learning and sustainability reporting: An empirical analysis. </w:t>
      </w:r>
      <w:r w:rsidRPr="007347C2">
        <w:rPr>
          <w:i/>
          <w:iCs/>
          <w:color w:val="000000"/>
          <w:lang w:val="en-US"/>
        </w:rPr>
        <w:t>International Journal of Sustainability in Higher Education</w:t>
      </w:r>
      <w:r w:rsidRPr="007347C2">
        <w:rPr>
          <w:color w:val="000000"/>
          <w:lang w:val="en-US"/>
        </w:rPr>
        <w:t>.</w:t>
      </w:r>
      <w:hyperlink r:id="rId71" w:history="1">
        <w:r w:rsidRPr="007347C2">
          <w:rPr>
            <w:rStyle w:val="Lienhypertexte"/>
            <w:color w:val="000000"/>
            <w:lang w:val="en-US"/>
          </w:rPr>
          <w:t xml:space="preserve"> </w:t>
        </w:r>
        <w:r w:rsidRPr="007347C2">
          <w:rPr>
            <w:rStyle w:val="Lienhypertexte"/>
            <w:color w:val="1155CC"/>
            <w:lang w:val="en-US"/>
          </w:rPr>
          <w:t>https://doi.org/10.1108/IJSHE-12-2022-0396</w:t>
        </w:r>
      </w:hyperlink>
    </w:p>
    <w:p w14:paraId="0CA3EADF"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Washington-Ottombre, C., &amp; Bigalke, S. (2018). An aggregated and dynamic analysis of innovations in campus sustainability. </w:t>
      </w:r>
      <w:r w:rsidRPr="007347C2">
        <w:rPr>
          <w:i/>
          <w:iCs/>
          <w:color w:val="000000"/>
          <w:lang w:val="en-US"/>
        </w:rPr>
        <w:t>International Journal of Sustainability in Higher Education</w:t>
      </w:r>
      <w:r w:rsidRPr="007347C2">
        <w:rPr>
          <w:color w:val="000000"/>
          <w:lang w:val="en-US"/>
        </w:rPr>
        <w:t>.</w:t>
      </w:r>
      <w:hyperlink r:id="rId72" w:history="1">
        <w:r w:rsidRPr="007347C2">
          <w:rPr>
            <w:rStyle w:val="Lienhypertexte"/>
            <w:color w:val="000000"/>
            <w:lang w:val="en-US"/>
          </w:rPr>
          <w:t xml:space="preserve"> </w:t>
        </w:r>
        <w:r w:rsidRPr="007347C2">
          <w:rPr>
            <w:rStyle w:val="Lienhypertexte"/>
            <w:color w:val="1155CC"/>
            <w:lang w:val="en-US"/>
          </w:rPr>
          <w:t>https://doi.org/10.1108/IJSHE-05-2017-0071</w:t>
        </w:r>
      </w:hyperlink>
    </w:p>
    <w:p w14:paraId="07761DCB"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White, S. S. (2014). Campus sustainability plans in the United States: Where, what, and how to evaluate? </w:t>
      </w:r>
      <w:r w:rsidRPr="007347C2">
        <w:rPr>
          <w:i/>
          <w:iCs/>
          <w:color w:val="000000"/>
          <w:lang w:val="en-US"/>
        </w:rPr>
        <w:t>International Journal of Sustainability in Higher Education</w:t>
      </w:r>
      <w:r w:rsidRPr="007347C2">
        <w:rPr>
          <w:color w:val="000000"/>
          <w:lang w:val="en-US"/>
        </w:rPr>
        <w:t>.</w:t>
      </w:r>
      <w:hyperlink r:id="rId73" w:history="1">
        <w:r w:rsidRPr="007347C2">
          <w:rPr>
            <w:rStyle w:val="Lienhypertexte"/>
            <w:color w:val="000000"/>
            <w:lang w:val="en-US"/>
          </w:rPr>
          <w:t xml:space="preserve"> </w:t>
        </w:r>
        <w:r w:rsidRPr="007347C2">
          <w:rPr>
            <w:rStyle w:val="Lienhypertexte"/>
            <w:color w:val="1155CC"/>
            <w:lang w:val="en-US"/>
          </w:rPr>
          <w:t>https://doi.org/10.1108/IJSHE-08-2012-0075</w:t>
        </w:r>
      </w:hyperlink>
    </w:p>
    <w:p w14:paraId="5961B1BD" w14:textId="09ED7FF8"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Yasin, G., Shoaib, M., Nawaz, M. F., Aziz, S., Azhar, M. F., Imtiaz, M. T., &amp; Gul, S. (2024). Assessing the role of public institutions in carbon sequestration through woody </w:t>
      </w:r>
      <w:r w:rsidRPr="007347C2">
        <w:rPr>
          <w:color w:val="000000"/>
          <w:lang w:val="en-US"/>
        </w:rPr>
        <w:lastRenderedPageBreak/>
        <w:t xml:space="preserve">vegetation under arid conditions: A case study of Bahauddin Zakriya University, Multan, Pakistan. </w:t>
      </w:r>
      <w:r w:rsidRPr="007347C2">
        <w:rPr>
          <w:i/>
          <w:iCs/>
          <w:color w:val="000000"/>
          <w:lang w:val="en-US"/>
        </w:rPr>
        <w:t>Pakistan Journal of Botany, 56</w:t>
      </w:r>
      <w:r w:rsidRPr="007347C2">
        <w:rPr>
          <w:color w:val="000000"/>
          <w:lang w:val="en-US"/>
        </w:rPr>
        <w:t>(5).</w:t>
      </w:r>
      <w:hyperlink r:id="rId74" w:history="1">
        <w:r w:rsidRPr="007347C2">
          <w:rPr>
            <w:rStyle w:val="Lienhypertexte"/>
            <w:color w:val="000000"/>
            <w:lang w:val="en-US"/>
          </w:rPr>
          <w:t xml:space="preserve"> </w:t>
        </w:r>
        <w:r w:rsidRPr="007347C2">
          <w:rPr>
            <w:rStyle w:val="Lienhypertexte"/>
            <w:color w:val="1155CC"/>
            <w:lang w:val="en-US"/>
          </w:rPr>
          <w:t>https://doi.org/10.30848/PJB2024-5(41)</w:t>
        </w:r>
      </w:hyperlink>
    </w:p>
    <w:p w14:paraId="775303CA" w14:textId="1A2D92E2" w:rsidR="007347C2" w:rsidRPr="007347C2" w:rsidRDefault="007347C2" w:rsidP="007347C2">
      <w:pPr>
        <w:spacing w:before="240" w:after="240"/>
        <w:rPr>
          <w:rFonts w:ascii="Times New Roman" w:eastAsia="Times New Roman" w:hAnsi="Times New Roman" w:cs="Times New Roman"/>
          <w:b/>
          <w:bCs/>
          <w:sz w:val="28"/>
          <w:szCs w:val="28"/>
          <w:lang w:val="en-GB"/>
        </w:rPr>
      </w:pPr>
      <w:r w:rsidRPr="00D16435">
        <w:rPr>
          <w:lang w:val="en-US"/>
        </w:rPr>
        <w:t xml:space="preserve">Yin, R. K. (2018). </w:t>
      </w:r>
      <w:r w:rsidRPr="00D16435">
        <w:rPr>
          <w:rStyle w:val="Accentuation"/>
          <w:lang w:val="en-US"/>
        </w:rPr>
        <w:t>Case Study Research and Applications: Design and Methods</w:t>
      </w:r>
      <w:r w:rsidRPr="00D16435">
        <w:rPr>
          <w:lang w:val="en-US"/>
        </w:rPr>
        <w:t xml:space="preserve"> (6th ed.). </w:t>
      </w:r>
      <w:r>
        <w:t>Thousand Oaks, CA: Sage Publications.</w:t>
      </w:r>
    </w:p>
    <w:p w14:paraId="13EC73F5"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Zen, I. S., Subramaniam, D., Sulaiman, H., Saleh, A., Omar, W., &amp; Salim, M. R. (2016). Institutionalize waste minimization governance towards campus sustainability: A case study of green office initiatives in Universiti Teknologi Malaysia. </w:t>
      </w:r>
      <w:r w:rsidRPr="007347C2">
        <w:rPr>
          <w:i/>
          <w:iCs/>
          <w:color w:val="000000"/>
          <w:lang w:val="en-US"/>
        </w:rPr>
        <w:t>Journal of Cleaner Production, 135</w:t>
      </w:r>
      <w:r w:rsidRPr="007347C2">
        <w:rPr>
          <w:color w:val="000000"/>
          <w:lang w:val="en-US"/>
        </w:rPr>
        <w:t>, 1407–1422.</w:t>
      </w:r>
      <w:hyperlink r:id="rId75" w:history="1">
        <w:r w:rsidRPr="007347C2">
          <w:rPr>
            <w:rStyle w:val="Lienhypertexte"/>
            <w:color w:val="000000"/>
            <w:lang w:val="en-US"/>
          </w:rPr>
          <w:t xml:space="preserve"> </w:t>
        </w:r>
        <w:r w:rsidRPr="007347C2">
          <w:rPr>
            <w:rStyle w:val="Lienhypertexte"/>
            <w:color w:val="1155CC"/>
            <w:lang w:val="en-US"/>
          </w:rPr>
          <w:t>https://doi.org/10.1016/j.jclepro.2016.07.053</w:t>
        </w:r>
      </w:hyperlink>
    </w:p>
    <w:p w14:paraId="71293EBD"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Zhao, W., &amp; Zou, Y. (2023). Students’ awareness, expectations, and perceptions about sustainability: A case study in an ordinary university in China. </w:t>
      </w:r>
      <w:r w:rsidRPr="007347C2">
        <w:rPr>
          <w:i/>
          <w:iCs/>
          <w:color w:val="000000"/>
          <w:lang w:val="en-US"/>
        </w:rPr>
        <w:t>Journal of Green Building, 18</w:t>
      </w:r>
      <w:r w:rsidRPr="007347C2">
        <w:rPr>
          <w:color w:val="000000"/>
          <w:lang w:val="en-US"/>
        </w:rPr>
        <w:t>(4), 79–96.</w:t>
      </w:r>
      <w:hyperlink r:id="rId76" w:history="1">
        <w:r w:rsidRPr="007347C2">
          <w:rPr>
            <w:rStyle w:val="Lienhypertexte"/>
            <w:color w:val="000000"/>
            <w:lang w:val="en-US"/>
          </w:rPr>
          <w:t xml:space="preserve"> </w:t>
        </w:r>
        <w:r w:rsidRPr="007347C2">
          <w:rPr>
            <w:rStyle w:val="Lienhypertexte"/>
            <w:color w:val="1155CC"/>
            <w:lang w:val="en-US"/>
          </w:rPr>
          <w:t>https://doi.org/10.3992/jgb.18.4.79</w:t>
        </w:r>
      </w:hyperlink>
    </w:p>
    <w:p w14:paraId="5658D677" w14:textId="77777777" w:rsidR="007347C2" w:rsidRPr="007347C2" w:rsidRDefault="007347C2" w:rsidP="007347C2">
      <w:pPr>
        <w:pStyle w:val="NormalWeb"/>
        <w:spacing w:before="0" w:beforeAutospacing="0" w:after="0" w:afterAutospacing="0"/>
        <w:ind w:firstLine="567"/>
        <w:rPr>
          <w:lang w:val="en-US"/>
        </w:rPr>
      </w:pPr>
      <w:r w:rsidRPr="007347C2">
        <w:rPr>
          <w:color w:val="000000"/>
          <w:lang w:val="en-US"/>
        </w:rPr>
        <w:t xml:space="preserve">Zhu, B. F., &amp; Dewancker, B. (2021). A case study on the suitability of STARS for green campus in China. </w:t>
      </w:r>
      <w:r w:rsidRPr="007347C2">
        <w:rPr>
          <w:i/>
          <w:iCs/>
          <w:color w:val="000000"/>
          <w:lang w:val="en-US"/>
        </w:rPr>
        <w:t>Evaluation and Program Planning, 84</w:t>
      </w:r>
      <w:r w:rsidRPr="007347C2">
        <w:rPr>
          <w:color w:val="000000"/>
          <w:lang w:val="en-US"/>
        </w:rPr>
        <w:t>, 101893.</w:t>
      </w:r>
      <w:hyperlink r:id="rId77" w:history="1">
        <w:r w:rsidRPr="007347C2">
          <w:rPr>
            <w:rStyle w:val="Lienhypertexte"/>
            <w:color w:val="000000"/>
            <w:lang w:val="en-US"/>
          </w:rPr>
          <w:t xml:space="preserve"> </w:t>
        </w:r>
        <w:r w:rsidRPr="007347C2">
          <w:rPr>
            <w:rStyle w:val="Lienhypertexte"/>
            <w:color w:val="1155CC"/>
            <w:lang w:val="en-US"/>
          </w:rPr>
          <w:t>https://doi.org/10.1016/j.evalprogplan.2020.101893</w:t>
        </w:r>
      </w:hyperlink>
    </w:p>
    <w:p w14:paraId="29286C2C" w14:textId="77777777" w:rsidR="007347C2" w:rsidRDefault="007347C2" w:rsidP="007347C2">
      <w:pPr>
        <w:pStyle w:val="NormalWeb"/>
        <w:spacing w:before="0" w:beforeAutospacing="0" w:after="0" w:afterAutospacing="0"/>
        <w:ind w:firstLine="567"/>
      </w:pPr>
      <w:r w:rsidRPr="007347C2">
        <w:rPr>
          <w:color w:val="000000"/>
          <w:lang w:val="en-US"/>
        </w:rPr>
        <w:t xml:space="preserve">Zhu, B. F., &amp; Liu, G. B. (2025). The development model of sustainable campus based on green buildings: A systematic comparative study between Japan and China. </w:t>
      </w:r>
      <w:r>
        <w:rPr>
          <w:i/>
          <w:iCs/>
          <w:color w:val="000000"/>
        </w:rPr>
        <w:t>Engineering, Construction and Architectural Management</w:t>
      </w:r>
      <w:r>
        <w:rPr>
          <w:color w:val="000000"/>
        </w:rPr>
        <w:t>.</w:t>
      </w:r>
      <w:hyperlink r:id="rId78" w:history="1">
        <w:r>
          <w:rPr>
            <w:rStyle w:val="Lienhypertexte"/>
            <w:color w:val="000000"/>
          </w:rPr>
          <w:t xml:space="preserve"> </w:t>
        </w:r>
        <w:r>
          <w:rPr>
            <w:rStyle w:val="Lienhypertexte"/>
            <w:color w:val="1155CC"/>
          </w:rPr>
          <w:t>https://doi.org/10.1108/ECAM-03-2022-0236</w:t>
        </w:r>
      </w:hyperlink>
    </w:p>
    <w:p w14:paraId="50F082E3" w14:textId="77777777" w:rsidR="007347C2" w:rsidRDefault="007347C2">
      <w:pPr>
        <w:spacing w:before="240" w:after="240"/>
        <w:rPr>
          <w:rFonts w:ascii="Times New Roman" w:eastAsia="Times New Roman" w:hAnsi="Times New Roman" w:cs="Times New Roman"/>
          <w:b/>
          <w:bCs/>
          <w:sz w:val="28"/>
          <w:szCs w:val="28"/>
          <w:lang w:val="en-GB"/>
        </w:rPr>
      </w:pPr>
    </w:p>
    <w:p w14:paraId="5F404513" w14:textId="77777777" w:rsidR="007B7487" w:rsidRPr="0048733A" w:rsidRDefault="007B7487">
      <w:pPr>
        <w:spacing w:before="240" w:after="240"/>
        <w:rPr>
          <w:rFonts w:ascii="Times New Roman" w:eastAsia="Times New Roman" w:hAnsi="Times New Roman" w:cs="Times New Roman"/>
          <w:b/>
          <w:bCs/>
          <w:sz w:val="28"/>
          <w:szCs w:val="28"/>
          <w:lang w:val="en-GB"/>
        </w:rPr>
      </w:pPr>
    </w:p>
    <w:sectPr w:rsidR="007B7487" w:rsidRPr="0048733A" w:rsidSect="00400443">
      <w:pgSz w:w="11906" w:h="16838"/>
      <w:pgMar w:top="1417" w:right="1417" w:bottom="1417" w:left="1417"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3A432D" w14:textId="77777777" w:rsidR="00C12525" w:rsidRDefault="00C12525" w:rsidP="00790B96">
      <w:pPr>
        <w:spacing w:after="0" w:line="240" w:lineRule="auto"/>
      </w:pPr>
      <w:r>
        <w:separator/>
      </w:r>
    </w:p>
  </w:endnote>
  <w:endnote w:type="continuationSeparator" w:id="0">
    <w:p w14:paraId="0F84DB49" w14:textId="77777777" w:rsidR="00C12525" w:rsidRDefault="00C12525" w:rsidP="00790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embedRegular r:id="rId1" w:fontKey="{84E9C24D-7930-4DA6-BBD9-014C3C0895FC}"/>
    <w:embedBold r:id="rId2" w:fontKey="{F26FA3CE-DDFC-4921-98F9-ED643387D901}"/>
    <w:embedItalic r:id="rId3" w:fontKey="{647741CA-20DC-41AA-80BF-CA00F9374B78}"/>
    <w:embedBoldItalic r:id="rId4" w:fontKey="{F7C737B0-25FC-47C4-8B7B-8F4D18D64CFF}"/>
  </w:font>
  <w:font w:name="Calibri Light">
    <w:panose1 w:val="020F0302020204030204"/>
    <w:charset w:val="00"/>
    <w:family w:val="swiss"/>
    <w:pitch w:val="variable"/>
    <w:sig w:usb0="E0002AFF" w:usb1="C000247B" w:usb2="00000009" w:usb3="00000000" w:csb0="000001FF" w:csb1="00000000"/>
    <w:embedRegular r:id="rId5" w:fontKey="{59C00736-9A15-4BD9-AAF3-7D5F3338A2E5}"/>
    <w:embedItalic r:id="rId6" w:fontKey="{5A9A2399-EDBB-41BB-9B7B-4FD3B092274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5D2D9057-8832-410D-8A20-652642323629}"/>
  </w:font>
  <w:font w:name="Cambria Math">
    <w:panose1 w:val="02040503050406030204"/>
    <w:charset w:val="00"/>
    <w:family w:val="roman"/>
    <w:pitch w:val="variable"/>
    <w:sig w:usb0="E00006FF" w:usb1="420024FF" w:usb2="02000000" w:usb3="00000000" w:csb0="0000019F" w:csb1="00000000"/>
    <w:embedRegular r:id="rId8" w:fontKey="{4D7FCB28-95AC-41C4-BA56-8C8BC2244F5B}"/>
    <w:embedItalic r:id="rId9" w:fontKey="{A1D131A9-CE2E-4EAA-B792-E847F9FAF53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95D5D8" w14:textId="77777777" w:rsidR="00C12525" w:rsidRDefault="00C12525" w:rsidP="00790B96">
      <w:pPr>
        <w:spacing w:after="0" w:line="240" w:lineRule="auto"/>
      </w:pPr>
      <w:r>
        <w:separator/>
      </w:r>
    </w:p>
  </w:footnote>
  <w:footnote w:type="continuationSeparator" w:id="0">
    <w:p w14:paraId="29ACB282" w14:textId="77777777" w:rsidR="00C12525" w:rsidRDefault="00C12525" w:rsidP="00790B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1"/>
    <w:multiLevelType w:val="multilevel"/>
    <w:tmpl w:val="6C3244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A6E5447"/>
    <w:multiLevelType w:val="multilevel"/>
    <w:tmpl w:val="F8E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F0238"/>
    <w:multiLevelType w:val="hybridMultilevel"/>
    <w:tmpl w:val="CDB07FCC"/>
    <w:lvl w:ilvl="0" w:tplc="538A478A">
      <w:start w:val="4"/>
      <w:numFmt w:val="bullet"/>
      <w:lvlText w:val="-"/>
      <w:lvlJc w:val="left"/>
      <w:pPr>
        <w:ind w:left="420" w:hanging="360"/>
      </w:pPr>
      <w:rPr>
        <w:rFonts w:ascii="Times New Roman" w:eastAsia="Times New Roman" w:hAnsi="Times New Roman" w:cs="Times New Roman"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3" w15:restartNumberingAfterBreak="0">
    <w:nsid w:val="4A1554F7"/>
    <w:multiLevelType w:val="multilevel"/>
    <w:tmpl w:val="2E386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60597624"/>
    <w:multiLevelType w:val="multilevel"/>
    <w:tmpl w:val="271CD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737"/>
    <w:rsid w:val="00080FA9"/>
    <w:rsid w:val="00085816"/>
    <w:rsid w:val="000B17E4"/>
    <w:rsid w:val="0022362C"/>
    <w:rsid w:val="00400443"/>
    <w:rsid w:val="00480102"/>
    <w:rsid w:val="0048733A"/>
    <w:rsid w:val="006F5A68"/>
    <w:rsid w:val="007347C2"/>
    <w:rsid w:val="00790B96"/>
    <w:rsid w:val="007B7487"/>
    <w:rsid w:val="00810737"/>
    <w:rsid w:val="0082774C"/>
    <w:rsid w:val="00855456"/>
    <w:rsid w:val="00A13B45"/>
    <w:rsid w:val="00C01296"/>
    <w:rsid w:val="00C06609"/>
    <w:rsid w:val="00C12525"/>
    <w:rsid w:val="00D16435"/>
    <w:rsid w:val="00DA0F40"/>
    <w:rsid w:val="00EA020D"/>
    <w:rsid w:val="00FD272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B9530"/>
  <w15:docId w15:val="{C643D1AD-566F-4246-9322-BE1C22C1B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240" w:after="0"/>
      <w:outlineLvl w:val="0"/>
    </w:pPr>
    <w:rPr>
      <w:color w:val="2F5496"/>
      <w:sz w:val="32"/>
      <w:szCs w:val="32"/>
    </w:rPr>
  </w:style>
  <w:style w:type="paragraph" w:styleId="Titre2">
    <w:name w:val="heading 2"/>
    <w:basedOn w:val="Normal"/>
    <w:next w:val="Normal"/>
    <w:uiPriority w:val="9"/>
    <w:unhideWhenUsed/>
    <w:qFormat/>
    <w:pPr>
      <w:keepNext/>
      <w:keepLines/>
      <w:spacing w:before="40" w:after="0"/>
      <w:outlineLvl w:val="1"/>
    </w:pPr>
    <w:rPr>
      <w:color w:val="2F5496"/>
      <w:sz w:val="26"/>
      <w:szCs w:val="26"/>
    </w:rPr>
  </w:style>
  <w:style w:type="paragraph" w:styleId="Titre3">
    <w:name w:val="heading 3"/>
    <w:basedOn w:val="Normal"/>
    <w:next w:val="Normal"/>
    <w:uiPriority w:val="9"/>
    <w:unhideWhenUsed/>
    <w:qFormat/>
    <w:pPr>
      <w:spacing w:line="240" w:lineRule="auto"/>
      <w:outlineLvl w:val="2"/>
    </w:pPr>
    <w:rPr>
      <w:rFonts w:ascii="Times New Roman" w:eastAsia="Times New Roman" w:hAnsi="Times New Roman" w:cs="Times New Roman"/>
      <w:b/>
      <w:bCs/>
      <w:sz w:val="27"/>
      <w:szCs w:val="27"/>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NormalWeb">
    <w:name w:val="Normal (Web)"/>
    <w:basedOn w:val="Normal"/>
    <w:uiPriority w:val="99"/>
    <w:unhideWhenUsed/>
    <w:rsid w:val="005E27C3"/>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5E27C3"/>
    <w:rPr>
      <w:b/>
      <w:bCs/>
    </w:rPr>
  </w:style>
  <w:style w:type="character" w:customStyle="1" w:styleId="Titre3Car">
    <w:name w:val="Titre 3 Car"/>
    <w:basedOn w:val="Policepardfaut"/>
    <w:uiPriority w:val="9"/>
    <w:rsid w:val="005E27C3"/>
    <w:rPr>
      <w:rFonts w:ascii="Times New Roman" w:eastAsia="Times New Roman" w:hAnsi="Times New Roman" w:cs="Times New Roman"/>
      <w:b/>
      <w:bCs/>
      <w:sz w:val="27"/>
      <w:szCs w:val="27"/>
      <w:lang w:eastAsia="fr-FR"/>
    </w:rPr>
  </w:style>
  <w:style w:type="paragraph" w:styleId="Paragraphedeliste">
    <w:name w:val="List Paragraph"/>
    <w:basedOn w:val="Normal"/>
    <w:uiPriority w:val="34"/>
    <w:qFormat/>
    <w:rsid w:val="00DD1D64"/>
    <w:pPr>
      <w:ind w:left="720"/>
      <w:contextualSpacing/>
    </w:pPr>
  </w:style>
  <w:style w:type="character" w:styleId="Lienhypertexte">
    <w:name w:val="Hyperlink"/>
    <w:basedOn w:val="Policepardfaut"/>
    <w:uiPriority w:val="99"/>
    <w:semiHidden/>
    <w:unhideWhenUsed/>
    <w:rsid w:val="0020034B"/>
    <w:rPr>
      <w:color w:val="0000FF"/>
      <w:u w:val="single"/>
    </w:rPr>
  </w:style>
  <w:style w:type="character" w:customStyle="1" w:styleId="Titre1Car">
    <w:name w:val="Titre 1 Car"/>
    <w:basedOn w:val="Policepardfaut"/>
    <w:uiPriority w:val="9"/>
    <w:rsid w:val="00264315"/>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uiPriority w:val="9"/>
    <w:rsid w:val="00131312"/>
    <w:rPr>
      <w:rFonts w:asciiTheme="majorHAnsi" w:eastAsiaTheme="majorEastAsia" w:hAnsiTheme="majorHAnsi" w:cstheme="majorBidi"/>
      <w:color w:val="2F5496" w:themeColor="accent1" w:themeShade="BF"/>
      <w:sz w:val="26"/>
      <w:szCs w:val="26"/>
    </w:rPr>
  </w:style>
  <w:style w:type="character" w:styleId="Accentuation">
    <w:name w:val="Emphasis"/>
    <w:basedOn w:val="Policepardfaut"/>
    <w:uiPriority w:val="20"/>
    <w:qFormat/>
    <w:rsid w:val="00A93639"/>
    <w:rPr>
      <w:i/>
      <w:iCs/>
    </w:rPr>
  </w:style>
  <w:style w:type="paragraph" w:styleId="En-tte">
    <w:name w:val="header"/>
    <w:basedOn w:val="Normal"/>
    <w:link w:val="En-tteCar"/>
    <w:uiPriority w:val="99"/>
    <w:unhideWhenUsed/>
    <w:rsid w:val="00A1505E"/>
    <w:pPr>
      <w:tabs>
        <w:tab w:val="center" w:pos="4536"/>
        <w:tab w:val="right" w:pos="9072"/>
      </w:tabs>
      <w:spacing w:after="0" w:line="240" w:lineRule="auto"/>
    </w:pPr>
  </w:style>
  <w:style w:type="character" w:customStyle="1" w:styleId="En-tteCar">
    <w:name w:val="En-tête Car"/>
    <w:basedOn w:val="Policepardfaut"/>
    <w:link w:val="En-tte"/>
    <w:uiPriority w:val="99"/>
    <w:rsid w:val="00A1505E"/>
  </w:style>
  <w:style w:type="paragraph" w:styleId="Pieddepage">
    <w:name w:val="footer"/>
    <w:basedOn w:val="Normal"/>
    <w:link w:val="PieddepageCar"/>
    <w:uiPriority w:val="99"/>
    <w:unhideWhenUsed/>
    <w:rsid w:val="00A1505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1505E"/>
  </w:style>
  <w:style w:type="table" w:styleId="Tableausimple5">
    <w:name w:val="Plain Table 5"/>
    <w:basedOn w:val="TableauNormal"/>
    <w:uiPriority w:val="45"/>
    <w:rsid w:val="002B7BA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z-Hautduformulaire">
    <w:name w:val="HTML Top of Form"/>
    <w:basedOn w:val="Normal"/>
    <w:next w:val="Normal"/>
    <w:link w:val="z-HautduformulaireCar"/>
    <w:hidden/>
    <w:uiPriority w:val="99"/>
    <w:semiHidden/>
    <w:unhideWhenUsed/>
    <w:rsid w:val="0049086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HautduformulaireCar">
    <w:name w:val="z-Haut du formulaire Car"/>
    <w:basedOn w:val="Policepardfaut"/>
    <w:link w:val="z-Hautduformulaire"/>
    <w:uiPriority w:val="99"/>
    <w:semiHidden/>
    <w:rsid w:val="00490861"/>
    <w:rPr>
      <w:rFonts w:ascii="Arial" w:eastAsia="Times New Roman" w:hAnsi="Arial" w:cs="Arial"/>
      <w:vanish/>
      <w:sz w:val="16"/>
      <w:szCs w:val="16"/>
      <w:lang w:eastAsia="fr-FR"/>
    </w:rPr>
  </w:style>
  <w:style w:type="paragraph" w:customStyle="1" w:styleId="placeholder">
    <w:name w:val="placeholder"/>
    <w:basedOn w:val="Normal"/>
    <w:rsid w:val="00490861"/>
    <w:pPr>
      <w:spacing w:before="100" w:beforeAutospacing="1" w:after="100" w:afterAutospacing="1" w:line="240" w:lineRule="auto"/>
    </w:pPr>
    <w:rPr>
      <w:rFonts w:ascii="Times New Roman" w:eastAsia="Times New Roman" w:hAnsi="Times New Roman" w:cs="Times New Roman"/>
      <w:sz w:val="24"/>
      <w:szCs w:val="24"/>
    </w:rPr>
  </w:style>
  <w:style w:type="paragraph" w:styleId="z-Basduformulaire">
    <w:name w:val="HTML Bottom of Form"/>
    <w:basedOn w:val="Normal"/>
    <w:next w:val="Normal"/>
    <w:link w:val="z-BasduformulaireCar"/>
    <w:hidden/>
    <w:uiPriority w:val="99"/>
    <w:semiHidden/>
    <w:unhideWhenUsed/>
    <w:rsid w:val="0049086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490861"/>
    <w:rPr>
      <w:rFonts w:ascii="Arial" w:eastAsia="Times New Roman" w:hAnsi="Arial" w:cs="Arial"/>
      <w:vanish/>
      <w:sz w:val="16"/>
      <w:szCs w:val="16"/>
      <w:lang w:eastAsia="fr-FR"/>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paragraph" w:styleId="Corpsdetexte">
    <w:name w:val="Body Text"/>
    <w:basedOn w:val="Normal"/>
    <w:link w:val="CorpsdetexteCar"/>
    <w:qFormat/>
    <w:rsid w:val="00480102"/>
    <w:pPr>
      <w:spacing w:before="180" w:after="180" w:line="240" w:lineRule="auto"/>
    </w:pPr>
    <w:rPr>
      <w:rFonts w:asciiTheme="minorHAnsi" w:eastAsiaTheme="minorEastAsia" w:hAnsiTheme="minorHAnsi" w:cstheme="minorBidi"/>
      <w:sz w:val="24"/>
      <w:szCs w:val="24"/>
      <w:lang w:val="en-US" w:eastAsia="zh-CN"/>
    </w:rPr>
  </w:style>
  <w:style w:type="character" w:customStyle="1" w:styleId="CorpsdetexteCar">
    <w:name w:val="Corps de texte Car"/>
    <w:basedOn w:val="Policepardfaut"/>
    <w:link w:val="Corpsdetexte"/>
    <w:rsid w:val="00480102"/>
    <w:rPr>
      <w:rFonts w:asciiTheme="minorHAnsi" w:eastAsiaTheme="minorEastAsia" w:hAnsiTheme="minorHAnsi" w:cstheme="minorBidi"/>
      <w:sz w:val="24"/>
      <w:szCs w:val="24"/>
      <w:lang w:val="en-US" w:eastAsia="zh-CN"/>
    </w:rPr>
  </w:style>
  <w:style w:type="paragraph" w:customStyle="1" w:styleId="FirstParagraph">
    <w:name w:val="First Paragraph"/>
    <w:basedOn w:val="Corpsdetexte"/>
    <w:next w:val="Corpsdetexte"/>
    <w:qFormat/>
    <w:rsid w:val="004801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018900">
      <w:bodyDiv w:val="1"/>
      <w:marLeft w:val="0"/>
      <w:marRight w:val="0"/>
      <w:marTop w:val="0"/>
      <w:marBottom w:val="0"/>
      <w:divBdr>
        <w:top w:val="none" w:sz="0" w:space="0" w:color="auto"/>
        <w:left w:val="none" w:sz="0" w:space="0" w:color="auto"/>
        <w:bottom w:val="none" w:sz="0" w:space="0" w:color="auto"/>
        <w:right w:val="none" w:sz="0" w:space="0" w:color="auto"/>
      </w:divBdr>
    </w:div>
    <w:div w:id="98453698">
      <w:bodyDiv w:val="1"/>
      <w:marLeft w:val="0"/>
      <w:marRight w:val="0"/>
      <w:marTop w:val="0"/>
      <w:marBottom w:val="0"/>
      <w:divBdr>
        <w:top w:val="none" w:sz="0" w:space="0" w:color="auto"/>
        <w:left w:val="none" w:sz="0" w:space="0" w:color="auto"/>
        <w:bottom w:val="none" w:sz="0" w:space="0" w:color="auto"/>
        <w:right w:val="none" w:sz="0" w:space="0" w:color="auto"/>
      </w:divBdr>
    </w:div>
    <w:div w:id="577910275">
      <w:bodyDiv w:val="1"/>
      <w:marLeft w:val="0"/>
      <w:marRight w:val="0"/>
      <w:marTop w:val="0"/>
      <w:marBottom w:val="0"/>
      <w:divBdr>
        <w:top w:val="none" w:sz="0" w:space="0" w:color="auto"/>
        <w:left w:val="none" w:sz="0" w:space="0" w:color="auto"/>
        <w:bottom w:val="none" w:sz="0" w:space="0" w:color="auto"/>
        <w:right w:val="none" w:sz="0" w:space="0" w:color="auto"/>
      </w:divBdr>
    </w:div>
    <w:div w:id="719747437">
      <w:bodyDiv w:val="1"/>
      <w:marLeft w:val="0"/>
      <w:marRight w:val="0"/>
      <w:marTop w:val="0"/>
      <w:marBottom w:val="0"/>
      <w:divBdr>
        <w:top w:val="none" w:sz="0" w:space="0" w:color="auto"/>
        <w:left w:val="none" w:sz="0" w:space="0" w:color="auto"/>
        <w:bottom w:val="none" w:sz="0" w:space="0" w:color="auto"/>
        <w:right w:val="none" w:sz="0" w:space="0" w:color="auto"/>
      </w:divBdr>
    </w:div>
    <w:div w:id="921185472">
      <w:bodyDiv w:val="1"/>
      <w:marLeft w:val="0"/>
      <w:marRight w:val="0"/>
      <w:marTop w:val="0"/>
      <w:marBottom w:val="0"/>
      <w:divBdr>
        <w:top w:val="none" w:sz="0" w:space="0" w:color="auto"/>
        <w:left w:val="none" w:sz="0" w:space="0" w:color="auto"/>
        <w:bottom w:val="none" w:sz="0" w:space="0" w:color="auto"/>
        <w:right w:val="none" w:sz="0" w:space="0" w:color="auto"/>
      </w:divBdr>
    </w:div>
    <w:div w:id="1161193952">
      <w:bodyDiv w:val="1"/>
      <w:marLeft w:val="0"/>
      <w:marRight w:val="0"/>
      <w:marTop w:val="0"/>
      <w:marBottom w:val="0"/>
      <w:divBdr>
        <w:top w:val="none" w:sz="0" w:space="0" w:color="auto"/>
        <w:left w:val="none" w:sz="0" w:space="0" w:color="auto"/>
        <w:bottom w:val="none" w:sz="0" w:space="0" w:color="auto"/>
        <w:right w:val="none" w:sz="0" w:space="0" w:color="auto"/>
      </w:divBdr>
    </w:div>
    <w:div w:id="1292400442">
      <w:bodyDiv w:val="1"/>
      <w:marLeft w:val="0"/>
      <w:marRight w:val="0"/>
      <w:marTop w:val="0"/>
      <w:marBottom w:val="0"/>
      <w:divBdr>
        <w:top w:val="none" w:sz="0" w:space="0" w:color="auto"/>
        <w:left w:val="none" w:sz="0" w:space="0" w:color="auto"/>
        <w:bottom w:val="none" w:sz="0" w:space="0" w:color="auto"/>
        <w:right w:val="none" w:sz="0" w:space="0" w:color="auto"/>
      </w:divBdr>
    </w:div>
    <w:div w:id="1301616768">
      <w:bodyDiv w:val="1"/>
      <w:marLeft w:val="0"/>
      <w:marRight w:val="0"/>
      <w:marTop w:val="0"/>
      <w:marBottom w:val="0"/>
      <w:divBdr>
        <w:top w:val="none" w:sz="0" w:space="0" w:color="auto"/>
        <w:left w:val="none" w:sz="0" w:space="0" w:color="auto"/>
        <w:bottom w:val="none" w:sz="0" w:space="0" w:color="auto"/>
        <w:right w:val="none" w:sz="0" w:space="0" w:color="auto"/>
      </w:divBdr>
    </w:div>
    <w:div w:id="1434982308">
      <w:bodyDiv w:val="1"/>
      <w:marLeft w:val="0"/>
      <w:marRight w:val="0"/>
      <w:marTop w:val="0"/>
      <w:marBottom w:val="0"/>
      <w:divBdr>
        <w:top w:val="none" w:sz="0" w:space="0" w:color="auto"/>
        <w:left w:val="none" w:sz="0" w:space="0" w:color="auto"/>
        <w:bottom w:val="none" w:sz="0" w:space="0" w:color="auto"/>
        <w:right w:val="none" w:sz="0" w:space="0" w:color="auto"/>
      </w:divBdr>
    </w:div>
    <w:div w:id="1487816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30892/gtg.52109-1190" TargetMode="External"/><Relationship Id="rId18" Type="http://schemas.openxmlformats.org/officeDocument/2006/relationships/hyperlink" Target="https://doi.org/10.1016/j.csite.2025.105907" TargetMode="External"/><Relationship Id="rId26" Type="http://schemas.openxmlformats.org/officeDocument/2006/relationships/hyperlink" Target="https://doi.org/10.1016/j.solcom.2024.100100" TargetMode="External"/><Relationship Id="rId39" Type="http://schemas.openxmlformats.org/officeDocument/2006/relationships/hyperlink" Target="https://doi.org/10.1109/ROMA66616.2025.11155732" TargetMode="External"/><Relationship Id="rId21" Type="http://schemas.openxmlformats.org/officeDocument/2006/relationships/hyperlink" Target="https://doi.org/10.1016/j.jclepro.2018.01.213" TargetMode="External"/><Relationship Id="rId34" Type="http://schemas.openxmlformats.org/officeDocument/2006/relationships/hyperlink" Target="https://doi.org/10.1016/j.jclepro.2017.09.215" TargetMode="External"/><Relationship Id="rId42" Type="http://schemas.openxmlformats.org/officeDocument/2006/relationships/hyperlink" Target="https://doi.org/10.1016/j.jclepro.2025.146154" TargetMode="External"/><Relationship Id="rId47" Type="http://schemas.openxmlformats.org/officeDocument/2006/relationships/hyperlink" Target="https://doi.org/10.1016/j.jclepro.2018.06.111" TargetMode="External"/><Relationship Id="rId50" Type="http://schemas.openxmlformats.org/officeDocument/2006/relationships/hyperlink" Target="https://doi.org/10.1088/1755-1315/1506/1/012001" TargetMode="External"/><Relationship Id="rId55" Type="http://schemas.openxmlformats.org/officeDocument/2006/relationships/hyperlink" Target="https://doi.org/10.3390/su11092694" TargetMode="External"/><Relationship Id="rId63" Type="http://schemas.openxmlformats.org/officeDocument/2006/relationships/hyperlink" Target="https://doi.org/10.1109/SEGE.2016.7589517" TargetMode="External"/><Relationship Id="rId68" Type="http://schemas.openxmlformats.org/officeDocument/2006/relationships/hyperlink" Target="https://doi.org/10.1108/SRJ-05-2021-0209" TargetMode="External"/><Relationship Id="rId76" Type="http://schemas.openxmlformats.org/officeDocument/2006/relationships/hyperlink" Target="https://doi.org/10.3992/jgb.18.4.79" TargetMode="External"/><Relationship Id="rId7" Type="http://schemas.openxmlformats.org/officeDocument/2006/relationships/footnotes" Target="footnotes.xml"/><Relationship Id="rId71" Type="http://schemas.openxmlformats.org/officeDocument/2006/relationships/hyperlink" Target="https://doi.org/10.1108/IJSHE-12-2022-0396" TargetMode="External"/><Relationship Id="rId2" Type="http://schemas.openxmlformats.org/officeDocument/2006/relationships/customXml" Target="../customXml/item2.xml"/><Relationship Id="rId16" Type="http://schemas.openxmlformats.org/officeDocument/2006/relationships/hyperlink" Target="https://doi.org/10.1016/j.jclepro.2019.119558" TargetMode="External"/><Relationship Id="rId29" Type="http://schemas.openxmlformats.org/officeDocument/2006/relationships/hyperlink" Target="https://doi.org/10.21697/seb.2024.5840" TargetMode="External"/><Relationship Id="rId11" Type="http://schemas.openxmlformats.org/officeDocument/2006/relationships/hyperlink" Target="https://doi.org/10.1007/s43621-024-00703-7" TargetMode="External"/><Relationship Id="rId24" Type="http://schemas.openxmlformats.org/officeDocument/2006/relationships/hyperlink" Target="https://doi.org/10.1007/s10163-025-02360-y" TargetMode="External"/><Relationship Id="rId32" Type="http://schemas.openxmlformats.org/officeDocument/2006/relationships/hyperlink" Target="https://doi.org/10.1016/j.landurbplan.2021.104259" TargetMode="External"/><Relationship Id="rId37" Type="http://schemas.openxmlformats.org/officeDocument/2006/relationships/hyperlink" Target="https://doi.org/10.1016/j.ecolind.2017.01.012" TargetMode="External"/><Relationship Id="rId40" Type="http://schemas.openxmlformats.org/officeDocument/2006/relationships/hyperlink" Target="https://doi.org/10.55214/25768484.v9i2.4766" TargetMode="External"/><Relationship Id="rId45" Type="http://schemas.openxmlformats.org/officeDocument/2006/relationships/hyperlink" Target="https://doi.org/10.1007/s10961-024-10181-8" TargetMode="External"/><Relationship Id="rId53" Type="http://schemas.openxmlformats.org/officeDocument/2006/relationships/hyperlink" Target="https://doi.org/10.1007/978-981-97-0751-5_21" TargetMode="External"/><Relationship Id="rId58" Type="http://schemas.openxmlformats.org/officeDocument/2006/relationships/hyperlink" Target="https://doi.org/10.3390/asi1030023" TargetMode="External"/><Relationship Id="rId66" Type="http://schemas.openxmlformats.org/officeDocument/2006/relationships/hyperlink" Target="https://doi.org/10.1109/IoT-SIU.2019.8777476" TargetMode="External"/><Relationship Id="rId74" Type="http://schemas.openxmlformats.org/officeDocument/2006/relationships/hyperlink" Target="https://doi.org/10.30848/PJB2024-5(41)" TargetMode="Externa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doi.org/10.1007/s12649-022-02004-4" TargetMode="External"/><Relationship Id="rId10" Type="http://schemas.openxmlformats.org/officeDocument/2006/relationships/hyperlink" Target="https://doi.org/10.1108/SRJ-05-2020-0170" TargetMode="External"/><Relationship Id="rId19" Type="http://schemas.openxmlformats.org/officeDocument/2006/relationships/hyperlink" Target="https://doi.org/10.1007/s11036-021-01742-4" TargetMode="External"/><Relationship Id="rId31" Type="http://schemas.openxmlformats.org/officeDocument/2006/relationships/hyperlink" Target="https://doi.org/10.1108/IJBPA-11-2021-0147" TargetMode="External"/><Relationship Id="rId44" Type="http://schemas.openxmlformats.org/officeDocument/2006/relationships/hyperlink" Target="https://doi.org/10.1108/IJSHE-09-2014-0129" TargetMode="External"/><Relationship Id="rId52" Type="http://schemas.openxmlformats.org/officeDocument/2006/relationships/hyperlink" Target="https://doi.org/10.1007/978-3-030-85969-5_64" TargetMode="External"/><Relationship Id="rId60" Type="http://schemas.openxmlformats.org/officeDocument/2006/relationships/hyperlink" Target="https://doi.org/10.1108/IJSHE-12-2022-0399" TargetMode="External"/><Relationship Id="rId65" Type="http://schemas.openxmlformats.org/officeDocument/2006/relationships/hyperlink" Target="https://doi.org/10.3390/su8010083" TargetMode="External"/><Relationship Id="rId73" Type="http://schemas.openxmlformats.org/officeDocument/2006/relationships/hyperlink" Target="https://doi.org/10.1108/IJSHE-08-2012-0075" TargetMode="External"/><Relationship Id="rId78" Type="http://schemas.openxmlformats.org/officeDocument/2006/relationships/hyperlink" Target="https://doi.org/10.1108/ECAM-03-2022-0236" TargetMode="External"/><Relationship Id="rId4" Type="http://schemas.openxmlformats.org/officeDocument/2006/relationships/styles" Target="styles.xml"/><Relationship Id="rId9" Type="http://schemas.openxmlformats.org/officeDocument/2006/relationships/hyperlink" Target="https://doi.org/10.3390/su12198008" TargetMode="External"/><Relationship Id="rId14" Type="http://schemas.openxmlformats.org/officeDocument/2006/relationships/hyperlink" Target="https://doi.org/10.1016/j.jclepro.2007.12.002" TargetMode="External"/><Relationship Id="rId22" Type="http://schemas.openxmlformats.org/officeDocument/2006/relationships/hyperlink" Target="https://doi.org/10.1016/j.progress.2023.100827" TargetMode="External"/><Relationship Id="rId27" Type="http://schemas.openxmlformats.org/officeDocument/2006/relationships/hyperlink" Target="https://doi.org/10.1007/978-3-319-02375-5_1" TargetMode="External"/><Relationship Id="rId30" Type="http://schemas.openxmlformats.org/officeDocument/2006/relationships/hyperlink" Target="https://doi.org/10.3390/socsci11010024" TargetMode="External"/><Relationship Id="rId35" Type="http://schemas.openxmlformats.org/officeDocument/2006/relationships/hyperlink" Target="https://doi.org/10.3390/su13020629" TargetMode="External"/><Relationship Id="rId43" Type="http://schemas.openxmlformats.org/officeDocument/2006/relationships/hyperlink" Target="https://doi.org/10.1016/j.jclepro.2022.131333" TargetMode="External"/><Relationship Id="rId48" Type="http://schemas.openxmlformats.org/officeDocument/2006/relationships/hyperlink" Target="https://doi.org/10.3390/buildings15121993" TargetMode="External"/><Relationship Id="rId56" Type="http://schemas.openxmlformats.org/officeDocument/2006/relationships/hyperlink" Target="https://doi.org/10.1108/IJSHE-08-2022-0280" TargetMode="External"/><Relationship Id="rId64" Type="http://schemas.openxmlformats.org/officeDocument/2006/relationships/hyperlink" Target="https://doi.org/10.1108/IJSHE-11-2013-0147" TargetMode="External"/><Relationship Id="rId69" Type="http://schemas.openxmlformats.org/officeDocument/2006/relationships/hyperlink" Target="https://doi.org/10.1007/s10668-014-9564-3" TargetMode="External"/><Relationship Id="rId77" Type="http://schemas.openxmlformats.org/officeDocument/2006/relationships/hyperlink" Target="https://doi.org/10.1016/j.evalprogplan.2020.101893" TargetMode="External"/><Relationship Id="rId8" Type="http://schemas.openxmlformats.org/officeDocument/2006/relationships/endnotes" Target="endnotes.xml"/><Relationship Id="rId51" Type="http://schemas.openxmlformats.org/officeDocument/2006/relationships/hyperlink" Target="https://doi.org/10.3390/su12145759" TargetMode="External"/><Relationship Id="rId72" Type="http://schemas.openxmlformats.org/officeDocument/2006/relationships/hyperlink" Target="https://doi.org/10.1108/IJSHE-05-2017-0071" TargetMode="External"/><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doi.org/10.3390/su16051869" TargetMode="External"/><Relationship Id="rId17" Type="http://schemas.openxmlformats.org/officeDocument/2006/relationships/hyperlink" Target="https://doi.org/10.2478/jtes-2024-0022" TargetMode="External"/><Relationship Id="rId25" Type="http://schemas.openxmlformats.org/officeDocument/2006/relationships/hyperlink" Target="https://doi.org/10.21163/GT_2025.201.11" TargetMode="External"/><Relationship Id="rId33" Type="http://schemas.openxmlformats.org/officeDocument/2006/relationships/hyperlink" Target="https://doi.org/10.1108/IJSHE-01-2015-0010" TargetMode="External"/><Relationship Id="rId38" Type="http://schemas.openxmlformats.org/officeDocument/2006/relationships/hyperlink" Target="https://doi.org/10.1016/j.scs.2023.104723" TargetMode="External"/><Relationship Id="rId46" Type="http://schemas.openxmlformats.org/officeDocument/2006/relationships/hyperlink" Target="https://doi.org/10.1016/j.scs.2020.102231" TargetMode="External"/><Relationship Id="rId59" Type="http://schemas.openxmlformats.org/officeDocument/2006/relationships/hyperlink" Target="https://doi.org/10.1007/978-3-319-47877-7_34" TargetMode="External"/><Relationship Id="rId67" Type="http://schemas.openxmlformats.org/officeDocument/2006/relationships/hyperlink" Target="https://doi.org/10.3390/bs12050130" TargetMode="External"/><Relationship Id="rId20" Type="http://schemas.openxmlformats.org/officeDocument/2006/relationships/hyperlink" Target="https://doi.org/10.3390/su15054043" TargetMode="External"/><Relationship Id="rId41" Type="http://schemas.openxmlformats.org/officeDocument/2006/relationships/hyperlink" Target="https://doi.org/10.1007/978-3-319-02375-5_9" TargetMode="External"/><Relationship Id="rId54" Type="http://schemas.openxmlformats.org/officeDocument/2006/relationships/hyperlink" Target="https://doi.org/10.1063/5.0111727" TargetMode="External"/><Relationship Id="rId62" Type="http://schemas.openxmlformats.org/officeDocument/2006/relationships/hyperlink" Target="https://doi.org/10.1504/IJLC.2021.115190" TargetMode="External"/><Relationship Id="rId70" Type="http://schemas.openxmlformats.org/officeDocument/2006/relationships/hyperlink" Target="https://doi.org/10.1016/j.jclepro.2005.12.008" TargetMode="External"/><Relationship Id="rId75" Type="http://schemas.openxmlformats.org/officeDocument/2006/relationships/hyperlink" Target="https://doi.org/10.1016/j.jclepro.2016.07.053"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i.org/10.3390/su8080750" TargetMode="External"/><Relationship Id="rId23" Type="http://schemas.openxmlformats.org/officeDocument/2006/relationships/hyperlink" Target="https://doi.org/10.1007/978-3-319-26866-8_10" TargetMode="External"/><Relationship Id="rId28" Type="http://schemas.openxmlformats.org/officeDocument/2006/relationships/hyperlink" Target="https://doi.org/10.3390/su17146630" TargetMode="External"/><Relationship Id="rId36" Type="http://schemas.openxmlformats.org/officeDocument/2006/relationships/hyperlink" Target="https://doi.org/10.3390/math10060861" TargetMode="External"/><Relationship Id="rId49" Type="http://schemas.openxmlformats.org/officeDocument/2006/relationships/hyperlink" Target="https://doi.org/10.1177/0958305X19857209" TargetMode="External"/><Relationship Id="rId57" Type="http://schemas.openxmlformats.org/officeDocument/2006/relationships/hyperlink" Target="https://doi.org/10.18280/ijsdp.19113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4EMYbs8yaOt2NHXxuA5dXkyOGg==">CgMxLjAyDWguOHZ0eHpvbDhiazEyDmguYXZtYWRvM2R1OWo1Mg5oLm1scHAxemIxN2YwdzIOaC5zOTMzeDZjbzN6anQyDmgudGg1aHo4dzRseGVkOAByITFHdk9lWDNaRlJVNm9SalJTQTAwbWM5aEwyX0wtRnRvUQ==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AF6DD07-BD53-48E2-9C20-AE91D4414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32</Pages>
  <Words>14220</Words>
  <Characters>78213</Characters>
  <Application>Microsoft Office Word</Application>
  <DocSecurity>0</DocSecurity>
  <Lines>651</Lines>
  <Paragraphs>184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11</cp:revision>
  <dcterms:created xsi:type="dcterms:W3CDTF">2026-02-12T13:21:00Z</dcterms:created>
  <dcterms:modified xsi:type="dcterms:W3CDTF">2026-02-28T19:59:00Z</dcterms:modified>
</cp:coreProperties>
</file>