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IMMERSION SOLO PROGRAM (ISP) APP</w:t>
      </w:r>
    </w:p>
    <w:p>
      <w:pPr>
        <w:spacing w:after="300"/>
      </w:pPr>
      <w:r>
        <w:rPr>
          <w:i/>
          <w:iCs/>
          <w:color w:val="595959"/>
          <w:sz w:val="22"/>
          <w:szCs w:val="22"/>
        </w:rPr>
        <w:t xml:space="preserve">Technical Requirements, Tools &amp; Pricing</w:t>
      </w:r>
    </w:p>
    <w:p>
      <w:pPr>
        <w:spacing w:after="160" w:line="276"/>
      </w:pPr>
      <w:r>
        <w:t xml:space="preserve">This document lists every tool needed to build both the MVP and the Full Vision versions of the app, what each one is for, and current pricing as of July 2026. AI and cloud pricing changes often — treat these as planning estimates and re-check official pricing pages before signing any contracts or committing budget.</w:t>
      </w:r>
    </w:p>
    <w:p>
      <w:pPr>
        <w:pStyle w:val="Heading1"/>
        <w:spacing w:after="160" w:before="320"/>
      </w:pPr>
      <w:r>
        <w:rPr>
          <w:b/>
          <w:bCs/>
          <w:color w:val="1F3864"/>
        </w:rPr>
        <w:t xml:space="preserve">Section A: Full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450"/>
      </w:tblGrid>
      <w:tr>
        <w:tc>
          <w:tcPr>
            <w:tcW w:type="dxa" w:w="1900"/>
            <w:shd w:fill="1F3864" w:val="clear"/>
            <w:tcMar>
              <w:top w:type="dxa" w:w="100"/>
              <w:left w:type="dxa" w:w="120"/>
              <w:bottom w:type="dxa" w:w="100"/>
              <w:right w:type="dxa" w:w="120"/>
            </w:tcMar>
          </w:tcPr>
          <w:p>
            <w:r>
              <w:rPr>
                <w:b/>
                <w:bCs/>
                <w:color w:val="FFFFFF"/>
              </w:rPr>
              <w:t xml:space="preserve">Layer</w:t>
            </w:r>
          </w:p>
        </w:tc>
        <w:tc>
          <w:tcPr>
            <w:tcW w:type="dxa" w:w="2600"/>
            <w:shd w:fill="1F3864" w:val="clear"/>
            <w:tcMar>
              <w:top w:type="dxa" w:w="100"/>
              <w:left w:type="dxa" w:w="120"/>
              <w:bottom w:type="dxa" w:w="100"/>
              <w:right w:type="dxa" w:w="120"/>
            </w:tcMar>
          </w:tcPr>
          <w:p>
            <w:r>
              <w:rPr>
                <w:b/>
                <w:bCs/>
                <w:color w:val="FFFFFF"/>
              </w:rPr>
              <w:t xml:space="preserve">Tool</w:t>
            </w:r>
          </w:p>
        </w:tc>
        <w:tc>
          <w:tcPr>
            <w:tcW w:type="dxa" w:w="2400"/>
            <w:shd w:fill="1F3864" w:val="clear"/>
            <w:tcMar>
              <w:top w:type="dxa" w:w="100"/>
              <w:left w:type="dxa" w:w="120"/>
              <w:bottom w:type="dxa" w:w="100"/>
              <w:right w:type="dxa" w:w="120"/>
            </w:tcMar>
          </w:tcPr>
          <w:p>
            <w:r>
              <w:rPr>
                <w:b/>
                <w:bCs/>
                <w:color w:val="FFFFFF"/>
              </w:rPr>
              <w:t xml:space="preserve">Purpose</w:t>
            </w:r>
          </w:p>
        </w:tc>
        <w:tc>
          <w:tcPr>
            <w:tcW w:type="dxa" w:w="2450"/>
            <w:shd w:fill="1F3864" w:val="clear"/>
            <w:tcMar>
              <w:top w:type="dxa" w:w="100"/>
              <w:left w:type="dxa" w:w="120"/>
              <w:bottom w:type="dxa" w:w="100"/>
              <w:right w:type="dxa" w:w="120"/>
            </w:tcMar>
          </w:tcPr>
          <w:p>
            <w:r>
              <w:rPr>
                <w:b/>
                <w:bCs/>
                <w:color w:val="FFFFFF"/>
              </w:rPr>
              <w:t xml:space="preserve">Free Tier?</w:t>
            </w:r>
          </w:p>
        </w:tc>
      </w:tr>
      <w:tr>
        <w:tc>
          <w:tcPr>
            <w:tcW w:type="dxa" w:w="1900"/>
            <w:tcMar>
              <w:top w:type="dxa" w:w="100"/>
              <w:left w:type="dxa" w:w="120"/>
              <w:bottom w:type="dxa" w:w="100"/>
              <w:right w:type="dxa" w:w="120"/>
            </w:tcMar>
          </w:tcPr>
          <w:p>
            <w:r>
              <w:rPr>
                <w:b w:val="false"/>
                <w:bCs w:val="false"/>
                <w:color w:val="000000"/>
              </w:rPr>
              <w:t xml:space="preserve">Frontend</w:t>
            </w:r>
          </w:p>
        </w:tc>
        <w:tc>
          <w:tcPr>
            <w:tcW w:type="dxa" w:w="2600"/>
            <w:tcMar>
              <w:top w:type="dxa" w:w="100"/>
              <w:left w:type="dxa" w:w="120"/>
              <w:bottom w:type="dxa" w:w="100"/>
              <w:right w:type="dxa" w:w="120"/>
            </w:tcMar>
          </w:tcPr>
          <w:p>
            <w:r>
              <w:rPr>
                <w:b w:val="false"/>
                <w:bCs w:val="false"/>
                <w:color w:val="000000"/>
              </w:rPr>
              <w:t xml:space="preserve">React Native + Expo (EAS Build)</w:t>
            </w:r>
          </w:p>
        </w:tc>
        <w:tc>
          <w:tcPr>
            <w:tcW w:type="dxa" w:w="2400"/>
            <w:tcMar>
              <w:top w:type="dxa" w:w="100"/>
              <w:left w:type="dxa" w:w="120"/>
              <w:bottom w:type="dxa" w:w="100"/>
              <w:right w:type="dxa" w:w="120"/>
            </w:tcMar>
          </w:tcPr>
          <w:p>
            <w:r>
              <w:rPr>
                <w:b w:val="false"/>
                <w:bCs w:val="false"/>
                <w:color w:val="000000"/>
              </w:rPr>
              <w:t xml:space="preserve">Single codebase for iOS + Android</w:t>
            </w:r>
          </w:p>
        </w:tc>
        <w:tc>
          <w:tcPr>
            <w:tcW w:type="dxa" w:w="2450"/>
            <w:tcMar>
              <w:top w:type="dxa" w:w="100"/>
              <w:left w:type="dxa" w:w="120"/>
              <w:bottom w:type="dxa" w:w="100"/>
              <w:right w:type="dxa" w:w="120"/>
            </w:tcMar>
          </w:tcPr>
          <w:p>
            <w:r>
              <w:rPr>
                <w:b w:val="false"/>
                <w:bCs w:val="false"/>
                <w:color w:val="000000"/>
              </w:rPr>
              <w:t xml:space="preserve">Free (open source); EAS Build has a free tier, paid tiers for more concurrent builds</w:t>
            </w:r>
          </w:p>
        </w:tc>
      </w:tr>
      <w:tr>
        <w:tc>
          <w:tcPr>
            <w:tcW w:type="dxa" w:w="1900"/>
            <w:tcMar>
              <w:top w:type="dxa" w:w="100"/>
              <w:left w:type="dxa" w:w="120"/>
              <w:bottom w:type="dxa" w:w="100"/>
              <w:right w:type="dxa" w:w="120"/>
            </w:tcMar>
          </w:tcPr>
          <w:p>
            <w:r>
              <w:rPr>
                <w:b w:val="false"/>
                <w:bCs w:val="false"/>
                <w:color w:val="000000"/>
              </w:rPr>
              <w:t xml:space="preserve">Backend / DB</w:t>
            </w:r>
          </w:p>
        </w:tc>
        <w:tc>
          <w:tcPr>
            <w:tcW w:type="dxa" w:w="2600"/>
            <w:tcMar>
              <w:top w:type="dxa" w:w="100"/>
              <w:left w:type="dxa" w:w="120"/>
              <w:bottom w:type="dxa" w:w="100"/>
              <w:right w:type="dxa" w:w="120"/>
            </w:tcMar>
          </w:tcPr>
          <w:p>
            <w:r>
              <w:rPr>
                <w:b w:val="false"/>
                <w:bCs w:val="false"/>
                <w:color w:val="000000"/>
              </w:rPr>
              <w:t xml:space="preserve">Supabase (Postgres, Auth, Storage, Realtime, Edge Functions)</w:t>
            </w:r>
          </w:p>
        </w:tc>
        <w:tc>
          <w:tcPr>
            <w:tcW w:type="dxa" w:w="2400"/>
            <w:tcMar>
              <w:top w:type="dxa" w:w="100"/>
              <w:left w:type="dxa" w:w="120"/>
              <w:bottom w:type="dxa" w:w="100"/>
              <w:right w:type="dxa" w:w="120"/>
            </w:tcMar>
          </w:tcPr>
          <w:p>
            <w:r>
              <w:rPr>
                <w:b w:val="false"/>
                <w:bCs w:val="false"/>
                <w:color w:val="000000"/>
              </w:rPr>
              <w:t xml:space="preserve">Users, data, roles, approval chains, row-level security</w:t>
            </w:r>
          </w:p>
        </w:tc>
        <w:tc>
          <w:tcPr>
            <w:tcW w:type="dxa" w:w="2450"/>
            <w:tcMar>
              <w:top w:type="dxa" w:w="100"/>
              <w:left w:type="dxa" w:w="120"/>
              <w:bottom w:type="dxa" w:w="100"/>
              <w:right w:type="dxa" w:w="120"/>
            </w:tcMar>
          </w:tcPr>
          <w:p>
            <w:r>
              <w:rPr>
                <w:b w:val="false"/>
                <w:bCs w:val="false"/>
                <w:color w:val="000000"/>
              </w:rPr>
              <w:t xml:space="preserve">Yes — Free tier covers up to 50,000 monthly active users, unlimited API requests</w:t>
            </w:r>
          </w:p>
        </w:tc>
      </w:tr>
      <w:tr>
        <w:tc>
          <w:tcPr>
            <w:tcW w:type="dxa" w:w="1900"/>
            <w:tcMar>
              <w:top w:type="dxa" w:w="100"/>
              <w:left w:type="dxa" w:w="120"/>
              <w:bottom w:type="dxa" w:w="100"/>
              <w:right w:type="dxa" w:w="120"/>
            </w:tcMar>
          </w:tcPr>
          <w:p>
            <w:r>
              <w:rPr>
                <w:b w:val="false"/>
                <w:bCs w:val="false"/>
                <w:color w:val="000000"/>
              </w:rPr>
              <w:t xml:space="preserve">Push Notifications</w:t>
            </w:r>
          </w:p>
        </w:tc>
        <w:tc>
          <w:tcPr>
            <w:tcW w:type="dxa" w:w="2600"/>
            <w:tcMar>
              <w:top w:type="dxa" w:w="100"/>
              <w:left w:type="dxa" w:w="120"/>
              <w:bottom w:type="dxa" w:w="100"/>
              <w:right w:type="dxa" w:w="120"/>
            </w:tcMar>
          </w:tcPr>
          <w:p>
            <w:r>
              <w:rPr>
                <w:b w:val="false"/>
                <w:bCs w:val="false"/>
                <w:color w:val="000000"/>
              </w:rPr>
              <w:t xml:space="preserve">OneSignal</w:t>
            </w:r>
          </w:p>
        </w:tc>
        <w:tc>
          <w:tcPr>
            <w:tcW w:type="dxa" w:w="2400"/>
            <w:tcMar>
              <w:top w:type="dxa" w:w="100"/>
              <w:left w:type="dxa" w:w="120"/>
              <w:bottom w:type="dxa" w:w="100"/>
              <w:right w:type="dxa" w:w="120"/>
            </w:tcMar>
          </w:tcPr>
          <w:p>
            <w:r>
              <w:rPr>
                <w:b w:val="false"/>
                <w:bCs w:val="false"/>
                <w:color w:val="000000"/>
              </w:rPr>
              <w:t xml:space="preserve">Daily reminders, falling-behind alerts, approval notifications</w:t>
            </w:r>
          </w:p>
        </w:tc>
        <w:tc>
          <w:tcPr>
            <w:tcW w:type="dxa" w:w="2450"/>
            <w:tcMar>
              <w:top w:type="dxa" w:w="100"/>
              <w:left w:type="dxa" w:w="120"/>
              <w:bottom w:type="dxa" w:w="100"/>
              <w:right w:type="dxa" w:w="120"/>
            </w:tcMar>
          </w:tcPr>
          <w:p>
            <w:r>
              <w:rPr>
                <w:b w:val="false"/>
                <w:bCs w:val="false"/>
                <w:color w:val="000000"/>
              </w:rPr>
              <w:t xml:space="preserve">Yes — generous free tier, reliable at scale</w:t>
            </w:r>
          </w:p>
        </w:tc>
      </w:tr>
      <w:tr>
        <w:tc>
          <w:tcPr>
            <w:tcW w:type="dxa" w:w="1900"/>
            <w:tcMar>
              <w:top w:type="dxa" w:w="100"/>
              <w:left w:type="dxa" w:w="120"/>
              <w:bottom w:type="dxa" w:w="100"/>
              <w:right w:type="dxa" w:w="120"/>
            </w:tcMar>
          </w:tcPr>
          <w:p>
            <w:r>
              <w:rPr>
                <w:b w:val="false"/>
                <w:bCs w:val="false"/>
                <w:color w:val="000000"/>
              </w:rPr>
              <w:t xml:space="preserve">Video (curriculum)</w:t>
            </w:r>
          </w:p>
        </w:tc>
        <w:tc>
          <w:tcPr>
            <w:tcW w:type="dxa" w:w="2600"/>
            <w:tcMar>
              <w:top w:type="dxa" w:w="100"/>
              <w:left w:type="dxa" w:w="120"/>
              <w:bottom w:type="dxa" w:w="100"/>
              <w:right w:type="dxa" w:w="120"/>
            </w:tcMar>
          </w:tcPr>
          <w:p>
            <w:r>
              <w:rPr>
                <w:b w:val="false"/>
                <w:bCs w:val="false"/>
                <w:color w:val="000000"/>
              </w:rPr>
              <w:t xml:space="preserve">YouTube / Vimeo embeds</w:t>
            </w:r>
          </w:p>
        </w:tc>
        <w:tc>
          <w:tcPr>
            <w:tcW w:type="dxa" w:w="2400"/>
            <w:tcMar>
              <w:top w:type="dxa" w:w="100"/>
              <w:left w:type="dxa" w:w="120"/>
              <w:bottom w:type="dxa" w:w="100"/>
              <w:right w:type="dxa" w:w="120"/>
            </w:tcMar>
          </w:tcPr>
          <w:p>
            <w:r>
              <w:rPr>
                <w:b w:val="false"/>
                <w:bCs w:val="false"/>
                <w:color w:val="000000"/>
              </w:rPr>
              <w:t xml:space="preserve">Host lecture &amp; devotional videos</w:t>
            </w:r>
          </w:p>
        </w:tc>
        <w:tc>
          <w:tcPr>
            <w:tcW w:type="dxa" w:w="2450"/>
            <w:tcMar>
              <w:top w:type="dxa" w:w="100"/>
              <w:left w:type="dxa" w:w="120"/>
              <w:bottom w:type="dxa" w:w="100"/>
              <w:right w:type="dxa" w:w="120"/>
            </w:tcMar>
          </w:tcPr>
          <w:p>
            <w:r>
              <w:rPr>
                <w:b w:val="false"/>
                <w:bCs w:val="false"/>
                <w:color w:val="000000"/>
              </w:rPr>
              <w:t xml:space="preserve">Yes — free to embed and stream</w:t>
            </w:r>
          </w:p>
        </w:tc>
      </w:tr>
      <w:tr>
        <w:tc>
          <w:tcPr>
            <w:tcW w:type="dxa" w:w="1900"/>
            <w:tcMar>
              <w:top w:type="dxa" w:w="100"/>
              <w:left w:type="dxa" w:w="120"/>
              <w:bottom w:type="dxa" w:w="100"/>
              <w:right w:type="dxa" w:w="120"/>
            </w:tcMar>
          </w:tcPr>
          <w:p>
            <w:r>
              <w:rPr>
                <w:b w:val="false"/>
                <w:bCs w:val="false"/>
                <w:color w:val="000000"/>
              </w:rPr>
              <w:t xml:space="preserve">Weekly Check-ins</w:t>
            </w:r>
          </w:p>
        </w:tc>
        <w:tc>
          <w:tcPr>
            <w:tcW w:type="dxa" w:w="2600"/>
            <w:tcMar>
              <w:top w:type="dxa" w:w="100"/>
              <w:left w:type="dxa" w:w="120"/>
              <w:bottom w:type="dxa" w:w="100"/>
              <w:right w:type="dxa" w:w="120"/>
            </w:tcMar>
          </w:tcPr>
          <w:p>
            <w:r>
              <w:rPr>
                <w:b w:val="false"/>
                <w:bCs w:val="false"/>
                <w:color w:val="000000"/>
              </w:rPr>
              <w:t xml:space="preserve">Google Meet + Calendar API</w:t>
            </w:r>
          </w:p>
        </w:tc>
        <w:tc>
          <w:tcPr>
            <w:tcW w:type="dxa" w:w="2400"/>
            <w:tcMar>
              <w:top w:type="dxa" w:w="100"/>
              <w:left w:type="dxa" w:w="120"/>
              <w:bottom w:type="dxa" w:w="100"/>
              <w:right w:type="dxa" w:w="120"/>
            </w:tcMar>
          </w:tcPr>
          <w:p>
            <w:r>
              <w:rPr>
                <w:b w:val="false"/>
                <w:bCs w:val="false"/>
                <w:color w:val="000000"/>
              </w:rPr>
              <w:t xml:space="preserve">Generate/schedule Builder-Disciple video calls</w:t>
            </w:r>
          </w:p>
        </w:tc>
        <w:tc>
          <w:tcPr>
            <w:tcW w:type="dxa" w:w="2450"/>
            <w:tcMar>
              <w:top w:type="dxa" w:w="100"/>
              <w:left w:type="dxa" w:w="120"/>
              <w:bottom w:type="dxa" w:w="100"/>
              <w:right w:type="dxa" w:w="120"/>
            </w:tcMar>
          </w:tcPr>
          <w:p>
            <w:r>
              <w:rPr>
                <w:b w:val="false"/>
                <w:bCs w:val="false"/>
                <w:color w:val="000000"/>
              </w:rPr>
              <w:t xml:space="preserve">Yes — standard API use is free; Meet free tier covers up to 100 participants / 60 min</w:t>
            </w:r>
          </w:p>
        </w:tc>
      </w:tr>
      <w:tr>
        <w:tc>
          <w:tcPr>
            <w:tcW w:type="dxa" w:w="1900"/>
            <w:tcMar>
              <w:top w:type="dxa" w:w="100"/>
              <w:left w:type="dxa" w:w="120"/>
              <w:bottom w:type="dxa" w:w="100"/>
              <w:right w:type="dxa" w:w="120"/>
            </w:tcMar>
          </w:tcPr>
          <w:p>
            <w:r>
              <w:rPr>
                <w:b w:val="false"/>
                <w:bCs w:val="false"/>
                <w:color w:val="000000"/>
              </w:rPr>
              <w:t xml:space="preserve">AI Ministry Assistant</w:t>
            </w:r>
          </w:p>
        </w:tc>
        <w:tc>
          <w:tcPr>
            <w:tcW w:type="dxa" w:w="2600"/>
            <w:tcMar>
              <w:top w:type="dxa" w:w="100"/>
              <w:left w:type="dxa" w:w="120"/>
              <w:bottom w:type="dxa" w:w="100"/>
              <w:right w:type="dxa" w:w="120"/>
            </w:tcMar>
          </w:tcPr>
          <w:p>
            <w:r>
              <w:rPr>
                <w:b w:val="false"/>
                <w:bCs w:val="false"/>
                <w:color w:val="000000"/>
              </w:rPr>
              <w:t xml:space="preserve">Claude API (Anthropic) + a vector database (e.g. Pinecone)</w:t>
            </w:r>
          </w:p>
        </w:tc>
        <w:tc>
          <w:tcPr>
            <w:tcW w:type="dxa" w:w="2400"/>
            <w:tcMar>
              <w:top w:type="dxa" w:w="100"/>
              <w:left w:type="dxa" w:w="120"/>
              <w:bottom w:type="dxa" w:w="100"/>
              <w:right w:type="dxa" w:w="120"/>
            </w:tcMar>
          </w:tcPr>
          <w:p>
            <w:r>
              <w:rPr>
                <w:b w:val="false"/>
                <w:bCs w:val="false"/>
                <w:color w:val="000000"/>
              </w:rPr>
              <w:t xml:space="preserve">Summarize/answer questions on ministry teaching content (RAG)</w:t>
            </w:r>
          </w:p>
        </w:tc>
        <w:tc>
          <w:tcPr>
            <w:tcW w:type="dxa" w:w="2450"/>
            <w:tcMar>
              <w:top w:type="dxa" w:w="100"/>
              <w:left w:type="dxa" w:w="120"/>
              <w:bottom w:type="dxa" w:w="100"/>
              <w:right w:type="dxa" w:w="120"/>
            </w:tcMar>
          </w:tcPr>
          <w:p>
            <w:r>
              <w:rPr>
                <w:b w:val="false"/>
                <w:bCs w:val="false"/>
                <w:color w:val="000000"/>
              </w:rPr>
              <w:t xml:space="preserve">No — pay-per-token API; vector DB has a free/starter tier at low volume</w:t>
            </w:r>
          </w:p>
        </w:tc>
      </w:tr>
      <w:tr>
        <w:tc>
          <w:tcPr>
            <w:tcW w:type="dxa" w:w="1900"/>
            <w:tcMar>
              <w:top w:type="dxa" w:w="100"/>
              <w:left w:type="dxa" w:w="120"/>
              <w:bottom w:type="dxa" w:w="100"/>
              <w:right w:type="dxa" w:w="120"/>
            </w:tcMar>
          </w:tcPr>
          <w:p>
            <w:r>
              <w:rPr>
                <w:b w:val="false"/>
                <w:bCs w:val="false"/>
                <w:color w:val="000000"/>
              </w:rPr>
              <w:t xml:space="preserve">AI Video Creation</w:t>
            </w:r>
          </w:p>
        </w:tc>
        <w:tc>
          <w:tcPr>
            <w:tcW w:type="dxa" w:w="2600"/>
            <w:tcMar>
              <w:top w:type="dxa" w:w="100"/>
              <w:left w:type="dxa" w:w="120"/>
              <w:bottom w:type="dxa" w:w="100"/>
              <w:right w:type="dxa" w:w="120"/>
            </w:tcMar>
          </w:tcPr>
          <w:p>
            <w:r>
              <w:rPr>
                <w:b w:val="false"/>
                <w:bCs w:val="false"/>
                <w:color w:val="000000"/>
              </w:rPr>
              <w:t xml:space="preserve">Higgsfield (+ Claude for scripting)</w:t>
            </w:r>
          </w:p>
        </w:tc>
        <w:tc>
          <w:tcPr>
            <w:tcW w:type="dxa" w:w="2400"/>
            <w:tcMar>
              <w:top w:type="dxa" w:w="100"/>
              <w:left w:type="dxa" w:w="120"/>
              <w:bottom w:type="dxa" w:w="100"/>
              <w:right w:type="dxa" w:w="120"/>
            </w:tcMar>
          </w:tcPr>
          <w:p>
            <w:r>
              <w:rPr>
                <w:b w:val="false"/>
                <w:bCs w:val="false"/>
                <w:color w:val="000000"/>
              </w:rPr>
              <w:t xml:space="preserve">Turn teaching scripts into short devotional videos</w:t>
            </w:r>
          </w:p>
        </w:tc>
        <w:tc>
          <w:tcPr>
            <w:tcW w:type="dxa" w:w="2450"/>
            <w:tcMar>
              <w:top w:type="dxa" w:w="100"/>
              <w:left w:type="dxa" w:w="120"/>
              <w:bottom w:type="dxa" w:w="100"/>
              <w:right w:type="dxa" w:w="120"/>
            </w:tcMar>
          </w:tcPr>
          <w:p>
            <w:r>
              <w:rPr>
                <w:b w:val="false"/>
                <w:bCs w:val="false"/>
                <w:color w:val="000000"/>
              </w:rPr>
              <w:t xml:space="preserve">No — subscription + credit system</w:t>
            </w:r>
          </w:p>
        </w:tc>
      </w:tr>
      <w:tr>
        <w:tc>
          <w:tcPr>
            <w:tcW w:type="dxa" w:w="1900"/>
            <w:tcMar>
              <w:top w:type="dxa" w:w="100"/>
              <w:left w:type="dxa" w:w="120"/>
              <w:bottom w:type="dxa" w:w="100"/>
              <w:right w:type="dxa" w:w="120"/>
            </w:tcMar>
          </w:tcPr>
          <w:p>
            <w:r>
              <w:rPr>
                <w:b w:val="false"/>
                <w:bCs w:val="false"/>
                <w:color w:val="000000"/>
              </w:rPr>
              <w:t xml:space="preserve">Offline Sync</w:t>
            </w:r>
          </w:p>
        </w:tc>
        <w:tc>
          <w:tcPr>
            <w:tcW w:type="dxa" w:w="2600"/>
            <w:tcMar>
              <w:top w:type="dxa" w:w="100"/>
              <w:left w:type="dxa" w:w="120"/>
              <w:bottom w:type="dxa" w:w="100"/>
              <w:right w:type="dxa" w:w="120"/>
            </w:tcMar>
          </w:tcPr>
          <w:p>
            <w:r>
              <w:rPr>
                <w:b w:val="false"/>
                <w:bCs w:val="false"/>
                <w:color w:val="000000"/>
              </w:rPr>
              <w:t xml:space="preserve">WatermelonDB (or op-sqlite) syncing against Supabase</w:t>
            </w:r>
          </w:p>
        </w:tc>
        <w:tc>
          <w:tcPr>
            <w:tcW w:type="dxa" w:w="2400"/>
            <w:tcMar>
              <w:top w:type="dxa" w:w="100"/>
              <w:left w:type="dxa" w:w="120"/>
              <w:bottom w:type="dxa" w:w="100"/>
              <w:right w:type="dxa" w:w="120"/>
            </w:tcMar>
          </w:tcPr>
          <w:p>
            <w:r>
              <w:rPr>
                <w:b w:val="false"/>
                <w:bCs w:val="false"/>
                <w:color w:val="000000"/>
              </w:rPr>
              <w:t xml:space="preserve">Pre-download modules, sync progress on reconnect</w:t>
            </w:r>
          </w:p>
        </w:tc>
        <w:tc>
          <w:tcPr>
            <w:tcW w:type="dxa" w:w="2450"/>
            <w:tcMar>
              <w:top w:type="dxa" w:w="100"/>
              <w:left w:type="dxa" w:w="120"/>
              <w:bottom w:type="dxa" w:w="100"/>
              <w:right w:type="dxa" w:w="120"/>
            </w:tcMar>
          </w:tcPr>
          <w:p>
            <w:r>
              <w:rPr>
                <w:b w:val="false"/>
                <w:bCs w:val="false"/>
                <w:color w:val="000000"/>
              </w:rPr>
              <w:t xml:space="preserve">Yes — open source; engineering time to wire sync logic is the real cost</w:t>
            </w:r>
          </w:p>
        </w:tc>
      </w:tr>
      <w:tr>
        <w:tc>
          <w:tcPr>
            <w:tcW w:type="dxa" w:w="1900"/>
            <w:tcMar>
              <w:top w:type="dxa" w:w="100"/>
              <w:left w:type="dxa" w:w="120"/>
              <w:bottom w:type="dxa" w:w="100"/>
              <w:right w:type="dxa" w:w="120"/>
            </w:tcMar>
          </w:tcPr>
          <w:p>
            <w:r>
              <w:rPr>
                <w:b w:val="false"/>
                <w:bCs w:val="false"/>
                <w:color w:val="000000"/>
              </w:rPr>
              <w:t xml:space="preserve">Chat</w:t>
            </w:r>
          </w:p>
        </w:tc>
        <w:tc>
          <w:tcPr>
            <w:tcW w:type="dxa" w:w="2600"/>
            <w:tcMar>
              <w:top w:type="dxa" w:w="100"/>
              <w:left w:type="dxa" w:w="120"/>
              <w:bottom w:type="dxa" w:w="100"/>
              <w:right w:type="dxa" w:w="120"/>
            </w:tcMar>
          </w:tcPr>
          <w:p>
            <w:r>
              <w:rPr>
                <w:b w:val="false"/>
                <w:bCs w:val="false"/>
                <w:color w:val="000000"/>
              </w:rPr>
              <w:t xml:space="preserve">Supabase Realtime (Postgres logical replication)</w:t>
            </w:r>
          </w:p>
        </w:tc>
        <w:tc>
          <w:tcPr>
            <w:tcW w:type="dxa" w:w="2400"/>
            <w:tcMar>
              <w:top w:type="dxa" w:w="100"/>
              <w:left w:type="dxa" w:w="120"/>
              <w:bottom w:type="dxa" w:w="100"/>
              <w:right w:type="dxa" w:w="120"/>
            </w:tcMar>
          </w:tcPr>
          <w:p>
            <w:r>
              <w:rPr>
                <w:b w:val="false"/>
                <w:bCs w:val="false"/>
                <w:color w:val="000000"/>
              </w:rPr>
              <w:t xml:space="preserve">1:1 Builder-Disciple chat, encryption path</w:t>
            </w:r>
          </w:p>
        </w:tc>
        <w:tc>
          <w:tcPr>
            <w:tcW w:type="dxa" w:w="2450"/>
            <w:tcMar>
              <w:top w:type="dxa" w:w="100"/>
              <w:left w:type="dxa" w:w="120"/>
              <w:bottom w:type="dxa" w:w="100"/>
              <w:right w:type="dxa" w:w="120"/>
            </w:tcMar>
          </w:tcPr>
          <w:p>
            <w:r>
              <w:rPr>
                <w:b w:val="false"/>
                <w:bCs w:val="false"/>
                <w:color w:val="000000"/>
              </w:rPr>
              <w:t xml:space="preserve">Yes — included in Supabase; suits relational, structured chat data well</w:t>
            </w:r>
          </w:p>
        </w:tc>
      </w:tr>
      <w:tr>
        <w:tc>
          <w:tcPr>
            <w:tcW w:type="dxa" w:w="1900"/>
            <w:tcMar>
              <w:top w:type="dxa" w:w="100"/>
              <w:left w:type="dxa" w:w="120"/>
              <w:bottom w:type="dxa" w:w="100"/>
              <w:right w:type="dxa" w:w="120"/>
            </w:tcMar>
          </w:tcPr>
          <w:p>
            <w:r>
              <w:rPr>
                <w:b w:val="false"/>
                <w:bCs w:val="false"/>
                <w:color w:val="000000"/>
              </w:rPr>
              <w:t xml:space="preserve">Search (full vision)</w:t>
            </w:r>
          </w:p>
        </w:tc>
        <w:tc>
          <w:tcPr>
            <w:tcW w:type="dxa" w:w="2600"/>
            <w:tcMar>
              <w:top w:type="dxa" w:w="100"/>
              <w:left w:type="dxa" w:w="120"/>
              <w:bottom w:type="dxa" w:w="100"/>
              <w:right w:type="dxa" w:w="120"/>
            </w:tcMar>
          </w:tcPr>
          <w:p>
            <w:r>
              <w:rPr>
                <w:b w:val="false"/>
                <w:bCs w:val="false"/>
                <w:color w:val="000000"/>
              </w:rPr>
              <w:t xml:space="preserve">Algolia</w:t>
            </w:r>
          </w:p>
        </w:tc>
        <w:tc>
          <w:tcPr>
            <w:tcW w:type="dxa" w:w="2400"/>
            <w:tcMar>
              <w:top w:type="dxa" w:w="100"/>
              <w:left w:type="dxa" w:w="120"/>
              <w:bottom w:type="dxa" w:w="100"/>
              <w:right w:type="dxa" w:w="120"/>
            </w:tcMar>
          </w:tcPr>
          <w:p>
            <w:r>
              <w:rPr>
                <w:b w:val="false"/>
                <w:bCs w:val="false"/>
                <w:color w:val="000000"/>
              </w:rPr>
              <w:t xml:space="preserve">Cross-content search: sermons, books, devotionals, scripture</w:t>
            </w:r>
          </w:p>
        </w:tc>
        <w:tc>
          <w:tcPr>
            <w:tcW w:type="dxa" w:w="2450"/>
            <w:tcMar>
              <w:top w:type="dxa" w:w="100"/>
              <w:left w:type="dxa" w:w="120"/>
              <w:bottom w:type="dxa" w:w="100"/>
              <w:right w:type="dxa" w:w="120"/>
            </w:tcMar>
          </w:tcPr>
          <w:p>
            <w:r>
              <w:rPr>
                <w:b w:val="false"/>
                <w:bCs w:val="false"/>
                <w:color w:val="000000"/>
              </w:rPr>
              <w:t xml:space="preserve">Yes — free tier at low search volume, then paid</w:t>
            </w:r>
          </w:p>
        </w:tc>
      </w:tr>
      <w:tr>
        <w:tc>
          <w:tcPr>
            <w:tcW w:type="dxa" w:w="1900"/>
            <w:tcMar>
              <w:top w:type="dxa" w:w="100"/>
              <w:left w:type="dxa" w:w="120"/>
              <w:bottom w:type="dxa" w:w="100"/>
              <w:right w:type="dxa" w:w="120"/>
            </w:tcMar>
          </w:tcPr>
          <w:p>
            <w:r>
              <w:rPr>
                <w:b w:val="false"/>
                <w:bCs w:val="false"/>
                <w:color w:val="000000"/>
              </w:rPr>
              <w:t xml:space="preserve">Marketplace Payments</w:t>
            </w:r>
          </w:p>
        </w:tc>
        <w:tc>
          <w:tcPr>
            <w:tcW w:type="dxa" w:w="2600"/>
            <w:tcMar>
              <w:top w:type="dxa" w:w="100"/>
              <w:left w:type="dxa" w:w="120"/>
              <w:bottom w:type="dxa" w:w="100"/>
              <w:right w:type="dxa" w:w="120"/>
            </w:tcMar>
          </w:tcPr>
          <w:p>
            <w:r>
              <w:rPr>
                <w:b w:val="false"/>
                <w:bCs w:val="false"/>
                <w:color w:val="000000"/>
              </w:rPr>
              <w:t xml:space="preserve">Stripe (global) or Paystack/Flutterwave (West Africa)</w:t>
            </w:r>
          </w:p>
        </w:tc>
        <w:tc>
          <w:tcPr>
            <w:tcW w:type="dxa" w:w="2400"/>
            <w:tcMar>
              <w:top w:type="dxa" w:w="100"/>
              <w:left w:type="dxa" w:w="120"/>
              <w:bottom w:type="dxa" w:w="100"/>
              <w:right w:type="dxa" w:w="120"/>
            </w:tcMar>
          </w:tcPr>
          <w:p>
            <w:r>
              <w:rPr>
                <w:b w:val="false"/>
                <w:bCs w:val="false"/>
                <w:color w:val="000000"/>
              </w:rPr>
              <w:t xml:space="preserve">Sell books/courses in the Resource Marketplace</w:t>
            </w:r>
          </w:p>
        </w:tc>
        <w:tc>
          <w:tcPr>
            <w:tcW w:type="dxa" w:w="2450"/>
            <w:tcMar>
              <w:top w:type="dxa" w:w="100"/>
              <w:left w:type="dxa" w:w="120"/>
              <w:bottom w:type="dxa" w:w="100"/>
              <w:right w:type="dxa" w:w="120"/>
            </w:tcMar>
          </w:tcPr>
          <w:p>
            <w:r>
              <w:rPr>
                <w:b w:val="false"/>
                <w:bCs w:val="false"/>
                <w:color w:val="000000"/>
              </w:rPr>
              <w:t xml:space="preserve">No — percentage + fixed fee per transaction</w:t>
            </w:r>
          </w:p>
        </w:tc>
      </w:tr>
      <w:tr>
        <w:tc>
          <w:tcPr>
            <w:tcW w:type="dxa" w:w="1900"/>
            <w:tcMar>
              <w:top w:type="dxa" w:w="100"/>
              <w:left w:type="dxa" w:w="120"/>
              <w:bottom w:type="dxa" w:w="100"/>
              <w:right w:type="dxa" w:w="120"/>
            </w:tcMar>
          </w:tcPr>
          <w:p>
            <w:r>
              <w:rPr>
                <w:b w:val="false"/>
                <w:bCs w:val="false"/>
                <w:color w:val="000000"/>
              </w:rPr>
              <w:t xml:space="preserve">App Store Accounts</w:t>
            </w:r>
          </w:p>
        </w:tc>
        <w:tc>
          <w:tcPr>
            <w:tcW w:type="dxa" w:w="2600"/>
            <w:tcMar>
              <w:top w:type="dxa" w:w="100"/>
              <w:left w:type="dxa" w:w="120"/>
              <w:bottom w:type="dxa" w:w="100"/>
              <w:right w:type="dxa" w:w="120"/>
            </w:tcMar>
          </w:tcPr>
          <w:p>
            <w:r>
              <w:rPr>
                <w:b w:val="false"/>
                <w:bCs w:val="false"/>
                <w:color w:val="000000"/>
              </w:rPr>
              <w:t xml:space="preserve">Apple Developer Program, Google Play Console</w:t>
            </w:r>
          </w:p>
        </w:tc>
        <w:tc>
          <w:tcPr>
            <w:tcW w:type="dxa" w:w="2400"/>
            <w:tcMar>
              <w:top w:type="dxa" w:w="100"/>
              <w:left w:type="dxa" w:w="120"/>
              <w:bottom w:type="dxa" w:w="100"/>
              <w:right w:type="dxa" w:w="120"/>
            </w:tcMar>
          </w:tcPr>
          <w:p>
            <w:r>
              <w:rPr>
                <w:b w:val="false"/>
                <w:bCs w:val="false"/>
                <w:color w:val="000000"/>
              </w:rPr>
              <w:t xml:space="preserve">Publish to iOS App Store and Google Play</w:t>
            </w:r>
          </w:p>
        </w:tc>
        <w:tc>
          <w:tcPr>
            <w:tcW w:type="dxa" w:w="2450"/>
            <w:tcMar>
              <w:top w:type="dxa" w:w="100"/>
              <w:left w:type="dxa" w:w="120"/>
              <w:bottom w:type="dxa" w:w="100"/>
              <w:right w:type="dxa" w:w="120"/>
            </w:tcMar>
          </w:tcPr>
          <w:p>
            <w:r>
              <w:rPr>
                <w:b w:val="false"/>
                <w:bCs w:val="false"/>
                <w:color w:val="000000"/>
              </w:rPr>
              <w:t xml:space="preserve">No — fixed fees, see Section C</w:t>
            </w:r>
          </w:p>
        </w:tc>
      </w:tr>
    </w:tbl>
    <w:p>
      <w:pPr>
        <w:pStyle w:val="Heading1"/>
        <w:spacing w:after="160" w:before="320"/>
      </w:pPr>
      <w:r>
        <w:rPr>
          <w:b/>
          <w:bCs/>
          <w:color w:val="1F3864"/>
        </w:rPr>
        <w:t xml:space="preserve">Section B: Estimated Monthly Running Costs</w:t>
      </w:r>
    </w:p>
    <w:p>
      <w:pPr>
        <w:pStyle w:val="Heading2"/>
        <w:spacing w:after="120" w:before="240"/>
      </w:pPr>
      <w:r>
        <w:rPr>
          <w:b/>
          <w:bCs/>
          <w:color w:val="2E5395"/>
        </w:rPr>
        <w:t xml:space="preserve">MVP (Lean 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1F3864" w:val="clear"/>
            <w:tcMar>
              <w:top w:type="dxa" w:w="100"/>
              <w:left w:type="dxa" w:w="120"/>
              <w:bottom w:type="dxa" w:w="100"/>
              <w:right w:type="dxa" w:w="120"/>
            </w:tcMar>
          </w:tcPr>
          <w:p>
            <w:r>
              <w:rPr>
                <w:b/>
                <w:bCs/>
                <w:color w:val="FFFFFF"/>
              </w:rPr>
              <w:t xml:space="preserve">Item</w:t>
            </w:r>
          </w:p>
        </w:tc>
        <w:tc>
          <w:tcPr>
            <w:tcW w:type="dxa" w:w="2400"/>
            <w:shd w:fill="1F3864" w:val="clear"/>
            <w:tcMar>
              <w:top w:type="dxa" w:w="100"/>
              <w:left w:type="dxa" w:w="120"/>
              <w:bottom w:type="dxa" w:w="100"/>
              <w:right w:type="dxa" w:w="120"/>
            </w:tcMar>
          </w:tcPr>
          <w:p>
            <w:r>
              <w:rPr>
                <w:b/>
                <w:bCs/>
                <w:color w:val="FFFFFF"/>
              </w:rPr>
              <w:t xml:space="preserve">Estimated Monthly Cost</w:t>
            </w:r>
          </w:p>
        </w:tc>
        <w:tc>
          <w:tcPr>
            <w:tcW w:type="dxa" w:w="3750"/>
            <w:shd w:fill="1F3864" w:val="clear"/>
            <w:tcMar>
              <w:top w:type="dxa" w:w="100"/>
              <w:left w:type="dxa" w:w="120"/>
              <w:bottom w:type="dxa" w:w="100"/>
              <w:right w:type="dxa" w:w="120"/>
            </w:tcMar>
          </w:tcPr>
          <w:p>
            <w:r>
              <w:rPr>
                <w:b/>
                <w:bCs/>
                <w:color w:val="FFFFFF"/>
              </w:rPr>
              <w:t xml:space="preserve">Notes</w:t>
            </w:r>
          </w:p>
        </w:tc>
      </w:tr>
      <w:tr>
        <w:tc>
          <w:tcPr>
            <w:tcW w:type="dxa" w:w="3200"/>
            <w:tcMar>
              <w:top w:type="dxa" w:w="100"/>
              <w:left w:type="dxa" w:w="120"/>
              <w:bottom w:type="dxa" w:w="100"/>
              <w:right w:type="dxa" w:w="120"/>
            </w:tcMar>
          </w:tcPr>
          <w:p>
            <w:r>
              <w:rPr>
                <w:b w:val="false"/>
                <w:bCs w:val="false"/>
                <w:color w:val="000000"/>
              </w:rPr>
              <w:t xml:space="preserve">Supabase (Postgres, Auth, Storage, Realtime, Edge Functions)</w:t>
            </w:r>
          </w:p>
        </w:tc>
        <w:tc>
          <w:tcPr>
            <w:tcW w:type="dxa" w:w="2400"/>
            <w:tcMar>
              <w:top w:type="dxa" w:w="100"/>
              <w:left w:type="dxa" w:w="120"/>
              <w:bottom w:type="dxa" w:w="100"/>
              <w:right w:type="dxa" w:w="120"/>
            </w:tcMar>
          </w:tcPr>
          <w:p>
            <w:r>
              <w:rPr>
                <w:b w:val="false"/>
                <w:bCs w:val="false"/>
                <w:color w:val="000000"/>
              </w:rPr>
              <w:t xml:space="preserve">$0</w:t>
            </w:r>
          </w:p>
        </w:tc>
        <w:tc>
          <w:tcPr>
            <w:tcW w:type="dxa" w:w="3750"/>
            <w:tcMar>
              <w:top w:type="dxa" w:w="100"/>
              <w:left w:type="dxa" w:w="120"/>
              <w:bottom w:type="dxa" w:w="100"/>
              <w:right w:type="dxa" w:w="120"/>
            </w:tcMar>
          </w:tcPr>
          <w:p>
            <w:r>
              <w:rPr>
                <w:b w:val="false"/>
                <w:bCs w:val="false"/>
                <w:color w:val="000000"/>
              </w:rPr>
              <w:t xml:space="preserve">Free tier covers up to 50,000 monthly active users — comfortably covers MVP scale</w:t>
            </w:r>
          </w:p>
        </w:tc>
      </w:tr>
      <w:tr>
        <w:tc>
          <w:tcPr>
            <w:tcW w:type="dxa" w:w="3200"/>
            <w:tcMar>
              <w:top w:type="dxa" w:w="100"/>
              <w:left w:type="dxa" w:w="120"/>
              <w:bottom w:type="dxa" w:w="100"/>
              <w:right w:type="dxa" w:w="120"/>
            </w:tcMar>
          </w:tcPr>
          <w:p>
            <w:r>
              <w:rPr>
                <w:b w:val="false"/>
                <w:bCs w:val="false"/>
                <w:color w:val="000000"/>
              </w:rPr>
              <w:t xml:space="preserve">OneSignal (push notifications)</w:t>
            </w:r>
          </w:p>
        </w:tc>
        <w:tc>
          <w:tcPr>
            <w:tcW w:type="dxa" w:w="2400"/>
            <w:tcMar>
              <w:top w:type="dxa" w:w="100"/>
              <w:left w:type="dxa" w:w="120"/>
              <w:bottom w:type="dxa" w:w="100"/>
              <w:right w:type="dxa" w:w="120"/>
            </w:tcMar>
          </w:tcPr>
          <w:p>
            <w:r>
              <w:rPr>
                <w:b w:val="false"/>
                <w:bCs w:val="false"/>
                <w:color w:val="000000"/>
              </w:rPr>
              <w:t xml:space="preserve">$0</w:t>
            </w:r>
          </w:p>
        </w:tc>
        <w:tc>
          <w:tcPr>
            <w:tcW w:type="dxa" w:w="3750"/>
            <w:tcMar>
              <w:top w:type="dxa" w:w="100"/>
              <w:left w:type="dxa" w:w="120"/>
              <w:bottom w:type="dxa" w:w="100"/>
              <w:right w:type="dxa" w:w="120"/>
            </w:tcMar>
          </w:tcPr>
          <w:p>
            <w:r>
              <w:rPr>
                <w:b w:val="false"/>
                <w:bCs w:val="false"/>
                <w:color w:val="000000"/>
              </w:rPr>
              <w:t xml:space="preserve">Free tier covers MVP-level notification volume</w:t>
            </w:r>
          </w:p>
        </w:tc>
      </w:tr>
      <w:tr>
        <w:tc>
          <w:tcPr>
            <w:tcW w:type="dxa" w:w="3200"/>
            <w:tcMar>
              <w:top w:type="dxa" w:w="100"/>
              <w:left w:type="dxa" w:w="120"/>
              <w:bottom w:type="dxa" w:w="100"/>
              <w:right w:type="dxa" w:w="120"/>
            </w:tcMar>
          </w:tcPr>
          <w:p>
            <w:r>
              <w:rPr>
                <w:b w:val="false"/>
                <w:bCs w:val="false"/>
                <w:color w:val="000000"/>
              </w:rPr>
              <w:t xml:space="preserve">YouTube/Vimeo hosting</w:t>
            </w:r>
          </w:p>
        </w:tc>
        <w:tc>
          <w:tcPr>
            <w:tcW w:type="dxa" w:w="2400"/>
            <w:tcMar>
              <w:top w:type="dxa" w:w="100"/>
              <w:left w:type="dxa" w:w="120"/>
              <w:bottom w:type="dxa" w:w="100"/>
              <w:right w:type="dxa" w:w="120"/>
            </w:tcMar>
          </w:tcPr>
          <w:p>
            <w:r>
              <w:rPr>
                <w:b w:val="false"/>
                <w:bCs w:val="false"/>
                <w:color w:val="000000"/>
              </w:rPr>
              <w:t xml:space="preserve">$0</w:t>
            </w:r>
          </w:p>
        </w:tc>
        <w:tc>
          <w:tcPr>
            <w:tcW w:type="dxa" w:w="3750"/>
            <w:tcMar>
              <w:top w:type="dxa" w:w="100"/>
              <w:left w:type="dxa" w:w="120"/>
              <w:bottom w:type="dxa" w:w="100"/>
              <w:right w:type="dxa" w:w="120"/>
            </w:tcMar>
          </w:tcPr>
          <w:p>
            <w:r>
              <w:rPr>
                <w:b w:val="false"/>
                <w:bCs w:val="false"/>
                <w:color w:val="000000"/>
              </w:rPr>
              <w:t xml:space="preserve">Free embeds</w:t>
            </w:r>
          </w:p>
        </w:tc>
      </w:tr>
      <w:tr>
        <w:tc>
          <w:tcPr>
            <w:tcW w:type="dxa" w:w="3200"/>
            <w:tcMar>
              <w:top w:type="dxa" w:w="100"/>
              <w:left w:type="dxa" w:w="120"/>
              <w:bottom w:type="dxa" w:w="100"/>
              <w:right w:type="dxa" w:w="120"/>
            </w:tcMar>
          </w:tcPr>
          <w:p>
            <w:r>
              <w:rPr>
                <w:b w:val="false"/>
                <w:bCs w:val="false"/>
                <w:color w:val="000000"/>
              </w:rPr>
              <w:t xml:space="preserve">Google Meet/Calendar API</w:t>
            </w:r>
          </w:p>
        </w:tc>
        <w:tc>
          <w:tcPr>
            <w:tcW w:type="dxa" w:w="2400"/>
            <w:tcMar>
              <w:top w:type="dxa" w:w="100"/>
              <w:left w:type="dxa" w:w="120"/>
              <w:bottom w:type="dxa" w:w="100"/>
              <w:right w:type="dxa" w:w="120"/>
            </w:tcMar>
          </w:tcPr>
          <w:p>
            <w:r>
              <w:rPr>
                <w:b w:val="false"/>
                <w:bCs w:val="false"/>
                <w:color w:val="000000"/>
              </w:rPr>
              <w:t xml:space="preserve">$0</w:t>
            </w:r>
          </w:p>
        </w:tc>
        <w:tc>
          <w:tcPr>
            <w:tcW w:type="dxa" w:w="3750"/>
            <w:tcMar>
              <w:top w:type="dxa" w:w="100"/>
              <w:left w:type="dxa" w:w="120"/>
              <w:bottom w:type="dxa" w:w="100"/>
              <w:right w:type="dxa" w:w="120"/>
            </w:tcMar>
          </w:tcPr>
          <w:p>
            <w:r>
              <w:rPr>
                <w:b w:val="false"/>
                <w:bCs w:val="false"/>
                <w:color w:val="000000"/>
              </w:rPr>
              <w:t xml:space="preserve">Free at this usage level</w:t>
            </w:r>
          </w:p>
        </w:tc>
      </w:tr>
      <w:tr>
        <w:tc>
          <w:tcPr>
            <w:tcW w:type="dxa" w:w="3200"/>
            <w:tcMar>
              <w:top w:type="dxa" w:w="100"/>
              <w:left w:type="dxa" w:w="120"/>
              <w:bottom w:type="dxa" w:w="100"/>
              <w:right w:type="dxa" w:w="120"/>
            </w:tcMar>
          </w:tcPr>
          <w:p>
            <w:r>
              <w:rPr>
                <w:b w:val="false"/>
                <w:bCs w:val="false"/>
                <w:color w:val="000000"/>
              </w:rPr>
              <w:t xml:space="preserve">Domain + basic hosting (privacy policy, support page)</w:t>
            </w:r>
          </w:p>
        </w:tc>
        <w:tc>
          <w:tcPr>
            <w:tcW w:type="dxa" w:w="2400"/>
            <w:tcMar>
              <w:top w:type="dxa" w:w="100"/>
              <w:left w:type="dxa" w:w="120"/>
              <w:bottom w:type="dxa" w:w="100"/>
              <w:right w:type="dxa" w:w="120"/>
            </w:tcMar>
          </w:tcPr>
          <w:p>
            <w:r>
              <w:rPr>
                <w:b w:val="false"/>
                <w:bCs w:val="false"/>
                <w:color w:val="000000"/>
              </w:rPr>
              <w:t xml:space="preserve">$1 – $2</w:t>
            </w:r>
          </w:p>
        </w:tc>
        <w:tc>
          <w:tcPr>
            <w:tcW w:type="dxa" w:w="3750"/>
            <w:tcMar>
              <w:top w:type="dxa" w:w="100"/>
              <w:left w:type="dxa" w:w="120"/>
              <w:bottom w:type="dxa" w:w="100"/>
              <w:right w:type="dxa" w:w="120"/>
            </w:tcMar>
          </w:tcPr>
          <w:p>
            <w:r>
              <w:rPr>
                <w:b w:val="false"/>
                <w:bCs w:val="false"/>
                <w:color w:val="000000"/>
              </w:rPr>
              <w:t xml:space="preserve">Domain ~$12–$15/year; hosting on Supabase Storage or a free static host</w:t>
            </w:r>
          </w:p>
        </w:tc>
      </w:tr>
      <w:tr>
        <w:tc>
          <w:tcPr>
            <w:tcW w:type="dxa" w:w="3200"/>
            <w:tcMar>
              <w:top w:type="dxa" w:w="100"/>
              <w:left w:type="dxa" w:w="120"/>
              <w:bottom w:type="dxa" w:w="100"/>
              <w:right w:type="dxa" w:w="120"/>
            </w:tcMar>
          </w:tcPr>
          <w:p>
            <w:r>
              <w:rPr>
                <w:b w:val="false"/>
                <w:bCs w:val="false"/>
                <w:color w:val="000000"/>
              </w:rPr>
              <w:t xml:space="preserve">EAS Build (Expo)</w:t>
            </w:r>
          </w:p>
        </w:tc>
        <w:tc>
          <w:tcPr>
            <w:tcW w:type="dxa" w:w="2400"/>
            <w:tcMar>
              <w:top w:type="dxa" w:w="100"/>
              <w:left w:type="dxa" w:w="120"/>
              <w:bottom w:type="dxa" w:w="100"/>
              <w:right w:type="dxa" w:w="120"/>
            </w:tcMar>
          </w:tcPr>
          <w:p>
            <w:r>
              <w:rPr>
                <w:b w:val="false"/>
                <w:bCs w:val="false"/>
                <w:color w:val="000000"/>
              </w:rPr>
              <w:t xml:space="preserve">$0 – $29</w:t>
            </w:r>
          </w:p>
        </w:tc>
        <w:tc>
          <w:tcPr>
            <w:tcW w:type="dxa" w:w="3750"/>
            <w:tcMar>
              <w:top w:type="dxa" w:w="100"/>
              <w:left w:type="dxa" w:w="120"/>
              <w:bottom w:type="dxa" w:w="100"/>
              <w:right w:type="dxa" w:w="120"/>
            </w:tcMar>
          </w:tcPr>
          <w:p>
            <w:r>
              <w:rPr>
                <w:b w:val="false"/>
                <w:bCs w:val="false"/>
                <w:color w:val="000000"/>
              </w:rPr>
              <w:t xml:space="preserve">Free tier may suffice for infrequent builds during development</w:t>
            </w:r>
          </w:p>
        </w:tc>
      </w:tr>
      <w:tr>
        <w:tc>
          <w:tcPr>
            <w:tcW w:type="dxa" w:w="3200"/>
            <w:shd w:fill="D9E2F3" w:val="clear"/>
            <w:tcMar>
              <w:top w:type="dxa" w:w="100"/>
              <w:left w:type="dxa" w:w="120"/>
              <w:bottom w:type="dxa" w:w="100"/>
              <w:right w:type="dxa" w:w="120"/>
            </w:tcMar>
          </w:tcPr>
          <w:p>
            <w:r>
              <w:rPr>
                <w:b/>
                <w:bCs/>
                <w:color w:val="000000"/>
              </w:rPr>
              <w:t xml:space="preserve">TOTAL MVP running cost</w:t>
            </w:r>
          </w:p>
        </w:tc>
        <w:tc>
          <w:tcPr>
            <w:tcW w:type="dxa" w:w="2400"/>
            <w:shd w:fill="D9E2F3" w:val="clear"/>
            <w:tcMar>
              <w:top w:type="dxa" w:w="100"/>
              <w:left w:type="dxa" w:w="120"/>
              <w:bottom w:type="dxa" w:w="100"/>
              <w:right w:type="dxa" w:w="120"/>
            </w:tcMar>
          </w:tcPr>
          <w:p>
            <w:r>
              <w:rPr>
                <w:b/>
                <w:bCs/>
                <w:color w:val="000000"/>
              </w:rPr>
              <w:t xml:space="preserve">~$1 – $31/mo</w:t>
            </w:r>
          </w:p>
        </w:tc>
        <w:tc>
          <w:tcPr>
            <w:tcW w:type="dxa" w:w="3750"/>
            <w:shd w:fill="D9E2F3" w:val="clear"/>
            <w:tcMar>
              <w:top w:type="dxa" w:w="100"/>
              <w:left w:type="dxa" w:w="120"/>
              <w:bottom w:type="dxa" w:w="100"/>
              <w:right w:type="dxa" w:w="120"/>
            </w:tcMar>
          </w:tcPr>
          <w:p>
            <w:r>
              <w:rPr>
                <w:b/>
                <w:bCs/>
                <w:color w:val="000000"/>
              </w:rPr>
              <w:t xml:space="preserve">Excludes one-time app store fees below</w:t>
            </w:r>
          </w:p>
        </w:tc>
      </w:tr>
    </w:tbl>
    <w:p>
      <w:pPr>
        <w:pStyle w:val="Heading2"/>
        <w:spacing w:after="120" w:before="240"/>
      </w:pPr>
      <w:r>
        <w:rPr>
          <w:b/>
          <w:bCs/>
          <w:color w:val="2E5395"/>
        </w:rPr>
        <w:t xml:space="preserve">Full Vision (All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1F3864" w:val="clear"/>
            <w:tcMar>
              <w:top w:type="dxa" w:w="100"/>
              <w:left w:type="dxa" w:w="120"/>
              <w:bottom w:type="dxa" w:w="100"/>
              <w:right w:type="dxa" w:w="120"/>
            </w:tcMar>
          </w:tcPr>
          <w:p>
            <w:r>
              <w:rPr>
                <w:b/>
                <w:bCs/>
                <w:color w:val="FFFFFF"/>
              </w:rPr>
              <w:t xml:space="preserve">Item</w:t>
            </w:r>
          </w:p>
        </w:tc>
        <w:tc>
          <w:tcPr>
            <w:tcW w:type="dxa" w:w="2400"/>
            <w:shd w:fill="1F3864" w:val="clear"/>
            <w:tcMar>
              <w:top w:type="dxa" w:w="100"/>
              <w:left w:type="dxa" w:w="120"/>
              <w:bottom w:type="dxa" w:w="100"/>
              <w:right w:type="dxa" w:w="120"/>
            </w:tcMar>
          </w:tcPr>
          <w:p>
            <w:r>
              <w:rPr>
                <w:b/>
                <w:bCs/>
                <w:color w:val="FFFFFF"/>
              </w:rPr>
              <w:t xml:space="preserve">Estimated Monthly Cost</w:t>
            </w:r>
          </w:p>
        </w:tc>
        <w:tc>
          <w:tcPr>
            <w:tcW w:type="dxa" w:w="3750"/>
            <w:shd w:fill="1F3864" w:val="clear"/>
            <w:tcMar>
              <w:top w:type="dxa" w:w="100"/>
              <w:left w:type="dxa" w:w="120"/>
              <w:bottom w:type="dxa" w:w="100"/>
              <w:right w:type="dxa" w:w="120"/>
            </w:tcMar>
          </w:tcPr>
          <w:p>
            <w:r>
              <w:rPr>
                <w:b/>
                <w:bCs/>
                <w:color w:val="FFFFFF"/>
              </w:rPr>
              <w:t xml:space="preserve">Notes</w:t>
            </w:r>
          </w:p>
        </w:tc>
      </w:tr>
      <w:tr>
        <w:tc>
          <w:tcPr>
            <w:tcW w:type="dxa" w:w="3200"/>
            <w:tcMar>
              <w:top w:type="dxa" w:w="100"/>
              <w:left w:type="dxa" w:w="120"/>
              <w:bottom w:type="dxa" w:w="100"/>
              <w:right w:type="dxa" w:w="120"/>
            </w:tcMar>
          </w:tcPr>
          <w:p>
            <w:r>
              <w:rPr>
                <w:b w:val="false"/>
                <w:bCs w:val="false"/>
                <w:color w:val="000000"/>
              </w:rPr>
              <w:t xml:space="preserve">Supabase Pro (once past free tier)</w:t>
            </w:r>
          </w:p>
        </w:tc>
        <w:tc>
          <w:tcPr>
            <w:tcW w:type="dxa" w:w="2400"/>
            <w:tcMar>
              <w:top w:type="dxa" w:w="100"/>
              <w:left w:type="dxa" w:w="120"/>
              <w:bottom w:type="dxa" w:w="100"/>
              <w:right w:type="dxa" w:w="120"/>
            </w:tcMar>
          </w:tcPr>
          <w:p>
            <w:r>
              <w:rPr>
                <w:b w:val="false"/>
                <w:bCs w:val="false"/>
                <w:color w:val="000000"/>
              </w:rPr>
              <w:t xml:space="preserve">$25</w:t>
            </w:r>
          </w:p>
        </w:tc>
        <w:tc>
          <w:tcPr>
            <w:tcW w:type="dxa" w:w="3750"/>
            <w:tcMar>
              <w:top w:type="dxa" w:w="100"/>
              <w:left w:type="dxa" w:w="120"/>
              <w:bottom w:type="dxa" w:w="100"/>
              <w:right w:type="dxa" w:w="120"/>
            </w:tcMar>
          </w:tcPr>
          <w:p>
            <w:r>
              <w:rPr>
                <w:b w:val="false"/>
                <w:bCs w:val="false"/>
                <w:color w:val="000000"/>
              </w:rPr>
              <w:t xml:space="preserve">Flat monthly rate — no per-read/write billing surprises as usage grows</w:t>
            </w:r>
          </w:p>
        </w:tc>
      </w:tr>
      <w:tr>
        <w:tc>
          <w:tcPr>
            <w:tcW w:type="dxa" w:w="3200"/>
            <w:tcMar>
              <w:top w:type="dxa" w:w="100"/>
              <w:left w:type="dxa" w:w="120"/>
              <w:bottom w:type="dxa" w:w="100"/>
              <w:right w:type="dxa" w:w="120"/>
            </w:tcMar>
          </w:tcPr>
          <w:p>
            <w:r>
              <w:rPr>
                <w:b w:val="false"/>
                <w:bCs w:val="false"/>
                <w:color w:val="000000"/>
              </w:rPr>
              <w:t xml:space="preserve">OneSignal (larger notification volume)</w:t>
            </w:r>
          </w:p>
        </w:tc>
        <w:tc>
          <w:tcPr>
            <w:tcW w:type="dxa" w:w="2400"/>
            <w:tcMar>
              <w:top w:type="dxa" w:w="100"/>
              <w:left w:type="dxa" w:w="120"/>
              <w:bottom w:type="dxa" w:w="100"/>
              <w:right w:type="dxa" w:w="120"/>
            </w:tcMar>
          </w:tcPr>
          <w:p>
            <w:r>
              <w:rPr>
                <w:b w:val="false"/>
                <w:bCs w:val="false"/>
                <w:color w:val="000000"/>
              </w:rPr>
              <w:t xml:space="preserve">$0 – $30</w:t>
            </w:r>
          </w:p>
        </w:tc>
        <w:tc>
          <w:tcPr>
            <w:tcW w:type="dxa" w:w="3750"/>
            <w:tcMar>
              <w:top w:type="dxa" w:w="100"/>
              <w:left w:type="dxa" w:w="120"/>
              <w:bottom w:type="dxa" w:w="100"/>
              <w:right w:type="dxa" w:w="120"/>
            </w:tcMar>
          </w:tcPr>
          <w:p>
            <w:r>
              <w:rPr>
                <w:b w:val="false"/>
                <w:bCs w:val="false"/>
                <w:color w:val="000000"/>
              </w:rPr>
              <w:t xml:space="preserve">Free tier is generous; paid tier only needed at higher volume</w:t>
            </w:r>
          </w:p>
        </w:tc>
      </w:tr>
      <w:tr>
        <w:tc>
          <w:tcPr>
            <w:tcW w:type="dxa" w:w="3200"/>
            <w:tcMar>
              <w:top w:type="dxa" w:w="100"/>
              <w:left w:type="dxa" w:w="120"/>
              <w:bottom w:type="dxa" w:w="100"/>
              <w:right w:type="dxa" w:w="120"/>
            </w:tcMar>
          </w:tcPr>
          <w:p>
            <w:r>
              <w:rPr>
                <w:b w:val="false"/>
                <w:bCs w:val="false"/>
                <w:color w:val="000000"/>
              </w:rPr>
              <w:t xml:space="preserve">WatermelonDB / op-sqlite (offline sync)</w:t>
            </w:r>
          </w:p>
        </w:tc>
        <w:tc>
          <w:tcPr>
            <w:tcW w:type="dxa" w:w="2400"/>
            <w:tcMar>
              <w:top w:type="dxa" w:w="100"/>
              <w:left w:type="dxa" w:w="120"/>
              <w:bottom w:type="dxa" w:w="100"/>
              <w:right w:type="dxa" w:w="120"/>
            </w:tcMar>
          </w:tcPr>
          <w:p>
            <w:r>
              <w:rPr>
                <w:b w:val="false"/>
                <w:bCs w:val="false"/>
                <w:color w:val="000000"/>
              </w:rPr>
              <w:t xml:space="preserve">$0</w:t>
            </w:r>
          </w:p>
        </w:tc>
        <w:tc>
          <w:tcPr>
            <w:tcW w:type="dxa" w:w="3750"/>
            <w:tcMar>
              <w:top w:type="dxa" w:w="100"/>
              <w:left w:type="dxa" w:w="120"/>
              <w:bottom w:type="dxa" w:w="100"/>
              <w:right w:type="dxa" w:w="120"/>
            </w:tcMar>
          </w:tcPr>
          <w:p>
            <w:r>
              <w:rPr>
                <w:b w:val="false"/>
                <w:bCs w:val="false"/>
                <w:color w:val="000000"/>
              </w:rPr>
              <w:t xml:space="preserve">Open source — cost is developer time to build/maintain the sync layer, not a subscription</w:t>
            </w:r>
          </w:p>
        </w:tc>
      </w:tr>
      <w:tr>
        <w:tc>
          <w:tcPr>
            <w:tcW w:type="dxa" w:w="3200"/>
            <w:tcMar>
              <w:top w:type="dxa" w:w="100"/>
              <w:left w:type="dxa" w:w="120"/>
              <w:bottom w:type="dxa" w:w="100"/>
              <w:right w:type="dxa" w:w="120"/>
            </w:tcMar>
          </w:tcPr>
          <w:p>
            <w:r>
              <w:rPr>
                <w:b w:val="false"/>
                <w:bCs w:val="false"/>
                <w:color w:val="000000"/>
              </w:rPr>
              <w:t xml:space="preserve">Claude API (AI Ministry Assistant)</w:t>
            </w:r>
          </w:p>
        </w:tc>
        <w:tc>
          <w:tcPr>
            <w:tcW w:type="dxa" w:w="2400"/>
            <w:tcMar>
              <w:top w:type="dxa" w:w="100"/>
              <w:left w:type="dxa" w:w="120"/>
              <w:bottom w:type="dxa" w:w="100"/>
              <w:right w:type="dxa" w:w="120"/>
            </w:tcMar>
          </w:tcPr>
          <w:p>
            <w:r>
              <w:rPr>
                <w:b w:val="false"/>
                <w:bCs w:val="false"/>
                <w:color w:val="000000"/>
              </w:rPr>
              <w:t xml:space="preserve">$30 – $300+</w:t>
            </w:r>
          </w:p>
        </w:tc>
        <w:tc>
          <w:tcPr>
            <w:tcW w:type="dxa" w:w="3750"/>
            <w:tcMar>
              <w:top w:type="dxa" w:w="100"/>
              <w:left w:type="dxa" w:w="120"/>
              <w:bottom w:type="dxa" w:w="100"/>
              <w:right w:type="dxa" w:w="120"/>
            </w:tcMar>
          </w:tcPr>
          <w:p>
            <w:r>
              <w:rPr>
                <w:b w:val="false"/>
                <w:bCs w:val="false"/>
                <w:color w:val="000000"/>
              </w:rPr>
              <w:t xml:space="preserve">Highly usage-dependent; Haiku 4.5 ($1/$5 per million tokens) for routine Q&amp;A keeps this low, reserving Sonnet for harder summarization tasks</w:t>
            </w:r>
          </w:p>
        </w:tc>
      </w:tr>
      <w:tr>
        <w:tc>
          <w:tcPr>
            <w:tcW w:type="dxa" w:w="3200"/>
            <w:tcMar>
              <w:top w:type="dxa" w:w="100"/>
              <w:left w:type="dxa" w:w="120"/>
              <w:bottom w:type="dxa" w:w="100"/>
              <w:right w:type="dxa" w:w="120"/>
            </w:tcMar>
          </w:tcPr>
          <w:p>
            <w:r>
              <w:rPr>
                <w:b w:val="false"/>
                <w:bCs w:val="false"/>
                <w:color w:val="000000"/>
              </w:rPr>
              <w:t xml:space="preserve">Vector database (Pinecone or similar, for RAG)</w:t>
            </w:r>
          </w:p>
        </w:tc>
        <w:tc>
          <w:tcPr>
            <w:tcW w:type="dxa" w:w="2400"/>
            <w:tcMar>
              <w:top w:type="dxa" w:w="100"/>
              <w:left w:type="dxa" w:w="120"/>
              <w:bottom w:type="dxa" w:w="100"/>
              <w:right w:type="dxa" w:w="120"/>
            </w:tcMar>
          </w:tcPr>
          <w:p>
            <w:r>
              <w:rPr>
                <w:b w:val="false"/>
                <w:bCs w:val="false"/>
                <w:color w:val="000000"/>
              </w:rPr>
              <w:t xml:space="preserve">$0 – $70</w:t>
            </w:r>
          </w:p>
        </w:tc>
        <w:tc>
          <w:tcPr>
            <w:tcW w:type="dxa" w:w="3750"/>
            <w:tcMar>
              <w:top w:type="dxa" w:w="100"/>
              <w:left w:type="dxa" w:w="120"/>
              <w:bottom w:type="dxa" w:w="100"/>
              <w:right w:type="dxa" w:w="120"/>
            </w:tcMar>
          </w:tcPr>
          <w:p>
            <w:r>
              <w:rPr>
                <w:b w:val="false"/>
                <w:bCs w:val="false"/>
                <w:color w:val="000000"/>
              </w:rPr>
              <w:t xml:space="preserve">Free/starter tier likely sufficient unless the teaching-content library is very large</w:t>
            </w:r>
          </w:p>
        </w:tc>
      </w:tr>
      <w:tr>
        <w:tc>
          <w:tcPr>
            <w:tcW w:type="dxa" w:w="3200"/>
            <w:tcMar>
              <w:top w:type="dxa" w:w="100"/>
              <w:left w:type="dxa" w:w="120"/>
              <w:bottom w:type="dxa" w:w="100"/>
              <w:right w:type="dxa" w:w="120"/>
            </w:tcMar>
          </w:tcPr>
          <w:p>
            <w:r>
              <w:rPr>
                <w:b w:val="false"/>
                <w:bCs w:val="false"/>
                <w:color w:val="000000"/>
              </w:rPr>
              <w:t xml:space="preserve">Higgsfield (AI video creation)</w:t>
            </w:r>
          </w:p>
        </w:tc>
        <w:tc>
          <w:tcPr>
            <w:tcW w:type="dxa" w:w="2400"/>
            <w:tcMar>
              <w:top w:type="dxa" w:w="100"/>
              <w:left w:type="dxa" w:w="120"/>
              <w:bottom w:type="dxa" w:w="100"/>
              <w:right w:type="dxa" w:w="120"/>
            </w:tcMar>
          </w:tcPr>
          <w:p>
            <w:r>
              <w:rPr>
                <w:b w:val="false"/>
                <w:bCs w:val="false"/>
                <w:color w:val="000000"/>
              </w:rPr>
              <w:t xml:space="preserve">$47 – $99</w:t>
            </w:r>
          </w:p>
        </w:tc>
        <w:tc>
          <w:tcPr>
            <w:tcW w:type="dxa" w:w="3750"/>
            <w:tcMar>
              <w:top w:type="dxa" w:w="100"/>
              <w:left w:type="dxa" w:w="120"/>
              <w:bottom w:type="dxa" w:w="100"/>
              <w:right w:type="dxa" w:w="120"/>
            </w:tcMar>
          </w:tcPr>
          <w:p>
            <w:r>
              <w:rPr>
                <w:b w:val="false"/>
                <w:bCs w:val="false"/>
                <w:color w:val="000000"/>
              </w:rPr>
              <w:t xml:space="preserve">Plus or Ultra plan (annual billing), depending on devotional video volume needed per month</w:t>
            </w:r>
          </w:p>
        </w:tc>
      </w:tr>
      <w:tr>
        <w:tc>
          <w:tcPr>
            <w:tcW w:type="dxa" w:w="3200"/>
            <w:tcMar>
              <w:top w:type="dxa" w:w="100"/>
              <w:left w:type="dxa" w:w="120"/>
              <w:bottom w:type="dxa" w:w="100"/>
              <w:right w:type="dxa" w:w="120"/>
            </w:tcMar>
          </w:tcPr>
          <w:p>
            <w:r>
              <w:rPr>
                <w:b w:val="false"/>
                <w:bCs w:val="false"/>
                <w:color w:val="000000"/>
              </w:rPr>
              <w:t xml:space="preserve">Algolia (unified search)</w:t>
            </w:r>
          </w:p>
        </w:tc>
        <w:tc>
          <w:tcPr>
            <w:tcW w:type="dxa" w:w="2400"/>
            <w:tcMar>
              <w:top w:type="dxa" w:w="100"/>
              <w:left w:type="dxa" w:w="120"/>
              <w:bottom w:type="dxa" w:w="100"/>
              <w:right w:type="dxa" w:w="120"/>
            </w:tcMar>
          </w:tcPr>
          <w:p>
            <w:r>
              <w:rPr>
                <w:b w:val="false"/>
                <w:bCs w:val="false"/>
                <w:color w:val="000000"/>
              </w:rPr>
              <w:t xml:space="preserve">$0 – $50</w:t>
            </w:r>
          </w:p>
        </w:tc>
        <w:tc>
          <w:tcPr>
            <w:tcW w:type="dxa" w:w="3750"/>
            <w:tcMar>
              <w:top w:type="dxa" w:w="100"/>
              <w:left w:type="dxa" w:w="120"/>
              <w:bottom w:type="dxa" w:w="100"/>
              <w:right w:type="dxa" w:w="120"/>
            </w:tcMar>
          </w:tcPr>
          <w:p>
            <w:r>
              <w:rPr>
                <w:b w:val="false"/>
                <w:bCs w:val="false"/>
                <w:color w:val="000000"/>
              </w:rPr>
              <w:t xml:space="preserve">Only needed once the Library/Marketplace content volume is large</w:t>
            </w:r>
          </w:p>
        </w:tc>
      </w:tr>
      <w:tr>
        <w:tc>
          <w:tcPr>
            <w:tcW w:type="dxa" w:w="3200"/>
            <w:tcMar>
              <w:top w:type="dxa" w:w="100"/>
              <w:left w:type="dxa" w:w="120"/>
              <w:bottom w:type="dxa" w:w="100"/>
              <w:right w:type="dxa" w:w="120"/>
            </w:tcMar>
          </w:tcPr>
          <w:p>
            <w:r>
              <w:rPr>
                <w:b w:val="false"/>
                <w:bCs w:val="false"/>
                <w:color w:val="000000"/>
              </w:rPr>
              <w:t xml:space="preserve">Payment processing (Marketplace)</w:t>
            </w:r>
          </w:p>
        </w:tc>
        <w:tc>
          <w:tcPr>
            <w:tcW w:type="dxa" w:w="2400"/>
            <w:tcMar>
              <w:top w:type="dxa" w:w="100"/>
              <w:left w:type="dxa" w:w="120"/>
              <w:bottom w:type="dxa" w:w="100"/>
              <w:right w:type="dxa" w:w="120"/>
            </w:tcMar>
          </w:tcPr>
          <w:p>
            <w:r>
              <w:rPr>
                <w:b w:val="false"/>
                <w:bCs w:val="false"/>
                <w:color w:val="000000"/>
              </w:rPr>
              <w:t xml:space="preserve">Transaction-based</w:t>
            </w:r>
          </w:p>
        </w:tc>
        <w:tc>
          <w:tcPr>
            <w:tcW w:type="dxa" w:w="3750"/>
            <w:tcMar>
              <w:top w:type="dxa" w:w="100"/>
              <w:left w:type="dxa" w:w="120"/>
              <w:bottom w:type="dxa" w:w="100"/>
              <w:right w:type="dxa" w:w="120"/>
            </w:tcMar>
          </w:tcPr>
          <w:p>
            <w:r>
              <w:rPr>
                <w:b w:val="false"/>
                <w:bCs w:val="false"/>
                <w:color w:val="000000"/>
              </w:rPr>
              <w:t xml:space="preserve">~1.5–2.9% + a fixed fee per sale, depending on processor and region</w:t>
            </w:r>
          </w:p>
        </w:tc>
      </w:tr>
      <w:tr>
        <w:tc>
          <w:tcPr>
            <w:tcW w:type="dxa" w:w="3200"/>
            <w:shd w:fill="D9E2F3" w:val="clear"/>
            <w:tcMar>
              <w:top w:type="dxa" w:w="100"/>
              <w:left w:type="dxa" w:w="120"/>
              <w:bottom w:type="dxa" w:w="100"/>
              <w:right w:type="dxa" w:w="120"/>
            </w:tcMar>
          </w:tcPr>
          <w:p>
            <w:r>
              <w:rPr>
                <w:b/>
                <w:bCs/>
                <w:color w:val="000000"/>
              </w:rPr>
              <w:t xml:space="preserve">TOTAL Full Vision running cost</w:t>
            </w:r>
          </w:p>
        </w:tc>
        <w:tc>
          <w:tcPr>
            <w:tcW w:type="dxa" w:w="2400"/>
            <w:shd w:fill="D9E2F3" w:val="clear"/>
            <w:tcMar>
              <w:top w:type="dxa" w:w="100"/>
              <w:left w:type="dxa" w:w="120"/>
              <w:bottom w:type="dxa" w:w="100"/>
              <w:right w:type="dxa" w:w="120"/>
            </w:tcMar>
          </w:tcPr>
          <w:p>
            <w:r>
              <w:rPr>
                <w:b/>
                <w:bCs/>
                <w:color w:val="000000"/>
              </w:rPr>
              <w:t xml:space="preserve">~$100 – $575+/mo</w:t>
            </w:r>
          </w:p>
        </w:tc>
        <w:tc>
          <w:tcPr>
            <w:tcW w:type="dxa" w:w="3750"/>
            <w:shd w:fill="D9E2F3" w:val="clear"/>
            <w:tcMar>
              <w:top w:type="dxa" w:w="100"/>
              <w:left w:type="dxa" w:w="120"/>
              <w:bottom w:type="dxa" w:w="100"/>
              <w:right w:type="dxa" w:w="120"/>
            </w:tcMar>
          </w:tcPr>
          <w:p>
            <w:r>
              <w:rPr>
                <w:b/>
                <w:bCs/>
                <w:color w:val="000000"/>
              </w:rPr>
              <w:t xml:space="preserve">Wide range — driven almost entirely by AI usage volume; Supabase itself stays flat at $25/mo</w:t>
            </w:r>
          </w:p>
        </w:tc>
      </w:tr>
    </w:tbl>
    <w:p>
      <w:pPr>
        <w:pStyle w:val="Heading1"/>
        <w:spacing w:after="160" w:before="320"/>
      </w:pPr>
      <w:r>
        <w:rPr>
          <w:b/>
          <w:bCs/>
          <w:color w:val="1F3864"/>
        </w:rPr>
        <w:t xml:space="preserve">Section C: One-Time &amp; Annual Fixed Costs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1F3864" w:val="clear"/>
            <w:tcMar>
              <w:top w:type="dxa" w:w="100"/>
              <w:left w:type="dxa" w:w="120"/>
              <w:bottom w:type="dxa" w:w="100"/>
              <w:right w:type="dxa" w:w="120"/>
            </w:tcMar>
          </w:tcPr>
          <w:p>
            <w:r>
              <w:rPr>
                <w:b/>
                <w:bCs/>
                <w:color w:val="FFFFFF"/>
              </w:rPr>
              <w:t xml:space="preserve">Item</w:t>
            </w:r>
          </w:p>
        </w:tc>
        <w:tc>
          <w:tcPr>
            <w:tcW w:type="dxa" w:w="2400"/>
            <w:shd w:fill="1F3864" w:val="clear"/>
            <w:tcMar>
              <w:top w:type="dxa" w:w="100"/>
              <w:left w:type="dxa" w:w="120"/>
              <w:bottom w:type="dxa" w:w="100"/>
              <w:right w:type="dxa" w:w="120"/>
            </w:tcMar>
          </w:tcPr>
          <w:p>
            <w:r>
              <w:rPr>
                <w:b/>
                <w:bCs/>
                <w:color w:val="FFFFFF"/>
              </w:rPr>
              <w:t xml:space="preserve">Cost</w:t>
            </w:r>
          </w:p>
        </w:tc>
        <w:tc>
          <w:tcPr>
            <w:tcW w:type="dxa" w:w="3750"/>
            <w:shd w:fill="1F3864" w:val="clear"/>
            <w:tcMar>
              <w:top w:type="dxa" w:w="100"/>
              <w:left w:type="dxa" w:w="120"/>
              <w:bottom w:type="dxa" w:w="100"/>
              <w:right w:type="dxa" w:w="120"/>
            </w:tcMar>
          </w:tcPr>
          <w:p>
            <w:r>
              <w:rPr>
                <w:b/>
                <w:bCs/>
                <w:color w:val="FFFFFF"/>
              </w:rPr>
              <w:t xml:space="preserve">Notes</w:t>
            </w:r>
          </w:p>
        </w:tc>
      </w:tr>
      <w:tr>
        <w:tc>
          <w:tcPr>
            <w:tcW w:type="dxa" w:w="3200"/>
            <w:tcMar>
              <w:top w:type="dxa" w:w="100"/>
              <w:left w:type="dxa" w:w="120"/>
              <w:bottom w:type="dxa" w:w="100"/>
              <w:right w:type="dxa" w:w="120"/>
            </w:tcMar>
          </w:tcPr>
          <w:p>
            <w:r>
              <w:rPr>
                <w:b w:val="false"/>
                <w:bCs w:val="false"/>
                <w:color w:val="000000"/>
              </w:rPr>
              <w:t xml:space="preserve">Apple Developer Program</w:t>
            </w:r>
          </w:p>
        </w:tc>
        <w:tc>
          <w:tcPr>
            <w:tcW w:type="dxa" w:w="2400"/>
            <w:tcMar>
              <w:top w:type="dxa" w:w="100"/>
              <w:left w:type="dxa" w:w="120"/>
              <w:bottom w:type="dxa" w:w="100"/>
              <w:right w:type="dxa" w:w="120"/>
            </w:tcMar>
          </w:tcPr>
          <w:p>
            <w:r>
              <w:rPr>
                <w:b w:val="false"/>
                <w:bCs w:val="false"/>
                <w:color w:val="000000"/>
              </w:rPr>
              <w:t xml:space="preserve">$99/year</w:t>
            </w:r>
          </w:p>
        </w:tc>
        <w:tc>
          <w:tcPr>
            <w:tcW w:type="dxa" w:w="3750"/>
            <w:tcMar>
              <w:top w:type="dxa" w:w="100"/>
              <w:left w:type="dxa" w:w="120"/>
              <w:bottom w:type="dxa" w:w="100"/>
              <w:right w:type="dxa" w:w="120"/>
            </w:tcMar>
          </w:tcPr>
          <w:p>
            <w:r>
              <w:rPr>
                <w:b w:val="false"/>
                <w:bCs w:val="false"/>
                <w:color w:val="000000"/>
              </w:rPr>
              <w:t xml:space="preserve">Required to publish and update the iOS app at all</w:t>
            </w:r>
          </w:p>
        </w:tc>
      </w:tr>
      <w:tr>
        <w:tc>
          <w:tcPr>
            <w:tcW w:type="dxa" w:w="3200"/>
            <w:tcMar>
              <w:top w:type="dxa" w:w="100"/>
              <w:left w:type="dxa" w:w="120"/>
              <w:bottom w:type="dxa" w:w="100"/>
              <w:right w:type="dxa" w:w="120"/>
            </w:tcMar>
          </w:tcPr>
          <w:p>
            <w:r>
              <w:rPr>
                <w:b w:val="false"/>
                <w:bCs w:val="false"/>
                <w:color w:val="000000"/>
              </w:rPr>
              <w:t xml:space="preserve">Google Play Console</w:t>
            </w:r>
          </w:p>
        </w:tc>
        <w:tc>
          <w:tcPr>
            <w:tcW w:type="dxa" w:w="2400"/>
            <w:tcMar>
              <w:top w:type="dxa" w:w="100"/>
              <w:left w:type="dxa" w:w="120"/>
              <w:bottom w:type="dxa" w:w="100"/>
              <w:right w:type="dxa" w:w="120"/>
            </w:tcMar>
          </w:tcPr>
          <w:p>
            <w:r>
              <w:rPr>
                <w:b w:val="false"/>
                <w:bCs w:val="false"/>
                <w:color w:val="000000"/>
              </w:rPr>
              <w:t xml:space="preserve">$25 one-time</w:t>
            </w:r>
          </w:p>
        </w:tc>
        <w:tc>
          <w:tcPr>
            <w:tcW w:type="dxa" w:w="3750"/>
            <w:tcMar>
              <w:top w:type="dxa" w:w="100"/>
              <w:left w:type="dxa" w:w="120"/>
              <w:bottom w:type="dxa" w:w="100"/>
              <w:right w:type="dxa" w:w="120"/>
            </w:tcMar>
          </w:tcPr>
          <w:p>
            <w:r>
              <w:rPr>
                <w:b w:val="false"/>
                <w:bCs w:val="false"/>
                <w:color w:val="000000"/>
              </w:rPr>
              <w:t xml:space="preserve">No recurring fee after initial registration</w:t>
            </w:r>
          </w:p>
        </w:tc>
      </w:tr>
      <w:tr>
        <w:tc>
          <w:tcPr>
            <w:tcW w:type="dxa" w:w="3200"/>
            <w:tcMar>
              <w:top w:type="dxa" w:w="100"/>
              <w:left w:type="dxa" w:w="120"/>
              <w:bottom w:type="dxa" w:w="100"/>
              <w:right w:type="dxa" w:w="120"/>
            </w:tcMar>
          </w:tcPr>
          <w:p>
            <w:r>
              <w:rPr>
                <w:b w:val="false"/>
                <w:bCs w:val="false"/>
                <w:color w:val="000000"/>
              </w:rPr>
              <w:t xml:space="preserve">App Store / Play Store commission</w:t>
            </w:r>
          </w:p>
        </w:tc>
        <w:tc>
          <w:tcPr>
            <w:tcW w:type="dxa" w:w="2400"/>
            <w:tcMar>
              <w:top w:type="dxa" w:w="100"/>
              <w:left w:type="dxa" w:w="120"/>
              <w:bottom w:type="dxa" w:w="100"/>
              <w:right w:type="dxa" w:w="120"/>
            </w:tcMar>
          </w:tcPr>
          <w:p>
            <w:r>
              <w:rPr>
                <w:b w:val="false"/>
                <w:bCs w:val="false"/>
                <w:color w:val="000000"/>
              </w:rPr>
              <w:t xml:space="preserve">15–30% of digital sales</w:t>
            </w:r>
          </w:p>
        </w:tc>
        <w:tc>
          <w:tcPr>
            <w:tcW w:type="dxa" w:w="3750"/>
            <w:tcMar>
              <w:top w:type="dxa" w:w="100"/>
              <w:left w:type="dxa" w:w="120"/>
              <w:bottom w:type="dxa" w:w="100"/>
              <w:right w:type="dxa" w:w="120"/>
            </w:tcMar>
          </w:tcPr>
          <w:p>
            <w:r>
              <w:rPr>
                <w:b w:val="false"/>
                <w:bCs w:val="false"/>
                <w:color w:val="000000"/>
              </w:rPr>
              <w:t xml:space="preserve">Only applies once the Resource Marketplace sells digital goods through in-app purchase; 15% applies under $1M/year revenue on both stores</w:t>
            </w:r>
          </w:p>
        </w:tc>
      </w:tr>
      <w:tr>
        <w:tc>
          <w:tcPr>
            <w:tcW w:type="dxa" w:w="3200"/>
            <w:tcMar>
              <w:top w:type="dxa" w:w="100"/>
              <w:left w:type="dxa" w:w="120"/>
              <w:bottom w:type="dxa" w:w="100"/>
              <w:right w:type="dxa" w:w="120"/>
            </w:tcMar>
          </w:tcPr>
          <w:p>
            <w:r>
              <w:rPr>
                <w:b w:val="false"/>
                <w:bCs w:val="false"/>
                <w:color w:val="000000"/>
              </w:rPr>
              <w:t xml:space="preserve">Domain name</w:t>
            </w:r>
          </w:p>
        </w:tc>
        <w:tc>
          <w:tcPr>
            <w:tcW w:type="dxa" w:w="2400"/>
            <w:tcMar>
              <w:top w:type="dxa" w:w="100"/>
              <w:left w:type="dxa" w:w="120"/>
              <w:bottom w:type="dxa" w:w="100"/>
              <w:right w:type="dxa" w:w="120"/>
            </w:tcMar>
          </w:tcPr>
          <w:p>
            <w:r>
              <w:rPr>
                <w:b w:val="false"/>
                <w:bCs w:val="false"/>
                <w:color w:val="000000"/>
              </w:rPr>
              <w:t xml:space="preserve">~$12–$15/year</w:t>
            </w:r>
          </w:p>
        </w:tc>
        <w:tc>
          <w:tcPr>
            <w:tcW w:type="dxa" w:w="3750"/>
            <w:tcMar>
              <w:top w:type="dxa" w:w="100"/>
              <w:left w:type="dxa" w:w="120"/>
              <w:bottom w:type="dxa" w:w="100"/>
              <w:right w:type="dxa" w:w="120"/>
            </w:tcMar>
          </w:tcPr>
          <w:p>
            <w:r>
              <w:rPr>
                <w:b w:val="false"/>
                <w:bCs w:val="false"/>
                <w:color w:val="000000"/>
              </w:rPr>
              <w:t xml:space="preserve">For privacy policy page, support page, marketing site</w:t>
            </w:r>
          </w:p>
        </w:tc>
      </w:tr>
    </w:tbl>
    <w:p>
      <w:r>
        <w:br w:type="page"/>
      </w:r>
    </w:p>
    <w:p>
      <w:pPr>
        <w:pStyle w:val="Heading1"/>
        <w:spacing w:after="160" w:before="320"/>
      </w:pPr>
      <w:r>
        <w:rPr>
          <w:b/>
          <w:bCs/>
          <w:color w:val="1F3864"/>
        </w:rPr>
        <w:t xml:space="preserve">Section D: Notes &amp; Recommendations</w:t>
      </w:r>
    </w:p>
    <w:p>
      <w:pPr>
        <w:pStyle w:val="Heading2"/>
        <w:spacing w:after="120" w:before="240"/>
      </w:pPr>
      <w:r>
        <w:rPr>
          <w:b/>
          <w:bCs/>
          <w:color w:val="2E5395"/>
        </w:rPr>
        <w:t xml:space="preserve">Backend Decision: Supabase over Firebase</w:t>
      </w:r>
    </w:p>
    <w:p>
      <w:pPr>
        <w:spacing w:after="160" w:line="276"/>
      </w:pPr>
      <w:r>
        <w:t xml:space="preserve">This is a deliberate choice, made against the project's stated priorities of scale, cost, and reliability — not a default.</w:t>
      </w:r>
    </w:p>
    <w:p>
      <w:pPr>
        <w:pStyle w:val="ListParagraph"/>
        <w:numPr>
          <w:ilvl w:val="0"/>
          <w:numId w:val="2"/>
        </w:numPr>
        <w:spacing w:after="90" w:line="276"/>
      </w:pPr>
      <w:r>
        <w:t xml:space="preserve">Cost: Supabase's free tier covers up to 50,000 monthly active users with unlimited API requests; Pro is a flat $25/month after that. Firebase bills per read/write, which can range from $50 to $1,500+/month for a similarly sized app depending on usage patterns — a real budgeting risk for a church-funded project.</w:t>
      </w:r>
    </w:p>
    <w:p>
      <w:pPr>
        <w:pStyle w:val="ListParagraph"/>
        <w:numPr>
          <w:ilvl w:val="0"/>
          <w:numId w:val="2"/>
        </w:numPr>
        <w:spacing w:after="90" w:line="276"/>
      </w:pPr>
      <w:r>
        <w:t xml:space="preserve">Reliability for this data: the Builder → Supervising Minister → Lead Pastor approval chains and role-based visibility rules are relational by nature. Postgres + Row-Level Security enforces “Builders only see their own disciples” directly at the database level, which is more reliable in practice than replicating that logic in application code.</w:t>
      </w:r>
    </w:p>
    <w:p>
      <w:pPr>
        <w:pStyle w:val="ListParagraph"/>
        <w:numPr>
          <w:ilvl w:val="0"/>
          <w:numId w:val="2"/>
        </w:numPr>
        <w:spacing w:after="90" w:line="276"/>
      </w:pPr>
      <w:r>
        <w:t xml:space="preserve">The honest tradeoff: Supabase does not include offline sync or push notifications out of the box the way Firebase does. This is addressed by adding WatermelonDB (offline sync) and OneSignal (push) as dedicated tools — both proven, both with strong free tiers — rather than treating this as a gap.</w:t>
      </w:r>
    </w:p>
    <w:p>
      <w:pPr>
        <w:pStyle w:val="ListParagraph"/>
        <w:numPr>
          <w:ilvl w:val="0"/>
          <w:numId w:val="2"/>
        </w:numPr>
        <w:spacing w:after="90" w:line="276"/>
      </w:pPr>
      <w:r>
        <w:t xml:space="preserve">Bonus: Supabase works inside Expo Go without a custom native build, which should make early development faster than Firebase's setup requirements.</w:t>
      </w:r>
    </w:p>
    <w:p>
      <w:pPr>
        <w:pStyle w:val="Heading2"/>
        <w:spacing w:after="120" w:before="240"/>
      </w:pPr>
      <w:r>
        <w:rPr>
          <w:b/>
          <w:bCs/>
          <w:color w:val="2E5395"/>
        </w:rPr>
        <w:t xml:space="preserve">On the AI Ministry Assistant</w:t>
      </w:r>
    </w:p>
    <w:p>
      <w:pPr>
        <w:pStyle w:val="ListParagraph"/>
        <w:numPr>
          <w:ilvl w:val="0"/>
          <w:numId w:val="2"/>
        </w:numPr>
        <w:spacing w:after="90" w:line="276"/>
      </w:pPr>
      <w:r>
        <w:t xml:space="preserve">This is the single most variable cost in the Full Vision. Recommend using the cheaper Haiku model for routine Q&amp;A/search, and reserving the more expensive model only for harder summarization or explanation tasks.</w:t>
      </w:r>
    </w:p>
    <w:p>
      <w:pPr>
        <w:pStyle w:val="ListParagraph"/>
        <w:numPr>
          <w:ilvl w:val="0"/>
          <w:numId w:val="2"/>
        </w:numPr>
        <w:spacing w:after="90" w:line="276"/>
      </w:pPr>
      <w:r>
        <w:t xml:space="preserve">A small pilot (e.g. one month, a limited group of testers) before full rollout will give a real usage number instead of an estimate.</w:t>
      </w:r>
    </w:p>
    <w:p>
      <w:pPr>
        <w:pStyle w:val="Heading2"/>
        <w:spacing w:after="120" w:before="240"/>
      </w:pPr>
      <w:r>
        <w:rPr>
          <w:b/>
          <w:bCs/>
          <w:color w:val="2E5395"/>
        </w:rPr>
        <w:t xml:space="preserve">On Higgsfield / AI Video Creation</w:t>
      </w:r>
    </w:p>
    <w:p>
      <w:pPr>
        <w:pStyle w:val="ListParagraph"/>
        <w:numPr>
          <w:ilvl w:val="0"/>
          <w:numId w:val="2"/>
        </w:numPr>
        <w:spacing w:after="90" w:line="276"/>
      </w:pPr>
      <w:r>
        <w:t xml:space="preserve">Recommend starting with a lower tier and running a small proof-of-concept batch of devotional videos before committing to Plus or Ultra — credit consumption varies significantly by which underlying video model is used.</w:t>
      </w:r>
    </w:p>
    <w:p>
      <w:pPr>
        <w:pStyle w:val="ListParagraph"/>
        <w:numPr>
          <w:ilvl w:val="0"/>
          <w:numId w:val="2"/>
        </w:numPr>
        <w:spacing w:after="90" w:line="276"/>
      </w:pPr>
      <w:r>
        <w:t xml:space="preserve">Any AI-generated video using the Lead Pastor's likeness or voice needs his explicit review and consent before use, regardless of platform.</w:t>
      </w:r>
    </w:p>
    <w:p>
      <w:pPr>
        <w:pStyle w:val="Heading2"/>
        <w:spacing w:after="120" w:before="240"/>
      </w:pPr>
      <w:r>
        <w:rPr>
          <w:b/>
          <w:bCs/>
          <w:color w:val="2E5395"/>
        </w:rPr>
        <w:t xml:space="preserve">On Payments/Marketplace</w:t>
      </w:r>
    </w:p>
    <w:p>
      <w:pPr>
        <w:pStyle w:val="ListParagraph"/>
        <w:numPr>
          <w:ilvl w:val="0"/>
          <w:numId w:val="2"/>
        </w:numPr>
        <w:spacing w:after="90" w:line="276"/>
      </w:pPr>
      <w:r>
        <w:t xml:space="preserve">If most transactions will happen with members in Ghana or elsewhere in West Africa, Paystack or Flutterwave are usually cheaper and more locally convenient than Stripe; Stripe remains the simpler option for a global/diaspora audience.</w:t>
      </w:r>
    </w:p>
    <w:p>
      <w:pPr>
        <w:pStyle w:val="ListParagraph"/>
        <w:numPr>
          <w:ilvl w:val="0"/>
          <w:numId w:val="2"/>
        </w:numPr>
        <w:spacing w:after="90" w:line="276"/>
      </w:pPr>
      <w:r>
        <w:t xml:space="preserve">Selling directly through Apple/Google in-app purchase avoids needing a separate payment processor, but costs more (15–30% platform commission) than a web-based checkout.</w:t>
      </w:r>
    </w:p>
    <w:p>
      <w:pPr>
        <w:pStyle w:val="Heading2"/>
        <w:spacing w:after="120" w:before="240"/>
      </w:pPr>
      <w:r>
        <w:rPr>
          <w:b/>
          <w:bCs/>
          <w:color w:val="2E5395"/>
        </w:rPr>
        <w:t xml:space="preserve">Suggested Sequencing</w:t>
      </w:r>
    </w:p>
    <w:p>
      <w:pPr>
        <w:pStyle w:val="ListParagraph"/>
        <w:numPr>
          <w:ilvl w:val="0"/>
          <w:numId w:val="2"/>
        </w:numPr>
        <w:spacing w:after="90" w:line="276"/>
      </w:pPr>
      <w:r>
        <w:t xml:space="preserve">Launch MVP on Supabase (free tier) + OneSignal + YouTube/Vimeo + Google Meet — near-zero running cost.</w:t>
      </w:r>
    </w:p>
    <w:p>
      <w:pPr>
        <w:pStyle w:val="ListParagraph"/>
        <w:numPr>
          <w:ilvl w:val="0"/>
          <w:numId w:val="2"/>
        </w:numPr>
        <w:spacing w:after="90" w:line="276"/>
      </w:pPr>
      <w:r>
        <w:t xml:space="preserve">Build the WatermelonDB offline-sync layer early and test it thoroughly — this is the one piece that needs real engineering time up front rather than being “free” the way it would be on Firebase.</w:t>
      </w:r>
    </w:p>
    <w:p>
      <w:pPr>
        <w:pStyle w:val="ListParagraph"/>
        <w:numPr>
          <w:ilvl w:val="0"/>
          <w:numId w:val="2"/>
        </w:numPr>
        <w:spacing w:after="90" w:line="276"/>
      </w:pPr>
      <w:r>
        <w:t xml:space="preserve">Layer in the AI Ministry Assistant once curriculum content is finalized and stable (no point training/searching over content that's still changing).</w:t>
      </w:r>
    </w:p>
    <w:p>
      <w:pPr>
        <w:pStyle w:val="ListParagraph"/>
        <w:numPr>
          <w:ilvl w:val="0"/>
          <w:numId w:val="2"/>
        </w:numPr>
        <w:spacing w:after="90" w:line="276"/>
      </w:pPr>
      <w:r>
        <w:t xml:space="preserve">Add Higgsfield once there's a clear content production bottleneck it's meant to solve, rather than upfront.</w:t>
      </w:r>
    </w:p>
    <w:p>
      <w:pPr>
        <w:pStyle w:val="ListParagraph"/>
        <w:numPr>
          <w:ilvl w:val="0"/>
          <w:numId w:val="2"/>
        </w:numPr>
        <w:spacing w:after="90" w:line="276"/>
      </w:pPr>
      <w:r>
        <w:t xml:space="preserve">Add the Marketplace and payment processor only once there's real content/products ready to sell.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2026-07-27T17:23:53.670Z</dcterms:created>
  <dcterms:modified xsi:type="dcterms:W3CDTF">2026-07-27T17:23:53.683Z</dcterms:modified>
</cp:coreProperties>
</file>

<file path=docProps/custom.xml><?xml version="1.0" encoding="utf-8"?>
<Properties xmlns="http://schemas.openxmlformats.org/officeDocument/2006/custom-properties" xmlns:vt="http://schemas.openxmlformats.org/officeDocument/2006/docPropsVTypes"/>
</file>