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jc w:val="center"/>
      </w:pPr>
      <w:r>
        <w:rPr>
          <w:rFonts w:ascii="Arial" w:cs="Arial" w:eastAsia="Arial" w:hAnsi="Arial"/>
          <w:b/>
          <w:bCs/>
          <w:color w:val="2B586B"/>
          <w:sz w:val="72"/>
          <w:szCs w:val="72"/>
        </w:rPr>
        <w:t xml:space="preserve">⬡ VaultX</w:t>
      </w:r>
    </w:p>
    <w:p>
      <w:pPr>
        <w:spacing w:after="80"/>
        <w:jc w:val="center"/>
      </w:pPr>
      <w:r>
        <w:rPr>
          <w:rFonts w:ascii="Arial" w:cs="Arial" w:eastAsia="Arial" w:hAnsi="Arial"/>
          <w:color w:val="1E3F4E"/>
          <w:sz w:val="36"/>
          <w:szCs w:val="36"/>
        </w:rPr>
        <w:t xml:space="preserve">Product Requirements Document</w:t>
      </w:r>
    </w:p>
    <w:p>
      <w:pPr>
        <w:spacing w:after="600"/>
        <w:jc w:val="center"/>
      </w:pPr>
      <w:r>
        <w:rPr>
          <w:rFonts w:ascii="Arial" w:cs="Arial" w:eastAsia="Arial" w:hAnsi="Arial"/>
          <w:i/>
          <w:iCs/>
          <w:color w:val="6B7280"/>
          <w:sz w:val="26"/>
          <w:szCs w:val="26"/>
        </w:rPr>
        <w:t xml:space="preserve">QA Training Playground — Fintech Web Application</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Document Version</w:t>
            </w:r>
          </w:p>
        </w:tc>
        <w:tc>
          <w:tcPr>
            <w:tcW w:type="dxa" w:w="252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1.0.0</w:t>
            </w:r>
          </w:p>
        </w:tc>
      </w:tr>
      <w:tr>
        <w:tc>
          <w:tcPr>
            <w:tcW w:type="dxa" w:w="252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2520"/>
            <w:tcBorders>
              <w:top w:val="single" w:color="E2E8EC" w:sz="4"/>
              <w:left w:val="single" w:color="E2E8EC" w:sz="4"/>
              <w:bottom w:val="single" w:color="E2E8EC" w:sz="4"/>
              <w:right w:val="single" w:color="E2E8EC" w:sz="4"/>
            </w:tcBorders>
            <w:shd w:fill="DCFCE7" w:val="clear"/>
            <w:tcMar>
              <w:top w:type="dxa" w:w="80"/>
              <w:left w:type="dxa" w:w="120"/>
              <w:bottom w:type="dxa" w:w="80"/>
              <w:right w:type="dxa" w:w="120"/>
            </w:tcMar>
          </w:tcPr>
          <w:p>
            <w:pPr>
              <w:jc w:val="left"/>
            </w:pPr>
            <w:r>
              <w:rPr>
                <w:rFonts w:ascii="Arial" w:cs="Arial" w:eastAsia="Arial" w:hAnsi="Arial"/>
                <w:b/>
                <w:bCs/>
                <w:color w:val="166534"/>
                <w:sz w:val="20"/>
                <w:szCs w:val="20"/>
              </w:rPr>
              <w:t xml:space="preserve">Released for QA</w:t>
            </w:r>
          </w:p>
        </w:tc>
      </w:tr>
      <w:tr>
        <w:tc>
          <w:tcPr>
            <w:tcW w:type="dxa" w:w="252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Audience</w:t>
            </w:r>
          </w:p>
        </w:tc>
        <w:tc>
          <w:tcPr>
            <w:tcW w:type="dxa" w:w="252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QA Interns</w:t>
            </w:r>
          </w:p>
        </w:tc>
      </w:tr>
      <w:tr>
        <w:tc>
          <w:tcPr>
            <w:tcW w:type="dxa" w:w="252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Last Updated</w:t>
            </w:r>
          </w:p>
        </w:tc>
        <w:tc>
          <w:tcPr>
            <w:tcW w:type="dxa" w:w="252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April 2026</w:t>
            </w:r>
          </w:p>
        </w:tc>
      </w:tr>
      <w:tr>
        <w:tc>
          <w:tcPr>
            <w:tcW w:type="dxa" w:w="252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Product Owner</w:t>
            </w:r>
          </w:p>
        </w:tc>
        <w:tc>
          <w:tcPr>
            <w:tcW w:type="dxa" w:w="252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Ayo</w:t>
            </w:r>
          </w:p>
        </w:tc>
      </w:tr>
    </w:tbl>
    <w:p>
      <w:pPr>
        <w:spacing w:after="0" w:before="600"/>
      </w:pPr>
      <w:r>
        <w:t xml:space="preserve"/>
      </w:r>
    </w:p>
    <w:p>
      <w:r>
        <w:br w:type="page"/>
      </w:r>
    </w:p>
    <w:p>
      <w:pPr>
        <w:pStyle w:val="Heading1"/>
        <w:pBdr>
          <w:bottom w:val="single" w:color="2B586B" w:sz="6" w:space="4"/>
        </w:pBdr>
        <w:spacing w:after="120" w:before="360"/>
      </w:pPr>
      <w:r>
        <w:rPr>
          <w:rFonts w:ascii="Arial" w:cs="Arial" w:eastAsia="Arial" w:hAnsi="Arial"/>
          <w:b/>
          <w:bCs/>
          <w:color w:val="2B586B"/>
          <w:sz w:val="32"/>
          <w:szCs w:val="32"/>
        </w:rPr>
        <w:t xml:space="preserve">1. Product Overview</w:t>
      </w:r>
    </w:p>
    <w:p>
      <w:pPr>
        <w:spacing w:after="80" w:before="60"/>
      </w:pPr>
      <w:r>
        <w:rPr>
          <w:rFonts w:ascii="Arial" w:cs="Arial" w:eastAsia="Arial" w:hAnsi="Arial"/>
          <w:color w:val="0F2830"/>
          <w:sz w:val="22"/>
          <w:szCs w:val="22"/>
        </w:rPr>
        <w:t xml:space="preserve">VaultX is a browser-based fintech playground application built to simulate a real-world crypto wallet product. Its primary purpose is to serve as a safe, controlled environment where QA interns can develop and sharpen their manual and automated testing skills before being deployed to live client projects.</w:t>
      </w:r>
    </w:p>
    <w:p>
      <w:pPr>
        <w:spacing w:after="0" w:before="80"/>
      </w:pPr>
      <w:r>
        <w:t xml:space="preserve"/>
      </w:r>
    </w:p>
    <w:p>
      <w:pPr>
        <w:spacing w:after="80" w:before="60"/>
      </w:pPr>
      <w:r>
        <w:rPr>
          <w:rFonts w:ascii="Arial" w:cs="Arial" w:eastAsia="Arial" w:hAnsi="Arial"/>
          <w:color w:val="0F2830"/>
          <w:sz w:val="22"/>
          <w:szCs w:val="22"/>
        </w:rPr>
        <w:t xml:space="preserve">The application mirrors the core workflows found in modern fintech and crypto products — authentication, portfolio management, fund transfers, and transaction history — giving interns exposure to realistic test scenarios across multiple user flows.</w:t>
      </w:r>
    </w:p>
    <w:p>
      <w:pPr>
        <w:spacing w:after="0" w:before="80"/>
      </w:pPr>
      <w:r>
        <w:t xml:space="preserve"/>
      </w:r>
    </w:p>
    <w:tbl>
      <w:tblPr>
        <w:tblW w:type="dxa" w:w="9360"/>
        <w:tblBorders>
          <w:top w:val="single" w:color="2B586B" w:sz="8"/>
          <w:left w:val="single" w:color="2B586B" w:sz="24"/>
          <w:bottom w:val="single" w:color="2B586B" w:sz="4"/>
          <w:right w:val="single" w:color="E2E8E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7" w:val="clear"/>
            <w:tcMar>
              <w:top w:type="dxa" w:w="120"/>
              <w:left w:type="dxa" w:w="200"/>
              <w:bottom w:type="dxa" w:w="120"/>
              <w:right w:type="dxa" w:w="200"/>
            </w:tcMar>
          </w:tcPr>
          <w:p>
            <w:pPr>
              <w:spacing w:after="60"/>
            </w:pPr>
            <w:r>
              <w:rPr>
                <w:rFonts w:ascii="Arial" w:cs="Arial" w:eastAsia="Arial" w:hAnsi="Arial"/>
                <w:b/>
                <w:bCs/>
                <w:color w:val="2B586B"/>
                <w:sz w:val="20"/>
                <w:szCs w:val="20"/>
              </w:rPr>
              <w:t xml:space="preserve">Why VaultX exists</w:t>
            </w:r>
          </w:p>
          <w:p>
            <w:r>
              <w:rPr>
                <w:rFonts w:ascii="Arial" w:cs="Arial" w:eastAsia="Arial" w:hAnsi="Arial"/>
                <w:color w:val="0F2830"/>
                <w:sz w:val="20"/>
                <w:szCs w:val="20"/>
              </w:rPr>
              <w:t xml:space="preserve">Real fintech clients have zero tolerance for bugs in production. VaultX gives interns the reps they need — writing test cases, filing bug reports, and building Playwright automation — in an environment where mistakes are learning opportunities, not incidents.</w:t>
            </w:r>
          </w:p>
        </w:tc>
      </w:tr>
    </w:tbl>
    <w:p>
      <w:pPr>
        <w:spacing w:after="0" w:before="120"/>
      </w:pPr>
      <w:r>
        <w:t xml:space="preserve"/>
      </w:r>
    </w:p>
    <w:p>
      <w:pPr>
        <w:pStyle w:val="Heading2"/>
        <w:spacing w:after="100" w:before="280"/>
      </w:pPr>
      <w:r>
        <w:rPr>
          <w:rFonts w:ascii="Arial" w:cs="Arial" w:eastAsia="Arial" w:hAnsi="Arial"/>
          <w:b/>
          <w:bCs/>
          <w:color w:val="1E3F4E"/>
          <w:sz w:val="26"/>
          <w:szCs w:val="26"/>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656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r>
      <w:tr>
        <w:tc>
          <w:tcPr>
            <w:tcW w:type="dxa" w:w="28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Frontend</w:t>
            </w:r>
          </w:p>
        </w:tc>
        <w:tc>
          <w:tcPr>
            <w:tcW w:type="dxa" w:w="65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React 18 (Vite), React Router v6, CSS Modules</w:t>
            </w:r>
          </w:p>
        </w:tc>
      </w:tr>
      <w:tr>
        <w:tc>
          <w:tcPr>
            <w:tcW w:type="dxa" w:w="28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Styling</w:t>
            </w:r>
          </w:p>
        </w:tc>
        <w:tc>
          <w:tcPr>
            <w:tcW w:type="dxa" w:w="65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Space Grotesk + JetBrains Mono fonts, CSS custom properties, Option B light theme (#2B586B brand)</w:t>
            </w:r>
          </w:p>
        </w:tc>
      </w:tr>
      <w:tr>
        <w:tc>
          <w:tcPr>
            <w:tcW w:type="dxa" w:w="28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State</w:t>
            </w:r>
          </w:p>
        </w:tc>
        <w:tc>
          <w:tcPr>
            <w:tcW w:type="dxa" w:w="65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React useState / custom useAppState hook</w:t>
            </w:r>
          </w:p>
        </w:tc>
      </w:tr>
      <w:tr>
        <w:tc>
          <w:tcPr>
            <w:tcW w:type="dxa" w:w="28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API</w:t>
            </w:r>
          </w:p>
        </w:tc>
        <w:tc>
          <w:tcPr>
            <w:tcW w:type="dxa" w:w="65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Express.js REST API (separate vaultx-api repo)</w:t>
            </w:r>
          </w:p>
        </w:tc>
      </w:tr>
      <w:tr>
        <w:tc>
          <w:tcPr>
            <w:tcW w:type="dxa" w:w="28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Real-time sync</w:t>
            </w:r>
          </w:p>
        </w:tc>
        <w:tc>
          <w:tcPr>
            <w:tcW w:type="dxa" w:w="65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WebSocket (ws library) — API mutations broadcast live to UI</w:t>
            </w:r>
          </w:p>
        </w:tc>
      </w:tr>
      <w:tr>
        <w:tc>
          <w:tcPr>
            <w:tcW w:type="dxa" w:w="28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Deployment</w:t>
            </w:r>
          </w:p>
        </w:tc>
        <w:tc>
          <w:tcPr>
            <w:tcW w:type="dxa" w:w="65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Vercel / Netlify (UI), Render / Railway (API)</w:t>
            </w:r>
          </w:p>
        </w:tc>
      </w:tr>
      <w:tr>
        <w:tc>
          <w:tcPr>
            <w:tcW w:type="dxa" w:w="28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Test IDs</w:t>
            </w:r>
          </w:p>
        </w:tc>
        <w:tc>
          <w:tcPr>
            <w:tcW w:type="dxa" w:w="65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data-testid attributes on all interactive elements</w:t>
            </w:r>
          </w:p>
        </w:tc>
      </w:tr>
    </w:tbl>
    <w:p>
      <w:pPr>
        <w:spacing w:after="0" w:before="120"/>
      </w:pPr>
      <w:r>
        <w:t xml:space="preserve"/>
      </w:r>
    </w:p>
    <w:p>
      <w:pPr>
        <w:pStyle w:val="Heading2"/>
        <w:spacing w:after="100" w:before="280"/>
      </w:pPr>
      <w:r>
        <w:rPr>
          <w:rFonts w:ascii="Arial" w:cs="Arial" w:eastAsia="Arial" w:hAnsi="Arial"/>
          <w:b/>
          <w:bCs/>
          <w:color w:val="1E3F4E"/>
          <w:sz w:val="26"/>
          <w:szCs w:val="26"/>
        </w:rPr>
        <w:t xml:space="preserve">1.2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Env</w:t>
            </w:r>
          </w:p>
        </w:tc>
        <w:tc>
          <w:tcPr>
            <w:tcW w:type="dxa" w:w="368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UI URL</w:t>
            </w:r>
          </w:p>
        </w:tc>
        <w:tc>
          <w:tcPr>
            <w:tcW w:type="dxa" w:w="368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API URL</w:t>
            </w:r>
          </w:p>
        </w:tc>
      </w:tr>
      <w:tr>
        <w:tc>
          <w:tcPr>
            <w:tcW w:type="dxa" w:w="20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Local</w:t>
            </w:r>
          </w:p>
        </w:tc>
        <w:tc>
          <w:tcPr>
            <w:tcW w:type="dxa" w:w="368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http://localhost:3000</w:t>
            </w:r>
          </w:p>
        </w:tc>
        <w:tc>
          <w:tcPr>
            <w:tcW w:type="dxa" w:w="368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http://localhost:4000</w:t>
            </w:r>
          </w:p>
        </w:tc>
      </w:tr>
      <w:tr>
        <w:tc>
          <w:tcPr>
            <w:tcW w:type="dxa" w:w="20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Staging</w:t>
            </w:r>
          </w:p>
        </w:tc>
        <w:tc>
          <w:tcPr>
            <w:tcW w:type="dxa" w:w="368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https://vaultx-staging.vercel.app</w:t>
            </w:r>
          </w:p>
        </w:tc>
        <w:tc>
          <w:tcPr>
            <w:tcW w:type="dxa" w:w="368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https://vaultx-api-staging.onrender.com</w:t>
            </w:r>
          </w:p>
        </w:tc>
      </w:tr>
      <w:tr>
        <w:tc>
          <w:tcPr>
            <w:tcW w:type="dxa" w:w="20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Production</w:t>
            </w:r>
          </w:p>
        </w:tc>
        <w:tc>
          <w:tcPr>
            <w:tcW w:type="dxa" w:w="368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https://vaultx.vercel.app</w:t>
            </w:r>
          </w:p>
        </w:tc>
        <w:tc>
          <w:tcPr>
            <w:tcW w:type="dxa" w:w="368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https://vaultx-api.onrender.com</w:t>
            </w:r>
          </w:p>
        </w:tc>
      </w:tr>
    </w:tbl>
    <w:p>
      <w:r>
        <w:br w:type="page"/>
      </w:r>
    </w:p>
    <w:p>
      <w:pPr>
        <w:pStyle w:val="Heading1"/>
        <w:pBdr>
          <w:bottom w:val="single" w:color="2B586B" w:sz="6" w:space="4"/>
        </w:pBdr>
        <w:spacing w:after="120" w:before="360"/>
      </w:pPr>
      <w:r>
        <w:rPr>
          <w:rFonts w:ascii="Arial" w:cs="Arial" w:eastAsia="Arial" w:hAnsi="Arial"/>
          <w:b/>
          <w:bCs/>
          <w:color w:val="2B586B"/>
          <w:sz w:val="32"/>
          <w:szCs w:val="32"/>
        </w:rPr>
        <w:t xml:space="preserve">2. Test Credentials &amp; Seed Data</w:t>
      </w:r>
    </w:p>
    <w:p>
      <w:pPr>
        <w:pStyle w:val="Heading2"/>
        <w:spacing w:after="100" w:before="280"/>
      </w:pPr>
      <w:r>
        <w:rPr>
          <w:rFonts w:ascii="Arial" w:cs="Arial" w:eastAsia="Arial" w:hAnsi="Arial"/>
          <w:b/>
          <w:bCs/>
          <w:color w:val="1E3F4E"/>
          <w:sz w:val="26"/>
          <w:szCs w:val="26"/>
        </w:rPr>
        <w:t xml:space="preserve">2.1 User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560"/>
        <w:gridCol w:w="1800"/>
      </w:tblGrid>
      <w:tr>
        <w:tc>
          <w:tcPr>
            <w:tcW w:type="dxa" w:w="22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User</w:t>
            </w:r>
          </w:p>
        </w:tc>
        <w:tc>
          <w:tcPr>
            <w:tcW w:type="dxa" w:w="20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Email</w:t>
            </w:r>
          </w:p>
        </w:tc>
        <w:tc>
          <w:tcPr>
            <w:tcW w:type="dxa" w:w="18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Password</w:t>
            </w:r>
          </w:p>
        </w:tc>
        <w:tc>
          <w:tcPr>
            <w:tcW w:type="dxa" w:w="156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2FA Code</w:t>
            </w:r>
          </w:p>
        </w:tc>
        <w:tc>
          <w:tcPr>
            <w:tcW w:type="dxa" w:w="18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Role</w:t>
            </w:r>
          </w:p>
        </w:tc>
      </w:tr>
      <w:tr>
        <w:tc>
          <w:tcPr>
            <w:tcW w:type="dxa" w:w="2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Jordan Okafor</w:t>
            </w:r>
          </w:p>
        </w:tc>
        <w:tc>
          <w:tcPr>
            <w:tcW w:type="dxa" w:w="20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qa@vaultx.io</w:t>
            </w:r>
          </w:p>
        </w:tc>
        <w:tc>
          <w:tcPr>
            <w:tcW w:type="dxa" w:w="18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Test@1234</w:t>
            </w:r>
          </w:p>
        </w:tc>
        <w:tc>
          <w:tcPr>
            <w:tcW w:type="dxa" w:w="15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2B586B"/>
                <w:sz w:val="20"/>
                <w:szCs w:val="20"/>
              </w:rPr>
              <w:t xml:space="preserve">482910</w:t>
            </w:r>
          </w:p>
        </w:tc>
        <w:tc>
          <w:tcPr>
            <w:tcW w:type="dxa" w:w="18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QA Engineer</w:t>
            </w:r>
          </w:p>
        </w:tc>
      </w:tr>
      <w:tr>
        <w:tc>
          <w:tcPr>
            <w:tcW w:type="dxa" w:w="2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Priya Nair</w:t>
            </w:r>
          </w:p>
        </w:tc>
        <w:tc>
          <w:tcPr>
            <w:tcW w:type="dxa" w:w="20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intern@vaultx.io</w:t>
            </w:r>
          </w:p>
        </w:tc>
        <w:tc>
          <w:tcPr>
            <w:tcW w:type="dxa" w:w="18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Intern@99</w:t>
            </w:r>
          </w:p>
        </w:tc>
        <w:tc>
          <w:tcPr>
            <w:tcW w:type="dxa" w:w="15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2B586B"/>
                <w:sz w:val="20"/>
                <w:szCs w:val="20"/>
              </w:rPr>
              <w:t xml:space="preserve">773421</w:t>
            </w:r>
          </w:p>
        </w:tc>
        <w:tc>
          <w:tcPr>
            <w:tcW w:type="dxa" w:w="18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QA Intern</w:t>
            </w:r>
          </w:p>
        </w:tc>
      </w:tr>
    </w:tbl>
    <w:p>
      <w:pPr>
        <w:spacing w:after="0" w:before="80"/>
      </w:pPr>
      <w:r>
        <w:t xml:space="preserve"/>
      </w:r>
    </w:p>
    <w:tbl>
      <w:tblPr>
        <w:tblW w:type="dxa" w:w="9360"/>
        <w:tblBorders>
          <w:top w:val="single" w:color="2B586B" w:sz="8"/>
          <w:left w:val="single" w:color="2B586B" w:sz="24"/>
          <w:bottom w:val="single" w:color="2B586B" w:sz="4"/>
          <w:right w:val="single" w:color="E2E8E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7" w:val="clear"/>
            <w:tcMar>
              <w:top w:type="dxa" w:w="120"/>
              <w:left w:type="dxa" w:w="200"/>
              <w:bottom w:type="dxa" w:w="120"/>
              <w:right w:type="dxa" w:w="200"/>
            </w:tcMar>
          </w:tcPr>
          <w:p>
            <w:pPr>
              <w:spacing w:after="60"/>
            </w:pPr>
            <w:r>
              <w:rPr>
                <w:rFonts w:ascii="Arial" w:cs="Arial" w:eastAsia="Arial" w:hAnsi="Arial"/>
                <w:b/>
                <w:bCs/>
                <w:color w:val="2B586B"/>
                <w:sz w:val="20"/>
                <w:szCs w:val="20"/>
              </w:rPr>
              <w:t xml:space="preserve">Note on 2FA codes</w:t>
            </w:r>
          </w:p>
          <w:p>
            <w:r>
              <w:rPr>
                <w:rFonts w:ascii="Arial" w:cs="Arial" w:eastAsia="Arial" w:hAnsi="Arial"/>
                <w:color w:val="0F2830"/>
                <w:sz w:val="20"/>
                <w:szCs w:val="20"/>
              </w:rPr>
              <w:t xml:space="preserve">The OTP codes are hardcoded constants — they never change. This is intentional for the playground so that Playwright tests can reliably hardcode them without flakiness.</w:t>
            </w:r>
          </w:p>
        </w:tc>
      </w:tr>
    </w:tbl>
    <w:p>
      <w:pPr>
        <w:spacing w:after="0" w:before="120"/>
      </w:pPr>
      <w:r>
        <w:t xml:space="preserve"/>
      </w:r>
    </w:p>
    <w:p>
      <w:pPr>
        <w:pStyle w:val="Heading2"/>
        <w:spacing w:after="100" w:before="280"/>
      </w:pPr>
      <w:r>
        <w:rPr>
          <w:rFonts w:ascii="Arial" w:cs="Arial" w:eastAsia="Arial" w:hAnsi="Arial"/>
          <w:b/>
          <w:bCs/>
          <w:color w:val="1E3F4E"/>
          <w:sz w:val="26"/>
          <w:szCs w:val="26"/>
        </w:rPr>
        <w:t xml:space="preserve">2.2 Seed Wallets (Jordan Okafor — user_001)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800"/>
        <w:gridCol w:w="1800"/>
        <w:gridCol w:w="1960"/>
      </w:tblGrid>
      <w:tr>
        <w:tc>
          <w:tcPr>
            <w:tcW w:type="dxa" w:w="14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Symbol</w:t>
            </w:r>
          </w:p>
        </w:tc>
        <w:tc>
          <w:tcPr>
            <w:tcW w:type="dxa" w:w="24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18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Balance</w:t>
            </w:r>
          </w:p>
        </w:tc>
        <w:tc>
          <w:tcPr>
            <w:tcW w:type="dxa" w:w="18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USD Rate</w:t>
            </w:r>
          </w:p>
        </w:tc>
        <w:tc>
          <w:tcPr>
            <w:tcW w:type="dxa" w:w="196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USD Value</w:t>
            </w:r>
          </w:p>
        </w:tc>
      </w:tr>
      <w:tr>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BTC</w:t>
            </w:r>
          </w:p>
        </w:tc>
        <w:tc>
          <w:tcPr>
            <w:tcW w:type="dxa" w:w="2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Bitcoin</w:t>
            </w:r>
          </w:p>
        </w:tc>
        <w:tc>
          <w:tcPr>
            <w:tcW w:type="dxa" w:w="18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0.84231</w:t>
            </w:r>
          </w:p>
        </w:tc>
        <w:tc>
          <w:tcPr>
            <w:tcW w:type="dxa" w:w="18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$62,480</w:t>
            </w:r>
          </w:p>
        </w:tc>
        <w:tc>
          <w:tcPr>
            <w:tcW w:type="dxa" w:w="1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$52,627.53</w:t>
            </w:r>
          </w:p>
        </w:tc>
      </w:tr>
      <w:tr>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ETH</w:t>
            </w:r>
          </w:p>
        </w:tc>
        <w:tc>
          <w:tcPr>
            <w:tcW w:type="dxa" w:w="2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Ethereum</w:t>
            </w:r>
          </w:p>
        </w:tc>
        <w:tc>
          <w:tcPr>
            <w:tcW w:type="dxa" w:w="18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4.2091</w:t>
            </w:r>
          </w:p>
        </w:tc>
        <w:tc>
          <w:tcPr>
            <w:tcW w:type="dxa" w:w="18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$3,105</w:t>
            </w:r>
          </w:p>
        </w:tc>
        <w:tc>
          <w:tcPr>
            <w:tcW w:type="dxa" w:w="1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$13,069.26</w:t>
            </w:r>
          </w:p>
        </w:tc>
      </w:tr>
      <w:tr>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USDT</w:t>
            </w:r>
          </w:p>
        </w:tc>
        <w:tc>
          <w:tcPr>
            <w:tcW w:type="dxa" w:w="2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Tether</w:t>
            </w:r>
          </w:p>
        </w:tc>
        <w:tc>
          <w:tcPr>
            <w:tcW w:type="dxa" w:w="18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2,450.00</w:t>
            </w:r>
          </w:p>
        </w:tc>
        <w:tc>
          <w:tcPr>
            <w:tcW w:type="dxa" w:w="18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$1.00</w:t>
            </w:r>
          </w:p>
        </w:tc>
        <w:tc>
          <w:tcPr>
            <w:tcW w:type="dxa" w:w="1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$2,450.00</w:t>
            </w:r>
          </w:p>
        </w:tc>
      </w:tr>
      <w:tr>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SOL</w:t>
            </w:r>
          </w:p>
        </w:tc>
        <w:tc>
          <w:tcPr>
            <w:tcW w:type="dxa" w:w="2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Solana</w:t>
            </w:r>
          </w:p>
        </w:tc>
        <w:tc>
          <w:tcPr>
            <w:tcW w:type="dxa" w:w="18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18.55</w:t>
            </w:r>
          </w:p>
        </w:tc>
        <w:tc>
          <w:tcPr>
            <w:tcW w:type="dxa" w:w="18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$148</w:t>
            </w:r>
          </w:p>
        </w:tc>
        <w:tc>
          <w:tcPr>
            <w:tcW w:type="dxa" w:w="1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$2,745.40</w:t>
            </w:r>
          </w:p>
        </w:tc>
      </w:tr>
      <w:tr>
        <w:tc>
          <w:tcPr>
            <w:tcW w:type="dxa" w:w="1400"/>
            <w:tcBorders>
              <w:top w:val="single" w:color="E2E8EC" w:sz="4"/>
              <w:left w:val="single" w:color="E2E8EC" w:sz="4"/>
              <w:bottom w:val="single" w:color="E2E8EC" w:sz="4"/>
              <w:right w:val="single" w:color="E2E8EC" w:sz="4"/>
            </w:tcBorders>
            <w:shd w:fill="EBF4F7" w:val="clear"/>
            <w:tcMar>
              <w:top w:type="dxa" w:w="80"/>
              <w:left w:type="dxa" w:w="120"/>
              <w:bottom w:type="dxa" w:w="80"/>
              <w:right w:type="dxa" w:w="120"/>
            </w:tcMar>
          </w:tcPr>
          <w:p>
            <w:pPr>
              <w:jc w:val="left"/>
            </w:pPr>
            <w:r>
              <w:rPr>
                <w:rFonts w:ascii="Arial" w:cs="Arial" w:eastAsia="Arial" w:hAnsi="Arial"/>
                <w:b/>
                <w:bCs/>
                <w:color w:val="0F2830"/>
                <w:sz w:val="20"/>
                <w:szCs w:val="20"/>
              </w:rPr>
              <w:t xml:space="preserve">TOTAL</w:t>
            </w:r>
          </w:p>
        </w:tc>
        <w:tc>
          <w:tcPr>
            <w:tcW w:type="dxa" w:w="2400"/>
            <w:tcBorders>
              <w:top w:val="single" w:color="E2E8EC" w:sz="4"/>
              <w:left w:val="single" w:color="E2E8EC" w:sz="4"/>
              <w:bottom w:val="single" w:color="E2E8EC" w:sz="4"/>
              <w:right w:val="single" w:color="E2E8EC" w:sz="4"/>
            </w:tcBorders>
            <w:shd w:fill="EBF4F7" w:val="clear"/>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
            </w:r>
          </w:p>
        </w:tc>
        <w:tc>
          <w:tcPr>
            <w:tcW w:type="dxa" w:w="1800"/>
            <w:tcBorders>
              <w:top w:val="single" w:color="E2E8EC" w:sz="4"/>
              <w:left w:val="single" w:color="E2E8EC" w:sz="4"/>
              <w:bottom w:val="single" w:color="E2E8EC" w:sz="4"/>
              <w:right w:val="single" w:color="E2E8EC" w:sz="4"/>
            </w:tcBorders>
            <w:shd w:fill="EBF4F7" w:val="clear"/>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
            </w:r>
          </w:p>
        </w:tc>
        <w:tc>
          <w:tcPr>
            <w:tcW w:type="dxa" w:w="1800"/>
            <w:tcBorders>
              <w:top w:val="single" w:color="E2E8EC" w:sz="4"/>
              <w:left w:val="single" w:color="E2E8EC" w:sz="4"/>
              <w:bottom w:val="single" w:color="E2E8EC" w:sz="4"/>
              <w:right w:val="single" w:color="E2E8EC" w:sz="4"/>
            </w:tcBorders>
            <w:shd w:fill="EBF4F7" w:val="clear"/>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
            </w:r>
          </w:p>
        </w:tc>
        <w:tc>
          <w:tcPr>
            <w:tcW w:type="dxa" w:w="1960"/>
            <w:tcBorders>
              <w:top w:val="single" w:color="E2E8EC" w:sz="4"/>
              <w:left w:val="single" w:color="E2E8EC" w:sz="4"/>
              <w:bottom w:val="single" w:color="E2E8EC" w:sz="4"/>
              <w:right w:val="single" w:color="E2E8EC" w:sz="4"/>
            </w:tcBorders>
            <w:shd w:fill="EBF4F7" w:val="clear"/>
            <w:tcMar>
              <w:top w:type="dxa" w:w="80"/>
              <w:left w:type="dxa" w:w="120"/>
              <w:bottom w:type="dxa" w:w="80"/>
              <w:right w:type="dxa" w:w="120"/>
            </w:tcMar>
          </w:tcPr>
          <w:p>
            <w:pPr>
              <w:jc w:val="left"/>
            </w:pPr>
            <w:r>
              <w:rPr>
                <w:rFonts w:ascii="Arial" w:cs="Arial" w:eastAsia="Arial" w:hAnsi="Arial"/>
                <w:b/>
                <w:bCs/>
                <w:color w:val="2B586B"/>
                <w:sz w:val="20"/>
                <w:szCs w:val="20"/>
              </w:rPr>
              <w:t xml:space="preserve">$70,892.18</w:t>
            </w:r>
          </w:p>
        </w:tc>
      </w:tr>
    </w:tbl>
    <w:p>
      <w:pPr>
        <w:spacing w:after="0" w:before="120"/>
      </w:pPr>
      <w:r>
        <w:t xml:space="preserve"/>
      </w:r>
    </w:p>
    <w:p>
      <w:pPr>
        <w:pStyle w:val="Heading2"/>
        <w:spacing w:after="100" w:before="280"/>
      </w:pPr>
      <w:r>
        <w:rPr>
          <w:rFonts w:ascii="Arial" w:cs="Arial" w:eastAsia="Arial" w:hAnsi="Arial"/>
          <w:b/>
          <w:bCs/>
          <w:color w:val="1E3F4E"/>
          <w:sz w:val="26"/>
          <w:szCs w:val="26"/>
        </w:rPr>
        <w:t xml:space="preserve">2.3 Reset Endpoint</w:t>
      </w:r>
    </w:p>
    <w:p>
      <w:pPr>
        <w:spacing w:after="80" w:before="60"/>
      </w:pPr>
      <w:r>
        <w:rPr>
          <w:rFonts w:ascii="Arial" w:cs="Arial" w:eastAsia="Arial" w:hAnsi="Arial"/>
          <w:color w:val="0F2830"/>
          <w:sz w:val="22"/>
          <w:szCs w:val="22"/>
        </w:rPr>
        <w:t xml:space="preserve">The API exposes a reset endpoint to restore all data to seed state between test runs. QA interns should call this in their Playwright afterEach or afterAll hooks.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F4E" w:val="clear"/>
            <w:tcMar>
              <w:top w:type="dxa" w:w="140"/>
              <w:left w:type="dxa" w:w="200"/>
              <w:bottom w:type="dxa" w:w="140"/>
              <w:right w:type="dxa" w:w="200"/>
            </w:tcMar>
          </w:tcPr>
          <w:p>
            <w:r>
              <w:rPr>
                <w:rFonts w:ascii="Courier New" w:cs="Courier New" w:eastAsia="Courier New" w:hAnsi="Courier New"/>
                <w:color w:val="7FFFD4"/>
                <w:sz w:val="20"/>
                <w:szCs w:val="20"/>
              </w:rPr>
              <w:t xml:space="preserve">POST http://localhost:4000/api/reset</w:t>
            </w:r>
          </w:p>
        </w:tc>
      </w:tr>
    </w:tbl>
    <w:p>
      <w:r>
        <w:br w:type="page"/>
      </w:r>
    </w:p>
    <w:p>
      <w:pPr>
        <w:pStyle w:val="Heading1"/>
        <w:pBdr>
          <w:bottom w:val="single" w:color="2B586B" w:sz="6" w:space="4"/>
        </w:pBdr>
        <w:spacing w:after="120" w:before="360"/>
      </w:pPr>
      <w:r>
        <w:rPr>
          <w:rFonts w:ascii="Arial" w:cs="Arial" w:eastAsia="Arial" w:hAnsi="Arial"/>
          <w:b/>
          <w:bCs/>
          <w:color w:val="2B586B"/>
          <w:sz w:val="32"/>
          <w:szCs w:val="32"/>
        </w:rPr>
        <w:t xml:space="preserve">3. Features &amp; Acceptance Criteria</w:t>
      </w:r>
    </w:p>
    <w:p>
      <w:pPr>
        <w:spacing w:after="60" w:before="40"/>
      </w:pPr>
      <w:r>
        <w:rPr>
          <w:rFonts w:ascii="Arial" w:cs="Arial" w:eastAsia="Arial" w:hAnsi="Arial"/>
          <w:i/>
          <w:iCs/>
          <w:color w:val="6B7280"/>
          <w:sz w:val="20"/>
          <w:szCs w:val="20"/>
        </w:rPr>
        <w:t xml:space="preserve">Each feature maps to a JIRA epic. Acceptance criteria are the definition of done for each story.</w:t>
      </w:r>
    </w:p>
    <w:p>
      <w:pPr>
        <w:spacing w:after="0" w:before="100"/>
      </w:pPr>
      <w:r>
        <w:t xml:space="preserve"/>
      </w:r>
    </w:p>
    <w:p>
      <w:pPr>
        <w:pStyle w:val="Heading2"/>
        <w:spacing w:after="100" w:before="280"/>
      </w:pPr>
      <w:r>
        <w:rPr>
          <w:rFonts w:ascii="Arial" w:cs="Arial" w:eastAsia="Arial" w:hAnsi="Arial"/>
          <w:b/>
          <w:bCs/>
          <w:color w:val="1E3F4E"/>
          <w:sz w:val="26"/>
          <w:szCs w:val="26"/>
        </w:rPr>
        <w:t xml:space="preserve">F-01 · Authentication —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960"/>
        <w:gridCol w:w="1400"/>
        <w:gridCol w:w="1400"/>
      </w:tblGrid>
      <w:tr>
        <w:tc>
          <w:tcPr>
            <w:tcW w:type="dxa" w:w="16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496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14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14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Type</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AC-01-01</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Login page renders at /login with email field, password field, and submit button</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Functional</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AC-01-02</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Valid credentials (qa@vaultx.io / Test@1234) redirect to the 2FA screen</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Functional</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AC-01-03</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Invalid credentials display an error message under the form (data-testid: error-login)</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Functional</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AC-01-04</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Submit button shows a loading spinner during the authentication request (~900ms)</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UI/UX</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AC-01-05</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Empty form submission is prevented — browser validation triggers on required fields</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Validation</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AC-01-06</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Test credentials hint box is visible on the login screen (data-testid: test-credentials)</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UX</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AC-01-07</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Authenticated users visiting /login are redirected to /dashboard</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Security</w:t>
            </w:r>
          </w:p>
        </w:tc>
      </w:tr>
    </w:tbl>
    <w:p>
      <w:pPr>
        <w:spacing w:after="0" w:before="140"/>
      </w:pPr>
      <w:r>
        <w:t xml:space="preserve"/>
      </w:r>
    </w:p>
    <w:p>
      <w:pPr>
        <w:pStyle w:val="Heading2"/>
        <w:spacing w:after="100" w:before="280"/>
      </w:pPr>
      <w:r>
        <w:rPr>
          <w:rFonts w:ascii="Arial" w:cs="Arial" w:eastAsia="Arial" w:hAnsi="Arial"/>
          <w:b/>
          <w:bCs/>
          <w:color w:val="1E3F4E"/>
          <w:sz w:val="26"/>
          <w:szCs w:val="26"/>
        </w:rPr>
        <w:t xml:space="preserve">F-02 · Authentication — Two-Factor Auth (2FA)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960"/>
        <w:gridCol w:w="1400"/>
        <w:gridCol w:w="1400"/>
      </w:tblGrid>
      <w:tr>
        <w:tc>
          <w:tcPr>
            <w:tcW w:type="dxa" w:w="16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496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14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14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Type</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AC-02-01</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2FA screen renders 6 separate single-digit input boxes (data-testid: otp-input-0 through otp-input-5)</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Functional</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AC-02-02</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Focus automatically advances to the next box after each digit is entered</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UX</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AC-02-03</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Backspace key moves focus to the previous box and clears the current digit</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UX</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AC-02-04</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Pasting a 6-digit code fills all boxes at once</w:t>
            </w:r>
          </w:p>
        </w:tc>
        <w:tc>
          <w:tcPr>
            <w:tcW w:type="dxa" w:w="1400"/>
            <w:tcBorders>
              <w:top w:val="single" w:color="E2E8EC" w:sz="4"/>
              <w:left w:val="single" w:color="E2E8EC" w:sz="4"/>
              <w:bottom w:val="single" w:color="E2E8EC" w:sz="4"/>
              <w:right w:val="single" w:color="E2E8EC" w:sz="4"/>
            </w:tcBorders>
            <w:shd w:fill="FEF9C3" w:val="clear"/>
            <w:tcMar>
              <w:top w:type="dxa" w:w="80"/>
              <w:left w:type="dxa" w:w="120"/>
              <w:bottom w:type="dxa" w:w="80"/>
              <w:right w:type="dxa" w:w="120"/>
            </w:tcMar>
          </w:tcPr>
          <w:p>
            <w:pPr>
              <w:jc w:val="center"/>
            </w:pPr>
            <w:r>
              <w:rPr>
                <w:rFonts w:ascii="Arial" w:cs="Arial" w:eastAsia="Arial" w:hAnsi="Arial"/>
                <w:b/>
                <w:bCs/>
                <w:color w:val="78350F"/>
                <w:sz w:val="18"/>
                <w:szCs w:val="18"/>
              </w:rPr>
              <w:t xml:space="preserve">Should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UX</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AC-02-05</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Correct code (482910 for qa@vaultx.io) navigates to /dashboard and shows welcome toast</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Functional</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AC-02-06</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Wrong code displays error message (data-testid: error-2fa) without navigating away</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Functional</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AC-02-07</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Verify button is disabled until all 6 digits are filled</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Validation</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AC-02-08</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Back to login button clears the OTP and returns to the login form</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Navigation</w:t>
            </w:r>
          </w:p>
        </w:tc>
      </w:tr>
    </w:tbl>
    <w:p>
      <w:pPr>
        <w:spacing w:after="0" w:before="140"/>
      </w:pPr>
      <w:r>
        <w:t xml:space="preserve"/>
      </w:r>
    </w:p>
    <w:p>
      <w:pPr>
        <w:pStyle w:val="Heading2"/>
        <w:spacing w:after="100" w:before="280"/>
      </w:pPr>
      <w:r>
        <w:rPr>
          <w:rFonts w:ascii="Arial" w:cs="Arial" w:eastAsia="Arial" w:hAnsi="Arial"/>
          <w:b/>
          <w:bCs/>
          <w:color w:val="1E3F4E"/>
          <w:sz w:val="26"/>
          <w:szCs w:val="26"/>
        </w:rPr>
        <w:t xml:space="preserve">F-03 ·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960"/>
        <w:gridCol w:w="1400"/>
        <w:gridCol w:w="1400"/>
      </w:tblGrid>
      <w:tr>
        <w:tc>
          <w:tcPr>
            <w:tcW w:type="dxa" w:w="16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496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14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14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Type</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AC-03-01</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Total portfolio value displays the correct USD sum of all wallet balances ($70,892.18 on seed data)</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Functional</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AC-03-02</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All 4 wallet cards render with correct symbol, balance, and USD value (data-testid: wallet-card-btc, etc.)</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Functional</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AC-03-03</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Recent Activity shows the 5 most recent transactions in descending date order</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Functional</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AC-03-04</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Each transaction row displays correct type icon, asset, amount with sign (+/-), and status badge</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Functional</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AC-03-05</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Send button navigates to /transfer?type=send; Receive button navigates to /transfer?type=receive</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Navigation</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AC-03-06</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View all link navigates to /history</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Navigation</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AC-03-07</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When API is online, wallet balances update in real time via WebSocket when changed via the API</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Real-time</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AC-03-08</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Connection status pill shows Live (green), WS only (amber), or Offline (red) state in the navbar</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Observability</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AC-03-09</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Logged-out users attempting to access /dashboard are redirected to /login</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Security</w:t>
            </w:r>
          </w:p>
        </w:tc>
      </w:tr>
    </w:tbl>
    <w:p>
      <w:pPr>
        <w:spacing w:after="0" w:before="140"/>
      </w:pPr>
      <w:r>
        <w:t xml:space="preserve"/>
      </w:r>
    </w:p>
    <w:p>
      <w:pPr>
        <w:pStyle w:val="Heading2"/>
        <w:spacing w:after="100" w:before="280"/>
      </w:pPr>
      <w:r>
        <w:rPr>
          <w:rFonts w:ascii="Arial" w:cs="Arial" w:eastAsia="Arial" w:hAnsi="Arial"/>
          <w:b/>
          <w:bCs/>
          <w:color w:val="1E3F4E"/>
          <w:sz w:val="26"/>
          <w:szCs w:val="26"/>
        </w:rPr>
        <w:t xml:space="preserve">F-04 · Transfer — 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960"/>
        <w:gridCol w:w="1400"/>
        <w:gridCol w:w="1400"/>
      </w:tblGrid>
      <w:tr>
        <w:tc>
          <w:tcPr>
            <w:tcW w:type="dxa" w:w="16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496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14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14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Type</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AC-04-01</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Send tab is pre-selected when navigating to /transfer?type=send</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Navigation</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AC-04-02</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Asset dropdown lists all 4 wallets with their current available balance</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Functional</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AC-04-03</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Typing an amount shows a live USD equivalent preview below the amount field (data-testid: usd-preview)</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UX</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AC-04-04</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Submitting with amount exceeding wallet balance shows an error: 'Insufficient balance' (data-testid: error-amount)</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Validation</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AC-04-05</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Submitting with empty address field shows error: 'Recipient address is required' (data-testid: error-address)</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Validation</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AC-04-06</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Submitting with address shorter than 10 characters shows a short address error</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Validation</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AC-04-07</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Successful submission shows the success screen with Tx ID, asset, amount, USD value, and status fields</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Functional</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AC-04-08</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After successful send, the corresponding wallet balance decreases by the sent amount</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Functional</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AC-04-09</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New Transfer button on the success screen resets the form</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UX</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AC-04-10</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View History button on success screen navigates to /history</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Navigation</w:t>
            </w:r>
          </w:p>
        </w:tc>
      </w:tr>
    </w:tbl>
    <w:p>
      <w:pPr>
        <w:spacing w:after="0" w:before="140"/>
      </w:pPr>
      <w:r>
        <w:t xml:space="preserve"/>
      </w:r>
    </w:p>
    <w:p>
      <w:pPr>
        <w:pStyle w:val="Heading2"/>
        <w:spacing w:after="100" w:before="280"/>
      </w:pPr>
      <w:r>
        <w:rPr>
          <w:rFonts w:ascii="Arial" w:cs="Arial" w:eastAsia="Arial" w:hAnsi="Arial"/>
          <w:b/>
          <w:bCs/>
          <w:color w:val="1E3F4E"/>
          <w:sz w:val="26"/>
          <w:szCs w:val="26"/>
        </w:rPr>
        <w:t xml:space="preserve">F-05 · Transfer — Receive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960"/>
        <w:gridCol w:w="1400"/>
        <w:gridCol w:w="1400"/>
      </w:tblGrid>
      <w:tr>
        <w:tc>
          <w:tcPr>
            <w:tcW w:type="dxa" w:w="16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496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14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14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Type</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AC-05-01</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Receive tab is pre-selected when navigating to /transfer?type=receive</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Navigation</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AC-05-02</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Receive mode hides the recipient address field and shows the deposit address box instead</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Functional</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AC-05-03</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Deposit address displays the correct wallet address for the selected asset (data-testid: receive-address-value)</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Functional</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AC-05-04</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Copy Address button copies the deposit address to the clipboard</w:t>
            </w:r>
          </w:p>
        </w:tc>
        <w:tc>
          <w:tcPr>
            <w:tcW w:type="dxa" w:w="1400"/>
            <w:tcBorders>
              <w:top w:val="single" w:color="E2E8EC" w:sz="4"/>
              <w:left w:val="single" w:color="E2E8EC" w:sz="4"/>
              <w:bottom w:val="single" w:color="E2E8EC" w:sz="4"/>
              <w:right w:val="single" w:color="E2E8EC" w:sz="4"/>
            </w:tcBorders>
            <w:shd w:fill="FEF9C3" w:val="clear"/>
            <w:tcMar>
              <w:top w:type="dxa" w:w="80"/>
              <w:left w:type="dxa" w:w="120"/>
              <w:bottom w:type="dxa" w:w="80"/>
              <w:right w:type="dxa" w:w="120"/>
            </w:tcMar>
          </w:tcPr>
          <w:p>
            <w:pPr>
              <w:jc w:val="center"/>
            </w:pPr>
            <w:r>
              <w:rPr>
                <w:rFonts w:ascii="Arial" w:cs="Arial" w:eastAsia="Arial" w:hAnsi="Arial"/>
                <w:b/>
                <w:bCs/>
                <w:color w:val="78350F"/>
                <w:sz w:val="18"/>
                <w:szCs w:val="18"/>
              </w:rPr>
              <w:t xml:space="preserve">Should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UX</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AC-05-05</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Switching asset updates the deposit address shown</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Functional</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AC-05-06</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Submitting a receive adds the amount to the wallet balance and creates a new transaction in history</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Functional</w:t>
            </w:r>
          </w:p>
        </w:tc>
      </w:tr>
    </w:tbl>
    <w:p>
      <w:pPr>
        <w:spacing w:after="0" w:before="140"/>
      </w:pPr>
      <w:r>
        <w:t xml:space="preserve"/>
      </w:r>
    </w:p>
    <w:p>
      <w:pPr>
        <w:pStyle w:val="Heading2"/>
        <w:spacing w:after="100" w:before="280"/>
      </w:pPr>
      <w:r>
        <w:rPr>
          <w:rFonts w:ascii="Arial" w:cs="Arial" w:eastAsia="Arial" w:hAnsi="Arial"/>
          <w:b/>
          <w:bCs/>
          <w:color w:val="1E3F4E"/>
          <w:sz w:val="26"/>
          <w:szCs w:val="26"/>
        </w:rPr>
        <w:t xml:space="preserve">F-06 · Transaction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960"/>
        <w:gridCol w:w="1400"/>
        <w:gridCol w:w="1400"/>
      </w:tblGrid>
      <w:tr>
        <w:tc>
          <w:tcPr>
            <w:tcW w:type="dxa" w:w="16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496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14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14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Type</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AC-06-01</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History page loads with all seed transactions sorted newest first by default</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Functional</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AC-06-02</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Transaction count label reflects the current filtered result set (data-testid: tx-count)</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Functional</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AC-06-03</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Summary stats correctly show Total Sent, Total Received, and Pending count across all transactions</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Functional</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AC-06-04</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Filtering by Type (send/receive) shows only matching transactions</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Functional</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AC-06-05</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Filtering by Status (completed/pending/failed) shows only matching transactions</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Functional</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AC-06-06</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Filtering by Asset (BTC/ETH/USDT/SOL) shows only matching transactions</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Functional</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AC-06-07</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Search field filters by asset name, transaction ID, note text, and address</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Functional</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AC-06-08</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Sort by Highest Value shows the most expensive transaction first</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Functional</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AC-06-09</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Combined filters work together (e.g. send + completed + BTC)</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Functional</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AC-06-10</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Clear button resets all filters and search to defaults</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Functional</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AC-06-11</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No results state is shown when filters return zero transactions (data-testid: no-results)</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UX</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AC-06-12</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New transactions created via the API appear in the history list in real time via WebSocket</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Real-time</w:t>
            </w:r>
          </w:p>
        </w:tc>
      </w:tr>
    </w:tbl>
    <w:p>
      <w:pPr>
        <w:spacing w:after="0" w:before="140"/>
      </w:pPr>
      <w:r>
        <w:t xml:space="preserve"/>
      </w:r>
    </w:p>
    <w:p>
      <w:pPr>
        <w:pStyle w:val="Heading2"/>
        <w:spacing w:after="100" w:before="280"/>
      </w:pPr>
      <w:r>
        <w:rPr>
          <w:rFonts w:ascii="Arial" w:cs="Arial" w:eastAsia="Arial" w:hAnsi="Arial"/>
          <w:b/>
          <w:bCs/>
          <w:color w:val="1E3F4E"/>
          <w:sz w:val="26"/>
          <w:szCs w:val="26"/>
        </w:rPr>
        <w:t xml:space="preserve">F-07 · Navigation &amp;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960"/>
        <w:gridCol w:w="1400"/>
        <w:gridCol w:w="1400"/>
      </w:tblGrid>
      <w:tr>
        <w:tc>
          <w:tcPr>
            <w:tcW w:type="dxa" w:w="16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496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14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14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Type</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AC-07-01</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Navbar renders with Dashboard, Transfer, and History tabs when authenticated</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UI</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AC-07-02</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Active tab is visually highlighted with the brand tint background</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UI</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AC-07-03</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Navbar is not shown on the login / 2FA screens</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UI</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AC-07-04</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Logout button clears session and redirects to /login</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Security</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AC-07-05</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Navigating to any protected route while unauthenticated redirects to /login</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Security</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AC-07-06</w:t>
            </w:r>
          </w:p>
        </w:tc>
        <w:tc>
          <w:tcPr>
            <w:tcW w:type="dxa" w:w="49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User avatar and display name are correct for the logged-in account</w:t>
            </w:r>
          </w:p>
        </w:tc>
        <w:tc>
          <w:tcPr>
            <w:tcW w:type="dxa" w:w="14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UI</w:t>
            </w:r>
          </w:p>
        </w:tc>
      </w:tr>
    </w:tbl>
    <w:p>
      <w:r>
        <w:br w:type="page"/>
      </w:r>
    </w:p>
    <w:p>
      <w:pPr>
        <w:pStyle w:val="Heading1"/>
        <w:pBdr>
          <w:bottom w:val="single" w:color="2B586B" w:sz="6" w:space="4"/>
        </w:pBdr>
        <w:spacing w:after="120" w:before="360"/>
      </w:pPr>
      <w:r>
        <w:rPr>
          <w:rFonts w:ascii="Arial" w:cs="Arial" w:eastAsia="Arial" w:hAnsi="Arial"/>
          <w:b/>
          <w:bCs/>
          <w:color w:val="2B586B"/>
          <w:sz w:val="32"/>
          <w:szCs w:val="32"/>
        </w:rPr>
        <w:t xml:space="preserve">4. REST API Reference</w:t>
      </w:r>
    </w:p>
    <w:p>
      <w:pPr>
        <w:spacing w:after="80" w:before="60"/>
      </w:pPr>
      <w:r>
        <w:rPr>
          <w:rFonts w:ascii="Arial" w:cs="Arial" w:eastAsia="Arial" w:hAnsi="Arial"/>
          <w:color w:val="0F2830"/>
          <w:sz w:val="22"/>
          <w:szCs w:val="22"/>
        </w:rPr>
        <w:t xml:space="preserve">The vaultx-api runs as a separate service. Any mutation made through the API is broadcast via WebSocket and reflected in the UI in real time. Interns should test both the REST endpoints and verify the UI reflects changes.</w:t>
      </w:r>
    </w:p>
    <w:p>
      <w:pPr>
        <w:spacing w:after="0" w:before="100"/>
      </w:pPr>
      <w:r>
        <w:t xml:space="preserve"/>
      </w:r>
    </w:p>
    <w:p>
      <w:pPr>
        <w:pStyle w:val="Heading2"/>
        <w:spacing w:after="100" w:before="280"/>
      </w:pPr>
      <w:r>
        <w:rPr>
          <w:rFonts w:ascii="Arial" w:cs="Arial" w:eastAsia="Arial" w:hAnsi="Arial"/>
          <w:b/>
          <w:bCs/>
          <w:color w:val="1E3F4E"/>
          <w:sz w:val="26"/>
          <w:szCs w:val="26"/>
        </w:rPr>
        <w:t xml:space="preserve">4.1 System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4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576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GET</w:t>
            </w:r>
          </w:p>
        </w:tc>
        <w:tc>
          <w:tcPr>
            <w:tcW w:type="dxa" w:w="2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/api/health</w:t>
            </w:r>
          </w:p>
        </w:tc>
        <w:tc>
          <w:tcPr>
            <w:tcW w:type="dxa" w:w="57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Server health check — returns uptime and record counts</w:t>
            </w:r>
          </w:p>
        </w:tc>
      </w:tr>
      <w:tr>
        <w:tc>
          <w:tcPr>
            <w:tcW w:type="dxa" w:w="1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GET</w:t>
            </w:r>
          </w:p>
        </w:tc>
        <w:tc>
          <w:tcPr>
            <w:tcW w:type="dxa" w:w="2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/api/snapshot</w:t>
            </w:r>
          </w:p>
        </w:tc>
        <w:tc>
          <w:tcPr>
            <w:tcW w:type="dxa" w:w="57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Returns full current state (users, wallets, transactions). UI calls this on login to hydrate.</w:t>
            </w:r>
          </w:p>
        </w:tc>
      </w:tr>
      <w:tr>
        <w:tc>
          <w:tcPr>
            <w:tcW w:type="dxa" w:w="1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POST</w:t>
            </w:r>
          </w:p>
        </w:tc>
        <w:tc>
          <w:tcPr>
            <w:tcW w:type="dxa" w:w="2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/api/reset</w:t>
            </w:r>
          </w:p>
        </w:tc>
        <w:tc>
          <w:tcPr>
            <w:tcW w:type="dxa" w:w="57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Resets all in-memory data to seed state. Broadcasts db:reset WS event. Use in test teardown.</w:t>
            </w:r>
          </w:p>
        </w:tc>
      </w:tr>
    </w:tbl>
    <w:p>
      <w:pPr>
        <w:spacing w:after="0" w:before="120"/>
      </w:pPr>
      <w:r>
        <w:t xml:space="preserve"/>
      </w:r>
    </w:p>
    <w:p>
      <w:pPr>
        <w:pStyle w:val="Heading2"/>
        <w:spacing w:after="100" w:before="280"/>
      </w:pPr>
      <w:r>
        <w:rPr>
          <w:rFonts w:ascii="Arial" w:cs="Arial" w:eastAsia="Arial" w:hAnsi="Arial"/>
          <w:b/>
          <w:bCs/>
          <w:color w:val="1E3F4E"/>
          <w:sz w:val="26"/>
          <w:szCs w:val="26"/>
        </w:rPr>
        <w:t xml:space="preserve">4.2 Users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360"/>
        <w:gridCol w:w="3200"/>
      </w:tblGrid>
      <w:tr>
        <w:tc>
          <w:tcPr>
            <w:tcW w:type="dxa" w:w="12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6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236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WS Event</w:t>
            </w:r>
          </w:p>
        </w:tc>
        <w:tc>
          <w:tcPr>
            <w:tcW w:type="dxa" w:w="32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Required Body Fields</w:t>
            </w:r>
          </w:p>
        </w:tc>
      </w:tr>
      <w:tr>
        <w:tc>
          <w:tcPr>
            <w:tcW w:type="dxa" w:w="1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GET</w:t>
            </w:r>
          </w:p>
        </w:tc>
        <w:tc>
          <w:tcPr>
            <w:tcW w:type="dxa" w:w="2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/api/users</w:t>
            </w:r>
          </w:p>
        </w:tc>
        <w:tc>
          <w:tcPr>
            <w:tcW w:type="dxa" w:w="23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w:t>
            </w:r>
          </w:p>
        </w:tc>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w:t>
            </w:r>
          </w:p>
        </w:tc>
      </w:tr>
      <w:tr>
        <w:tc>
          <w:tcPr>
            <w:tcW w:type="dxa" w:w="1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GET</w:t>
            </w:r>
          </w:p>
        </w:tc>
        <w:tc>
          <w:tcPr>
            <w:tcW w:type="dxa" w:w="2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/api/users/:id</w:t>
            </w:r>
          </w:p>
        </w:tc>
        <w:tc>
          <w:tcPr>
            <w:tcW w:type="dxa" w:w="23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w:t>
            </w:r>
          </w:p>
        </w:tc>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w:t>
            </w:r>
          </w:p>
        </w:tc>
      </w:tr>
      <w:tr>
        <w:tc>
          <w:tcPr>
            <w:tcW w:type="dxa" w:w="1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POST</w:t>
            </w:r>
          </w:p>
        </w:tc>
        <w:tc>
          <w:tcPr>
            <w:tcW w:type="dxa" w:w="2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/api/users</w:t>
            </w:r>
          </w:p>
        </w:tc>
        <w:tc>
          <w:tcPr>
            <w:tcW w:type="dxa" w:w="23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user:created</w:t>
            </w:r>
          </w:p>
        </w:tc>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email, password, name</w:t>
            </w:r>
          </w:p>
        </w:tc>
      </w:tr>
      <w:tr>
        <w:tc>
          <w:tcPr>
            <w:tcW w:type="dxa" w:w="1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PATCH</w:t>
            </w:r>
          </w:p>
        </w:tc>
        <w:tc>
          <w:tcPr>
            <w:tcW w:type="dxa" w:w="2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/api/users/:id</w:t>
            </w:r>
          </w:p>
        </w:tc>
        <w:tc>
          <w:tcPr>
            <w:tcW w:type="dxa" w:w="23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user:updated</w:t>
            </w:r>
          </w:p>
        </w:tc>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any of: name, email, role, password</w:t>
            </w:r>
          </w:p>
        </w:tc>
      </w:tr>
      <w:tr>
        <w:tc>
          <w:tcPr>
            <w:tcW w:type="dxa" w:w="1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DELETE</w:t>
            </w:r>
          </w:p>
        </w:tc>
        <w:tc>
          <w:tcPr>
            <w:tcW w:type="dxa" w:w="2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/api/users/:id</w:t>
            </w:r>
          </w:p>
        </w:tc>
        <w:tc>
          <w:tcPr>
            <w:tcW w:type="dxa" w:w="23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user:deleted</w:t>
            </w:r>
          </w:p>
        </w:tc>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w:t>
            </w:r>
          </w:p>
        </w:tc>
      </w:tr>
    </w:tbl>
    <w:p>
      <w:pPr>
        <w:spacing w:after="0" w:before="120"/>
      </w:pPr>
      <w:r>
        <w:t xml:space="preserve"/>
      </w:r>
    </w:p>
    <w:p>
      <w:pPr>
        <w:pStyle w:val="Heading2"/>
        <w:spacing w:after="100" w:before="280"/>
      </w:pPr>
      <w:r>
        <w:rPr>
          <w:rFonts w:ascii="Arial" w:cs="Arial" w:eastAsia="Arial" w:hAnsi="Arial"/>
          <w:b/>
          <w:bCs/>
          <w:color w:val="1E3F4E"/>
          <w:sz w:val="26"/>
          <w:szCs w:val="26"/>
        </w:rPr>
        <w:t xml:space="preserve">4.3 Wallets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360"/>
        <w:gridCol w:w="3200"/>
      </w:tblGrid>
      <w:tr>
        <w:tc>
          <w:tcPr>
            <w:tcW w:type="dxa" w:w="12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6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236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WS Event</w:t>
            </w:r>
          </w:p>
        </w:tc>
        <w:tc>
          <w:tcPr>
            <w:tcW w:type="dxa" w:w="32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Required Body Fields</w:t>
            </w:r>
          </w:p>
        </w:tc>
      </w:tr>
      <w:tr>
        <w:tc>
          <w:tcPr>
            <w:tcW w:type="dxa" w:w="1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GET</w:t>
            </w:r>
          </w:p>
        </w:tc>
        <w:tc>
          <w:tcPr>
            <w:tcW w:type="dxa" w:w="2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/api/wallets?userId=</w:t>
            </w:r>
          </w:p>
        </w:tc>
        <w:tc>
          <w:tcPr>
            <w:tcW w:type="dxa" w:w="23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w:t>
            </w:r>
          </w:p>
        </w:tc>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w:t>
            </w:r>
          </w:p>
        </w:tc>
      </w:tr>
      <w:tr>
        <w:tc>
          <w:tcPr>
            <w:tcW w:type="dxa" w:w="1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GET</w:t>
            </w:r>
          </w:p>
        </w:tc>
        <w:tc>
          <w:tcPr>
            <w:tcW w:type="dxa" w:w="2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/api/wallets/:id</w:t>
            </w:r>
          </w:p>
        </w:tc>
        <w:tc>
          <w:tcPr>
            <w:tcW w:type="dxa" w:w="23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w:t>
            </w:r>
          </w:p>
        </w:tc>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w:t>
            </w:r>
          </w:p>
        </w:tc>
      </w:tr>
      <w:tr>
        <w:tc>
          <w:tcPr>
            <w:tcW w:type="dxa" w:w="1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POST</w:t>
            </w:r>
          </w:p>
        </w:tc>
        <w:tc>
          <w:tcPr>
            <w:tcW w:type="dxa" w:w="2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/api/wallets</w:t>
            </w:r>
          </w:p>
        </w:tc>
        <w:tc>
          <w:tcPr>
            <w:tcW w:type="dxa" w:w="23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wallet:created</w:t>
            </w:r>
          </w:p>
        </w:tc>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userId, symbol, name</w:t>
            </w:r>
          </w:p>
        </w:tc>
      </w:tr>
      <w:tr>
        <w:tc>
          <w:tcPr>
            <w:tcW w:type="dxa" w:w="1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PATCH</w:t>
            </w:r>
          </w:p>
        </w:tc>
        <w:tc>
          <w:tcPr>
            <w:tcW w:type="dxa" w:w="2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/api/wallets/:id</w:t>
            </w:r>
          </w:p>
        </w:tc>
        <w:tc>
          <w:tcPr>
            <w:tcW w:type="dxa" w:w="23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wallet:updated</w:t>
            </w:r>
          </w:p>
        </w:tc>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any of: balance, usdRate, name, color</w:t>
            </w:r>
          </w:p>
        </w:tc>
      </w:tr>
      <w:tr>
        <w:tc>
          <w:tcPr>
            <w:tcW w:type="dxa" w:w="1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DELETE</w:t>
            </w:r>
          </w:p>
        </w:tc>
        <w:tc>
          <w:tcPr>
            <w:tcW w:type="dxa" w:w="2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/api/wallets/:id</w:t>
            </w:r>
          </w:p>
        </w:tc>
        <w:tc>
          <w:tcPr>
            <w:tcW w:type="dxa" w:w="23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wallet:deleted</w:t>
            </w:r>
          </w:p>
        </w:tc>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w:t>
            </w:r>
          </w:p>
        </w:tc>
      </w:tr>
    </w:tbl>
    <w:p>
      <w:pPr>
        <w:spacing w:after="0" w:before="120"/>
      </w:pPr>
      <w:r>
        <w:t xml:space="preserve"/>
      </w:r>
    </w:p>
    <w:p>
      <w:pPr>
        <w:pStyle w:val="Heading2"/>
        <w:spacing w:after="100" w:before="280"/>
      </w:pPr>
      <w:r>
        <w:rPr>
          <w:rFonts w:ascii="Arial" w:cs="Arial" w:eastAsia="Arial" w:hAnsi="Arial"/>
          <w:b/>
          <w:bCs/>
          <w:color w:val="1E3F4E"/>
          <w:sz w:val="26"/>
          <w:szCs w:val="26"/>
        </w:rPr>
        <w:t xml:space="preserve">4.4 Transactions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160"/>
      </w:tblGrid>
      <w:tr>
        <w:tc>
          <w:tcPr>
            <w:tcW w:type="dxa" w:w="12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8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22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WS Event</w:t>
            </w:r>
          </w:p>
        </w:tc>
        <w:tc>
          <w:tcPr>
            <w:tcW w:type="dxa" w:w="316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Required Body Fields</w:t>
            </w:r>
          </w:p>
        </w:tc>
      </w:tr>
      <w:tr>
        <w:tc>
          <w:tcPr>
            <w:tcW w:type="dxa" w:w="1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GET</w:t>
            </w:r>
          </w:p>
        </w:tc>
        <w:tc>
          <w:tcPr>
            <w:tcW w:type="dxa" w:w="28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/api/transactions?userId=&amp;type=&amp;status=&amp;asset=</w:t>
            </w:r>
          </w:p>
        </w:tc>
        <w:tc>
          <w:tcPr>
            <w:tcW w:type="dxa" w:w="2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w:t>
            </w:r>
          </w:p>
        </w:tc>
        <w:tc>
          <w:tcPr>
            <w:tcW w:type="dxa" w:w="3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w:t>
            </w:r>
          </w:p>
        </w:tc>
      </w:tr>
      <w:tr>
        <w:tc>
          <w:tcPr>
            <w:tcW w:type="dxa" w:w="1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GET</w:t>
            </w:r>
          </w:p>
        </w:tc>
        <w:tc>
          <w:tcPr>
            <w:tcW w:type="dxa" w:w="28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/api/transactions/:id</w:t>
            </w:r>
          </w:p>
        </w:tc>
        <w:tc>
          <w:tcPr>
            <w:tcW w:type="dxa" w:w="2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w:t>
            </w:r>
          </w:p>
        </w:tc>
        <w:tc>
          <w:tcPr>
            <w:tcW w:type="dxa" w:w="3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w:t>
            </w:r>
          </w:p>
        </w:tc>
      </w:tr>
      <w:tr>
        <w:tc>
          <w:tcPr>
            <w:tcW w:type="dxa" w:w="1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POST</w:t>
            </w:r>
          </w:p>
        </w:tc>
        <w:tc>
          <w:tcPr>
            <w:tcW w:type="dxa" w:w="28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/api/transactions</w:t>
            </w:r>
          </w:p>
        </w:tc>
        <w:tc>
          <w:tcPr>
            <w:tcW w:type="dxa" w:w="2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transaction:created</w:t>
            </w:r>
          </w:p>
        </w:tc>
        <w:tc>
          <w:tcPr>
            <w:tcW w:type="dxa" w:w="3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userId, type, asset, amount</w:t>
            </w:r>
          </w:p>
        </w:tc>
      </w:tr>
      <w:tr>
        <w:tc>
          <w:tcPr>
            <w:tcW w:type="dxa" w:w="1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PATCH</w:t>
            </w:r>
          </w:p>
        </w:tc>
        <w:tc>
          <w:tcPr>
            <w:tcW w:type="dxa" w:w="28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/api/transactions/:id</w:t>
            </w:r>
          </w:p>
        </w:tc>
        <w:tc>
          <w:tcPr>
            <w:tcW w:type="dxa" w:w="2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transaction:updated</w:t>
            </w:r>
          </w:p>
        </w:tc>
        <w:tc>
          <w:tcPr>
            <w:tcW w:type="dxa" w:w="3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any of: status, note, from, to</w:t>
            </w:r>
          </w:p>
        </w:tc>
      </w:tr>
      <w:tr>
        <w:tc>
          <w:tcPr>
            <w:tcW w:type="dxa" w:w="1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DELETE</w:t>
            </w:r>
          </w:p>
        </w:tc>
        <w:tc>
          <w:tcPr>
            <w:tcW w:type="dxa" w:w="28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/api/transactions/:id</w:t>
            </w:r>
          </w:p>
        </w:tc>
        <w:tc>
          <w:tcPr>
            <w:tcW w:type="dxa" w:w="2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transaction:deleted</w:t>
            </w:r>
          </w:p>
        </w:tc>
        <w:tc>
          <w:tcPr>
            <w:tcW w:type="dxa" w:w="3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w:t>
            </w:r>
          </w:p>
        </w:tc>
      </w:tr>
    </w:tbl>
    <w:p>
      <w:pPr>
        <w:spacing w:after="0" w:before="80"/>
      </w:pPr>
      <w:r>
        <w:t xml:space="preserve"/>
      </w:r>
    </w:p>
    <w:tbl>
      <w:tblPr>
        <w:tblW w:type="dxa" w:w="9360"/>
        <w:tblBorders>
          <w:top w:val="single" w:color="2B586B" w:sz="8"/>
          <w:left w:val="single" w:color="2B586B" w:sz="24"/>
          <w:bottom w:val="single" w:color="2B586B" w:sz="4"/>
          <w:right w:val="single" w:color="E2E8E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7" w:val="clear"/>
            <w:tcMar>
              <w:top w:type="dxa" w:w="120"/>
              <w:left w:type="dxa" w:w="200"/>
              <w:bottom w:type="dxa" w:w="120"/>
              <w:right w:type="dxa" w:w="200"/>
            </w:tcMar>
          </w:tcPr>
          <w:p>
            <w:pPr>
              <w:spacing w:after="60"/>
            </w:pPr>
            <w:r>
              <w:rPr>
                <w:rFonts w:ascii="Arial" w:cs="Arial" w:eastAsia="Arial" w:hAnsi="Arial"/>
                <w:b/>
                <w:bCs/>
                <w:color w:val="2B586B"/>
                <w:sz w:val="20"/>
                <w:szCs w:val="20"/>
              </w:rPr>
              <w:t xml:space="preserve">WebSocket live sync</w:t>
            </w:r>
          </w:p>
          <w:p>
            <w:r>
              <w:rPr>
                <w:rFonts w:ascii="Arial" w:cs="Arial" w:eastAsia="Arial" w:hAnsi="Arial"/>
                <w:color w:val="0F2830"/>
                <w:sz w:val="20"/>
                <w:szCs w:val="20"/>
              </w:rPr>
              <w:t xml:space="preserve">Every POST, PATCH, and DELETE on the API broadcasts a WebSocket event to all connected clients. The UI listens for these events and updates in real time — no page refresh needed. Interns should verify this behaviour as part of API test scenarios.</w:t>
            </w:r>
          </w:p>
        </w:tc>
      </w:tr>
    </w:tbl>
    <w:p>
      <w:r>
        <w:br w:type="page"/>
      </w:r>
    </w:p>
    <w:p>
      <w:pPr>
        <w:pStyle w:val="Heading1"/>
        <w:pBdr>
          <w:bottom w:val="single" w:color="2B586B" w:sz="6" w:space="4"/>
        </w:pBdr>
        <w:spacing w:after="120" w:before="360"/>
      </w:pPr>
      <w:r>
        <w:rPr>
          <w:rFonts w:ascii="Arial" w:cs="Arial" w:eastAsia="Arial" w:hAnsi="Arial"/>
          <w:b/>
          <w:bCs/>
          <w:color w:val="2B586B"/>
          <w:sz w:val="32"/>
          <w:szCs w:val="32"/>
        </w:rPr>
        <w:t xml:space="preserve">5. data-testid Reference</w:t>
      </w:r>
    </w:p>
    <w:p>
      <w:pPr>
        <w:spacing w:after="80" w:before="60"/>
      </w:pPr>
      <w:r>
        <w:rPr>
          <w:rFonts w:ascii="Arial" w:cs="Arial" w:eastAsia="Arial" w:hAnsi="Arial"/>
          <w:color w:val="0F2830"/>
          <w:sz w:val="22"/>
          <w:szCs w:val="22"/>
        </w:rPr>
        <w:t xml:space="preserve">All interactive and observable elements are tagged with data-testid attributes. Playwright tests must use these selectors — never CSS classes or text content.</w:t>
      </w:r>
    </w:p>
    <w:p>
      <w:pPr>
        <w:spacing w:after="0" w:before="80"/>
      </w:pPr>
      <w:r>
        <w:t xml:space="preserve"/>
      </w:r>
    </w:p>
    <w:p>
      <w:pPr>
        <w:pStyle w:val="Heading2"/>
        <w:spacing w:after="100" w:before="280"/>
      </w:pPr>
      <w:r>
        <w:rPr>
          <w:rFonts w:ascii="Arial" w:cs="Arial" w:eastAsia="Arial" w:hAnsi="Arial"/>
          <w:b/>
          <w:bCs/>
          <w:color w:val="1E3F4E"/>
          <w:sz w:val="26"/>
          <w:szCs w:val="26"/>
        </w:rPr>
        <w:t xml:space="preserve">5.1 Login &amp; 2FA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data-testid</w:t>
            </w:r>
          </w:p>
        </w:tc>
        <w:tc>
          <w:tcPr>
            <w:tcW w:type="dxa" w:w="616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screen-login</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Root element of the login page</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form-login</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The login form</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input-email</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Email input field</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input-password</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Password input field</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btn-login</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Login submit button</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error-login</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Login error message paragraph</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test-credentials</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Credentials hint box</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screen-2fa</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Root element of the 2FA page</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form-2fa</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The 2FA form</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otp-input-0</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First OTP digit input (index 0–5)</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otp-input-5</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Last OTP digit input</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btn-verify-2fa</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Verify &amp; Sign In button</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error-2fa</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2FA error message paragraph</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btn-back-login</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Back to login button</w:t>
            </w:r>
          </w:p>
        </w:tc>
      </w:tr>
    </w:tbl>
    <w:p>
      <w:pPr>
        <w:spacing w:after="0" w:before="120"/>
      </w:pPr>
      <w:r>
        <w:t xml:space="preserve"/>
      </w:r>
    </w:p>
    <w:p>
      <w:pPr>
        <w:pStyle w:val="Heading2"/>
        <w:spacing w:after="100" w:before="280"/>
      </w:pPr>
      <w:r>
        <w:rPr>
          <w:rFonts w:ascii="Arial" w:cs="Arial" w:eastAsia="Arial" w:hAnsi="Arial"/>
          <w:b/>
          <w:bCs/>
          <w:color w:val="1E3F4E"/>
          <w:sz w:val="26"/>
          <w:szCs w:val="26"/>
        </w:rPr>
        <w:t xml:space="preserve">5.2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data-testid</w:t>
            </w:r>
          </w:p>
        </w:tc>
        <w:tc>
          <w:tcPr>
            <w:tcW w:type="dxa" w:w="616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nav-bar</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Top navigation bar</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nav-dashboard</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Dashboard nav tab button</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nav-transfer</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Transfer nav tab button</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nav-history</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History nav tab button</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btn-logout</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Logout button</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user-avatar</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User avatar initials circle</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user-name</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User display name text</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connection-status</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API/WS connection status pill</w:t>
            </w:r>
          </w:p>
        </w:tc>
      </w:tr>
    </w:tbl>
    <w:p>
      <w:pPr>
        <w:spacing w:after="0" w:before="120"/>
      </w:pPr>
      <w:r>
        <w:t xml:space="preserve"/>
      </w:r>
    </w:p>
    <w:p>
      <w:pPr>
        <w:pStyle w:val="Heading2"/>
        <w:spacing w:after="100" w:before="280"/>
      </w:pPr>
      <w:r>
        <w:rPr>
          <w:rFonts w:ascii="Arial" w:cs="Arial" w:eastAsia="Arial" w:hAnsi="Arial"/>
          <w:b/>
          <w:bCs/>
          <w:color w:val="1E3F4E"/>
          <w:sz w:val="26"/>
          <w:szCs w:val="26"/>
        </w:rPr>
        <w:t xml:space="preserve">5.3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data-testid</w:t>
            </w:r>
          </w:p>
        </w:tc>
        <w:tc>
          <w:tcPr>
            <w:tcW w:type="dxa" w:w="616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screen-dashboard</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Dashboard root container</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total-balance-card</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Portfolio hero card</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total-balance-usd</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Total USD value text</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portfolio-change</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Percentage change text</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btn-goto-send</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Send button (navigates to transfer)</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btn-goto-receive</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Receive button (navigates to transfer)</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wallet-grid</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Wallet cards container</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wallet-card-btc</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BTC wallet card (also -eth, -usdt, -sol)</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balance-btc</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BTC balance value (also -eth, -usdt, -sol)</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balance-usd-btc</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BTC USD value (also -eth, -usdt, -sol)</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recent-transactions</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Recent activity list</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tx-row-tx001</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Individual transaction row (any tx ID)</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btn-view-all-transactions</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View all → link</w:t>
            </w:r>
          </w:p>
        </w:tc>
      </w:tr>
    </w:tbl>
    <w:p>
      <w:pPr>
        <w:spacing w:after="0" w:before="120"/>
      </w:pPr>
      <w:r>
        <w:t xml:space="preserve"/>
      </w:r>
    </w:p>
    <w:p>
      <w:pPr>
        <w:pStyle w:val="Heading2"/>
        <w:spacing w:after="100" w:before="280"/>
      </w:pPr>
      <w:r>
        <w:rPr>
          <w:rFonts w:ascii="Arial" w:cs="Arial" w:eastAsia="Arial" w:hAnsi="Arial"/>
          <w:b/>
          <w:bCs/>
          <w:color w:val="1E3F4E"/>
          <w:sz w:val="26"/>
          <w:szCs w:val="26"/>
        </w:rPr>
        <w:t xml:space="preserve">5.4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data-testid</w:t>
            </w:r>
          </w:p>
        </w:tc>
        <w:tc>
          <w:tcPr>
            <w:tcW w:type="dxa" w:w="616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screen-transfer</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Transfer form page root</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transfer-type-toggle</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Send/Receive toggle container</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toggle-send</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Send toggle button</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toggle-receive</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Receive toggle button</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form-transfer</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Transfer form</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select-asset</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Asset selector dropdown</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input-amount</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Amount input field</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usd-preview</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Live USD equivalent text</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input-address</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Recipient address field (send mode only)</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input-note</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Optional note field</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btn-submit-transfer</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Confirm submit button</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error-amount</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Amount validation error</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error-address</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Address validation error</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receive-address</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Deposit address box (receive mode only)</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receive-address-value</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Deposit address text</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btn-copy-address</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Copy address button</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screen-transfer-success</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Success confirmation screen root</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success-summary</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Transaction summary table on success screen</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success-txid</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Transaction ID on success screen</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btn-new-transfer</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New Transfer button on success screen</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btn-goto-history</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View History button on success screen</w:t>
            </w:r>
          </w:p>
        </w:tc>
      </w:tr>
    </w:tbl>
    <w:p>
      <w:pPr>
        <w:spacing w:after="0" w:before="120"/>
      </w:pPr>
      <w:r>
        <w:t xml:space="preserve"/>
      </w:r>
    </w:p>
    <w:p>
      <w:pPr>
        <w:pStyle w:val="Heading2"/>
        <w:spacing w:after="100" w:before="280"/>
      </w:pPr>
      <w:r>
        <w:rPr>
          <w:rFonts w:ascii="Arial" w:cs="Arial" w:eastAsia="Arial" w:hAnsi="Arial"/>
          <w:b/>
          <w:bCs/>
          <w:color w:val="1E3F4E"/>
          <w:sz w:val="26"/>
          <w:szCs w:val="26"/>
        </w:rPr>
        <w:t xml:space="preserve">5.5 Transaction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data-testid</w:t>
            </w:r>
          </w:p>
        </w:tc>
        <w:tc>
          <w:tcPr>
            <w:tcW w:type="dxa" w:w="616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screen-history</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History page root</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tx-count</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Result count label</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history-summary</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Stats row container</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stat-total-sent</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Total sent stat card</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stat-total-received</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Total received stat card</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stat-pending-count</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Pending transactions count</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filter-bar</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Filters container</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input-search</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Search text field</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filter-type</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Type filter dropdown</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filter-status</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Status filter dropdown</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filter-asset</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Asset filter dropdown</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sort-by</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Sort order dropdown</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btn-clear-filters</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Clear all filters button</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transactions-table</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Table container</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no-results</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Empty state message</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history-row-tx001</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Transaction row by ID (any tx ID)</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tx-type-tx001</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Type cell in a row</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tx-amount-tx001</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Amount cell in a row</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tx-usd-tx001</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USD value cell in a row</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status-badge-completed</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Completed status badge</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status-badge-pending</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Pending status badge</w:t>
            </w:r>
          </w:p>
        </w:tc>
      </w:tr>
      <w:tr>
        <w:tc>
          <w:tcPr>
            <w:tcW w:type="dxa" w:w="3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2B586B"/>
                <w:sz w:val="20"/>
                <w:szCs w:val="20"/>
              </w:rPr>
              <w:t xml:space="preserve">status-badge-failed</w:t>
            </w:r>
          </w:p>
        </w:tc>
        <w:tc>
          <w:tcPr>
            <w:tcW w:type="dxa" w:w="6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Failed status badge</w:t>
            </w:r>
          </w:p>
        </w:tc>
      </w:tr>
    </w:tbl>
    <w:p>
      <w:r>
        <w:br w:type="page"/>
      </w:r>
    </w:p>
    <w:p>
      <w:pPr>
        <w:pStyle w:val="Heading1"/>
        <w:pBdr>
          <w:bottom w:val="single" w:color="2B586B" w:sz="6" w:space="4"/>
        </w:pBdr>
        <w:spacing w:after="120" w:before="360"/>
      </w:pPr>
      <w:r>
        <w:rPr>
          <w:rFonts w:ascii="Arial" w:cs="Arial" w:eastAsia="Arial" w:hAnsi="Arial"/>
          <w:b/>
          <w:bCs/>
          <w:color w:val="2B586B"/>
          <w:sz w:val="32"/>
          <w:szCs w:val="32"/>
        </w:rPr>
        <w:t xml:space="preserve">6. Test Scope &amp; Expectations</w:t>
      </w:r>
    </w:p>
    <w:p>
      <w:pPr>
        <w:pStyle w:val="Heading2"/>
        <w:spacing w:after="100" w:before="280"/>
      </w:pPr>
      <w:r>
        <w:rPr>
          <w:rFonts w:ascii="Arial" w:cs="Arial" w:eastAsia="Arial" w:hAnsi="Arial"/>
          <w:b/>
          <w:bCs/>
          <w:color w:val="1E3F4E"/>
          <w:sz w:val="26"/>
          <w:szCs w:val="26"/>
        </w:rPr>
        <w:t xml:space="preserve">6.1 What Interns Must Deliver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1200"/>
        <w:gridCol w:w="1200"/>
      </w:tblGrid>
      <w:tr>
        <w:tc>
          <w:tcPr>
            <w:tcW w:type="dxa" w:w="24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c>
          <w:tcPr>
            <w:tcW w:type="dxa" w:w="456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2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12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Format</w:t>
            </w:r>
          </w:p>
        </w:tc>
      </w:tr>
      <w:tr>
        <w:tc>
          <w:tcPr>
            <w:tcW w:type="dxa" w:w="2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Test Cases</w:t>
            </w:r>
          </w:p>
        </w:tc>
        <w:tc>
          <w:tcPr>
            <w:tcW w:type="dxa" w:w="45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Manual test cases covering all acceptance criteria in Section 3. Each case must have preconditions, steps, expected result, and actual result.</w:t>
            </w:r>
          </w:p>
        </w:tc>
        <w:tc>
          <w:tcPr>
            <w:tcW w:type="dxa" w:w="12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JIRA / Sheet</w:t>
            </w:r>
          </w:p>
        </w:tc>
      </w:tr>
      <w:tr>
        <w:tc>
          <w:tcPr>
            <w:tcW w:type="dxa" w:w="2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Bug Reports</w:t>
            </w:r>
          </w:p>
        </w:tc>
        <w:tc>
          <w:tcPr>
            <w:tcW w:type="dxa" w:w="45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Any deviation from the acceptance criteria should be filed as a bug with: title, severity, steps to reproduce, expected vs actual, and environment.</w:t>
            </w:r>
          </w:p>
        </w:tc>
        <w:tc>
          <w:tcPr>
            <w:tcW w:type="dxa" w:w="12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JIRA</w:t>
            </w:r>
          </w:p>
        </w:tc>
      </w:tr>
      <w:tr>
        <w:tc>
          <w:tcPr>
            <w:tcW w:type="dxa" w:w="2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Playwright Automation</w:t>
            </w:r>
          </w:p>
        </w:tc>
        <w:tc>
          <w:tcPr>
            <w:tcW w:type="dxa" w:w="45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Automated end-to-end test scripts using Playwright and data-testid selectors. Must cover the 4 core flows: login+2FA, dashboard read, send transfer, history filter.</w:t>
            </w:r>
          </w:p>
        </w:tc>
        <w:tc>
          <w:tcPr>
            <w:tcW w:type="dxa" w:w="12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TypeScript / JS</w:t>
            </w:r>
          </w:p>
        </w:tc>
      </w:tr>
      <w:tr>
        <w:tc>
          <w:tcPr>
            <w:tcW w:type="dxa" w:w="2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API Test Collection</w:t>
            </w:r>
          </w:p>
        </w:tc>
        <w:tc>
          <w:tcPr>
            <w:tcW w:type="dxa" w:w="45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Postman or curl-based test collection covering all CRUD endpoints for users, wallets, and transactions. Should verify HTTP status codes and response body shape.</w:t>
            </w:r>
          </w:p>
        </w:tc>
        <w:tc>
          <w:tcPr>
            <w:tcW w:type="dxa" w:w="12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Postman JSON</w:t>
            </w:r>
          </w:p>
        </w:tc>
      </w:tr>
      <w:tr>
        <w:tc>
          <w:tcPr>
            <w:tcW w:type="dxa" w:w="2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Test Report</w:t>
            </w:r>
          </w:p>
        </w:tc>
        <w:tc>
          <w:tcPr>
            <w:tcW w:type="dxa" w:w="45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Summary of test execution results: total cases, pass/fail/blocked, and any outstanding bugs at end of sprint.</w:t>
            </w:r>
          </w:p>
        </w:tc>
        <w:tc>
          <w:tcPr>
            <w:tcW w:type="dxa" w:w="1200"/>
            <w:tcBorders>
              <w:top w:val="single" w:color="E2E8EC" w:sz="4"/>
              <w:left w:val="single" w:color="E2E8EC" w:sz="4"/>
              <w:bottom w:val="single" w:color="E2E8EC" w:sz="4"/>
              <w:right w:val="single" w:color="E2E8EC" w:sz="4"/>
            </w:tcBorders>
            <w:shd w:fill="FEF9C3" w:val="clear"/>
            <w:tcMar>
              <w:top w:type="dxa" w:w="80"/>
              <w:left w:type="dxa" w:w="120"/>
              <w:bottom w:type="dxa" w:w="80"/>
              <w:right w:type="dxa" w:w="120"/>
            </w:tcMar>
          </w:tcPr>
          <w:p>
            <w:pPr>
              <w:jc w:val="center"/>
            </w:pPr>
            <w:r>
              <w:rPr>
                <w:rFonts w:ascii="Arial" w:cs="Arial" w:eastAsia="Arial" w:hAnsi="Arial"/>
                <w:b/>
                <w:bCs/>
                <w:color w:val="78350F"/>
                <w:sz w:val="18"/>
                <w:szCs w:val="18"/>
              </w:rPr>
              <w:t xml:space="preserve">Should Have</w:t>
            </w:r>
          </w:p>
        </w:tc>
        <w:tc>
          <w:tcPr>
            <w:tcW w:type="dxa" w:w="1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Document</w:t>
            </w:r>
          </w:p>
        </w:tc>
      </w:tr>
    </w:tbl>
    <w:p>
      <w:pPr>
        <w:spacing w:after="0" w:before="140"/>
      </w:pPr>
      <w:r>
        <w:t xml:space="preserve"/>
      </w:r>
    </w:p>
    <w:p>
      <w:pPr>
        <w:pStyle w:val="Heading2"/>
        <w:spacing w:after="100" w:before="280"/>
      </w:pPr>
      <w:r>
        <w:rPr>
          <w:rFonts w:ascii="Arial" w:cs="Arial" w:eastAsia="Arial" w:hAnsi="Arial"/>
          <w:b/>
          <w:bCs/>
          <w:color w:val="1E3F4E"/>
          <w:sz w:val="26"/>
          <w:szCs w:val="26"/>
        </w:rPr>
        <w:t xml:space="preserve">6.2 Playwright Test Coverage Targets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160"/>
        <w:gridCol w:w="1200"/>
        <w:gridCol w:w="1000"/>
      </w:tblGrid>
      <w:tr>
        <w:tc>
          <w:tcPr>
            <w:tcW w:type="dxa" w:w="30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Test Suite</w:t>
            </w:r>
          </w:p>
        </w:tc>
        <w:tc>
          <w:tcPr>
            <w:tcW w:type="dxa" w:w="416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Scenarios to Cover</w:t>
            </w:r>
          </w:p>
        </w:tc>
        <w:tc>
          <w:tcPr>
            <w:tcW w:type="dxa" w:w="12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10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Min Tests</w:t>
            </w:r>
          </w:p>
        </w:tc>
      </w:tr>
      <w:tr>
        <w:tc>
          <w:tcPr>
            <w:tcW w:type="dxa" w:w="30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auth.spec.ts</w:t>
            </w:r>
          </w:p>
        </w:tc>
        <w:tc>
          <w:tcPr>
            <w:tcW w:type="dxa" w:w="4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Login happy path, wrong password, wrong 2FA, OTP navigation, back button</w:t>
            </w:r>
          </w:p>
        </w:tc>
        <w:tc>
          <w:tcPr>
            <w:tcW w:type="dxa" w:w="12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0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6</w:t>
            </w:r>
          </w:p>
        </w:tc>
      </w:tr>
      <w:tr>
        <w:tc>
          <w:tcPr>
            <w:tcW w:type="dxa" w:w="30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dashboard.spec.ts</w:t>
            </w:r>
          </w:p>
        </w:tc>
        <w:tc>
          <w:tcPr>
            <w:tcW w:type="dxa" w:w="4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Balance display, wallet cards, recent transactions, navigation buttons</w:t>
            </w:r>
          </w:p>
        </w:tc>
        <w:tc>
          <w:tcPr>
            <w:tcW w:type="dxa" w:w="12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0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5</w:t>
            </w:r>
          </w:p>
        </w:tc>
      </w:tr>
      <w:tr>
        <w:tc>
          <w:tcPr>
            <w:tcW w:type="dxa" w:w="30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transfer.spec.ts</w:t>
            </w:r>
          </w:p>
        </w:tc>
        <w:tc>
          <w:tcPr>
            <w:tcW w:type="dxa" w:w="4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Send happy path, insufficient balance, missing address, receive mode, success screen</w:t>
            </w:r>
          </w:p>
        </w:tc>
        <w:tc>
          <w:tcPr>
            <w:tcW w:type="dxa" w:w="12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0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7</w:t>
            </w:r>
          </w:p>
        </w:tc>
      </w:tr>
      <w:tr>
        <w:tc>
          <w:tcPr>
            <w:tcW w:type="dxa" w:w="30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history.spec.ts</w:t>
            </w:r>
          </w:p>
        </w:tc>
        <w:tc>
          <w:tcPr>
            <w:tcW w:type="dxa" w:w="4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Default load, filter by type, filter by status, search, clear filters, no-results state</w:t>
            </w:r>
          </w:p>
        </w:tc>
        <w:tc>
          <w:tcPr>
            <w:tcW w:type="dxa" w:w="12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0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7</w:t>
            </w:r>
          </w:p>
        </w:tc>
      </w:tr>
      <w:tr>
        <w:tc>
          <w:tcPr>
            <w:tcW w:type="dxa" w:w="30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api-sync.spec.ts</w:t>
            </w:r>
          </w:p>
        </w:tc>
        <w:tc>
          <w:tcPr>
            <w:tcW w:type="dxa" w:w="4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Create transaction via API and verify it appears in UI history; update wallet balance and verify dashboard updates</w:t>
            </w:r>
          </w:p>
        </w:tc>
        <w:tc>
          <w:tcPr>
            <w:tcW w:type="dxa" w:w="12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Must Have</w:t>
            </w:r>
          </w:p>
        </w:tc>
        <w:tc>
          <w:tcPr>
            <w:tcW w:type="dxa" w:w="10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3</w:t>
            </w:r>
          </w:p>
        </w:tc>
      </w:tr>
      <w:tr>
        <w:tc>
          <w:tcPr>
            <w:tcW w:type="dxa" w:w="30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session.spec.ts</w:t>
            </w:r>
          </w:p>
        </w:tc>
        <w:tc>
          <w:tcPr>
            <w:tcW w:type="dxa" w:w="41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Unauthenticated redirect, logout flow, navbar visibility</w:t>
            </w:r>
          </w:p>
        </w:tc>
        <w:tc>
          <w:tcPr>
            <w:tcW w:type="dxa" w:w="1200"/>
            <w:tcBorders>
              <w:top w:val="single" w:color="E2E8EC" w:sz="4"/>
              <w:left w:val="single" w:color="E2E8EC" w:sz="4"/>
              <w:bottom w:val="single" w:color="E2E8EC" w:sz="4"/>
              <w:right w:val="single" w:color="E2E8EC" w:sz="4"/>
            </w:tcBorders>
            <w:shd w:fill="FEF9C3" w:val="clear"/>
            <w:tcMar>
              <w:top w:type="dxa" w:w="80"/>
              <w:left w:type="dxa" w:w="120"/>
              <w:bottom w:type="dxa" w:w="80"/>
              <w:right w:type="dxa" w:w="120"/>
            </w:tcMar>
          </w:tcPr>
          <w:p>
            <w:pPr>
              <w:jc w:val="center"/>
            </w:pPr>
            <w:r>
              <w:rPr>
                <w:rFonts w:ascii="Arial" w:cs="Arial" w:eastAsia="Arial" w:hAnsi="Arial"/>
                <w:b/>
                <w:bCs/>
                <w:color w:val="78350F"/>
                <w:sz w:val="18"/>
                <w:szCs w:val="18"/>
              </w:rPr>
              <w:t xml:space="preserve">Should Have</w:t>
            </w:r>
          </w:p>
        </w:tc>
        <w:tc>
          <w:tcPr>
            <w:tcW w:type="dxa" w:w="10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4</w:t>
            </w:r>
          </w:p>
        </w:tc>
      </w:tr>
    </w:tbl>
    <w:p>
      <w:pPr>
        <w:spacing w:after="0" w:before="140"/>
      </w:pPr>
      <w:r>
        <w:t xml:space="preserve"/>
      </w:r>
    </w:p>
    <w:p>
      <w:pPr>
        <w:pStyle w:val="Heading2"/>
        <w:spacing w:after="100" w:before="280"/>
      </w:pPr>
      <w:r>
        <w:rPr>
          <w:rFonts w:ascii="Arial" w:cs="Arial" w:eastAsia="Arial" w:hAnsi="Arial"/>
          <w:b/>
          <w:bCs/>
          <w:color w:val="1E3F4E"/>
          <w:sz w:val="26"/>
          <w:szCs w:val="26"/>
        </w:rPr>
        <w:t xml:space="preserve">6.3 Bug Severity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22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Label</w:t>
            </w:r>
          </w:p>
        </w:tc>
        <w:tc>
          <w:tcPr>
            <w:tcW w:type="dxa" w:w="556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1600"/>
            <w:tcBorders>
              <w:top w:val="single" w:color="E2E8EC" w:sz="4"/>
              <w:left w:val="single" w:color="E2E8EC" w:sz="4"/>
              <w:bottom w:val="single" w:color="E2E8EC" w:sz="4"/>
              <w:right w:val="single" w:color="E2E8EC" w:sz="4"/>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High</w:t>
            </w:r>
          </w:p>
        </w:tc>
        <w:tc>
          <w:tcPr>
            <w:tcW w:type="dxa" w:w="2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P1 — Critical</w:t>
            </w:r>
          </w:p>
        </w:tc>
        <w:tc>
          <w:tcPr>
            <w:tcW w:type="dxa" w:w="55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App is broken or data is incorrect. Acceptance criterion completely unmet. E.g. login fails with correct credentials.</w:t>
            </w:r>
          </w:p>
        </w:tc>
      </w:tr>
      <w:tr>
        <w:tc>
          <w:tcPr>
            <w:tcW w:type="dxa" w:w="1600"/>
            <w:tcBorders>
              <w:top w:val="single" w:color="E2E8EC" w:sz="4"/>
              <w:left w:val="single" w:color="E2E8EC" w:sz="4"/>
              <w:bottom w:val="single" w:color="E2E8EC" w:sz="4"/>
              <w:right w:val="single" w:color="E2E8EC" w:sz="4"/>
            </w:tcBorders>
            <w:shd w:fill="FEF9C3" w:val="clear"/>
            <w:tcMar>
              <w:top w:type="dxa" w:w="80"/>
              <w:left w:type="dxa" w:w="120"/>
              <w:bottom w:type="dxa" w:w="80"/>
              <w:right w:type="dxa" w:w="120"/>
            </w:tcMar>
          </w:tcPr>
          <w:p>
            <w:pPr>
              <w:jc w:val="center"/>
            </w:pPr>
            <w:r>
              <w:rPr>
                <w:rFonts w:ascii="Arial" w:cs="Arial" w:eastAsia="Arial" w:hAnsi="Arial"/>
                <w:b/>
                <w:bCs/>
                <w:color w:val="78350F"/>
                <w:sz w:val="18"/>
                <w:szCs w:val="18"/>
              </w:rPr>
              <w:t xml:space="preserve">Medium</w:t>
            </w:r>
          </w:p>
        </w:tc>
        <w:tc>
          <w:tcPr>
            <w:tcW w:type="dxa" w:w="2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P2 — Major</w:t>
            </w:r>
          </w:p>
        </w:tc>
        <w:tc>
          <w:tcPr>
            <w:tcW w:type="dxa" w:w="55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Feature works but has significant issues. E.g. USD preview shows wrong calculation.</w:t>
            </w:r>
          </w:p>
        </w:tc>
      </w:tr>
      <w:tr>
        <w:tc>
          <w:tcPr>
            <w:tcW w:type="dxa" w:w="1600"/>
            <w:tcBorders>
              <w:top w:val="single" w:color="E2E8EC" w:sz="4"/>
              <w:left w:val="single" w:color="E2E8EC" w:sz="4"/>
              <w:bottom w:val="single" w:color="E2E8EC" w:sz="4"/>
              <w:right w:val="single" w:color="E2E8EC" w:sz="4"/>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Low</w:t>
            </w:r>
          </w:p>
        </w:tc>
        <w:tc>
          <w:tcPr>
            <w:tcW w:type="dxa" w:w="22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P3 — Minor</w:t>
            </w:r>
          </w:p>
        </w:tc>
        <w:tc>
          <w:tcPr>
            <w:tcW w:type="dxa" w:w="55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Cosmetic or UX issue that doesn't block functionality. E.g. wrong text colour on a badge.</w:t>
            </w:r>
          </w:p>
        </w:tc>
      </w:tr>
    </w:tbl>
    <w:p>
      <w:r>
        <w:br w:type="page"/>
      </w:r>
    </w:p>
    <w:p>
      <w:pPr>
        <w:pStyle w:val="Heading1"/>
        <w:pBdr>
          <w:bottom w:val="single" w:color="2B586B" w:sz="6" w:space="4"/>
        </w:pBdr>
        <w:spacing w:after="120" w:before="360"/>
      </w:pPr>
      <w:r>
        <w:rPr>
          <w:rFonts w:ascii="Arial" w:cs="Arial" w:eastAsia="Arial" w:hAnsi="Arial"/>
          <w:b/>
          <w:bCs/>
          <w:color w:val="2B586B"/>
          <w:sz w:val="32"/>
          <w:szCs w:val="32"/>
        </w:rPr>
        <w:t xml:space="preserve">7. Suggested JIRA Structure</w:t>
      </w:r>
    </w:p>
    <w:p>
      <w:pPr>
        <w:spacing w:after="80" w:before="60"/>
      </w:pPr>
      <w:r>
        <w:rPr>
          <w:rFonts w:ascii="Arial" w:cs="Arial" w:eastAsia="Arial" w:hAnsi="Arial"/>
          <w:color w:val="0F2830"/>
          <w:sz w:val="22"/>
          <w:szCs w:val="22"/>
        </w:rPr>
        <w:t xml:space="preserve">The following structure maps this PRD directly to JIRA. Create one Epic per feature (F-01 through F-07), then one Story per acceptance criterion group, with individual test tasks underneath.</w:t>
      </w:r>
    </w:p>
    <w:p>
      <w:pPr>
        <w:spacing w:after="0" w:before="100"/>
      </w:pPr>
      <w:r>
        <w:t xml:space="preserve"/>
      </w:r>
    </w:p>
    <w:p>
      <w:pPr>
        <w:pStyle w:val="Heading2"/>
        <w:spacing w:after="100" w:before="280"/>
      </w:pPr>
      <w:r>
        <w:rPr>
          <w:rFonts w:ascii="Arial" w:cs="Arial" w:eastAsia="Arial" w:hAnsi="Arial"/>
          <w:b/>
          <w:bCs/>
          <w:color w:val="1E3F4E"/>
          <w:sz w:val="26"/>
          <w:szCs w:val="26"/>
        </w:rPr>
        <w:t xml:space="preserve">7.1 Epic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Epic ID</w:t>
            </w:r>
          </w:p>
        </w:tc>
        <w:tc>
          <w:tcPr>
            <w:tcW w:type="dxa" w:w="24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536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JIRA Epic Name</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F-01</w:t>
            </w:r>
          </w:p>
        </w:tc>
        <w:tc>
          <w:tcPr>
            <w:tcW w:type="dxa" w:w="2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Login</w:t>
            </w:r>
          </w:p>
        </w:tc>
        <w:tc>
          <w:tcPr>
            <w:tcW w:type="dxa" w:w="53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[VX] Authentication — Login flow</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F-02</w:t>
            </w:r>
          </w:p>
        </w:tc>
        <w:tc>
          <w:tcPr>
            <w:tcW w:type="dxa" w:w="2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2FA</w:t>
            </w:r>
          </w:p>
        </w:tc>
        <w:tc>
          <w:tcPr>
            <w:tcW w:type="dxa" w:w="53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[VX] Authentication — Two-Factor Auth</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F-03</w:t>
            </w:r>
          </w:p>
        </w:tc>
        <w:tc>
          <w:tcPr>
            <w:tcW w:type="dxa" w:w="2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Dashboard</w:t>
            </w:r>
          </w:p>
        </w:tc>
        <w:tc>
          <w:tcPr>
            <w:tcW w:type="dxa" w:w="53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[VX] Dashboard — Portfolio &amp; Wallets</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F-04</w:t>
            </w:r>
          </w:p>
        </w:tc>
        <w:tc>
          <w:tcPr>
            <w:tcW w:type="dxa" w:w="2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Send</w:t>
            </w:r>
          </w:p>
        </w:tc>
        <w:tc>
          <w:tcPr>
            <w:tcW w:type="dxa" w:w="53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[VX] Transfer — Send Flow</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F-05</w:t>
            </w:r>
          </w:p>
        </w:tc>
        <w:tc>
          <w:tcPr>
            <w:tcW w:type="dxa" w:w="2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Receive</w:t>
            </w:r>
          </w:p>
        </w:tc>
        <w:tc>
          <w:tcPr>
            <w:tcW w:type="dxa" w:w="53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[VX] Transfer — Receive Flow</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F-06</w:t>
            </w:r>
          </w:p>
        </w:tc>
        <w:tc>
          <w:tcPr>
            <w:tcW w:type="dxa" w:w="2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History</w:t>
            </w:r>
          </w:p>
        </w:tc>
        <w:tc>
          <w:tcPr>
            <w:tcW w:type="dxa" w:w="53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[VX] Transaction History &amp; Filters</w:t>
            </w:r>
          </w:p>
        </w:tc>
      </w:tr>
      <w:tr>
        <w:tc>
          <w:tcPr>
            <w:tcW w:type="dxa" w:w="16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F-07</w:t>
            </w:r>
          </w:p>
        </w:tc>
        <w:tc>
          <w:tcPr>
            <w:tcW w:type="dxa" w:w="24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Navigation</w:t>
            </w:r>
          </w:p>
        </w:tc>
        <w:tc>
          <w:tcPr>
            <w:tcW w:type="dxa" w:w="53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[VX] Navigation &amp; Session Management</w:t>
            </w:r>
          </w:p>
        </w:tc>
      </w:tr>
    </w:tbl>
    <w:p>
      <w:pPr>
        <w:spacing w:after="0" w:before="120"/>
      </w:pPr>
      <w:r>
        <w:t xml:space="preserve"/>
      </w:r>
    </w:p>
    <w:p>
      <w:pPr>
        <w:pStyle w:val="Heading2"/>
        <w:spacing w:after="100" w:before="280"/>
      </w:pPr>
      <w:r>
        <w:rPr>
          <w:rFonts w:ascii="Arial" w:cs="Arial" w:eastAsia="Arial" w:hAnsi="Arial"/>
          <w:b/>
          <w:bCs/>
          <w:color w:val="1E3F4E"/>
          <w:sz w:val="26"/>
          <w:szCs w:val="26"/>
        </w:rPr>
        <w:t xml:space="preserve">7.2 Story Template</w:t>
      </w:r>
    </w:p>
    <w:tbl>
      <w:tblPr>
        <w:tblW w:type="dxa" w:w="9360"/>
        <w:tblBorders>
          <w:top w:val="single" w:color="2B586B" w:sz="8"/>
          <w:left w:val="single" w:color="2B586B" w:sz="24"/>
          <w:bottom w:val="single" w:color="2B586B" w:sz="4"/>
          <w:right w:val="single" w:color="E2E8E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7" w:val="clear"/>
            <w:tcMar>
              <w:top w:type="dxa" w:w="120"/>
              <w:left w:type="dxa" w:w="200"/>
              <w:bottom w:type="dxa" w:w="120"/>
              <w:right w:type="dxa" w:w="200"/>
            </w:tcMar>
          </w:tcPr>
          <w:p>
            <w:pPr>
              <w:spacing w:after="60"/>
            </w:pPr>
            <w:r>
              <w:rPr>
                <w:rFonts w:ascii="Arial" w:cs="Arial" w:eastAsia="Arial" w:hAnsi="Arial"/>
                <w:b/>
                <w:bCs/>
                <w:color w:val="2B586B"/>
                <w:sz w:val="20"/>
                <w:szCs w:val="20"/>
              </w:rPr>
              <w:t xml:space="preserve">Story naming convention</w:t>
            </w:r>
          </w:p>
          <w:p>
            <w:r>
              <w:rPr>
                <w:rFonts w:ascii="Arial" w:cs="Arial" w:eastAsia="Arial" w:hAnsi="Arial"/>
                <w:color w:val="0F2830"/>
                <w:sz w:val="20"/>
                <w:szCs w:val="20"/>
              </w:rPr>
              <w:t xml:space="preserve">[VX-F0X] As a QA intern, I want to test [feature] so that I can verify [acceptance criterion group] works as specified in the PRD.</w:t>
            </w:r>
          </w:p>
        </w:tc>
      </w:tr>
    </w:tbl>
    <w:p>
      <w:pPr>
        <w:spacing w:after="0" w:before="120"/>
      </w:pPr>
      <w:r>
        <w:t xml:space="preserve"/>
      </w:r>
    </w:p>
    <w:p>
      <w:pPr>
        <w:pStyle w:val="Heading2"/>
        <w:spacing w:after="100" w:before="280"/>
      </w:pPr>
      <w:r>
        <w:rPr>
          <w:rFonts w:ascii="Arial" w:cs="Arial" w:eastAsia="Arial" w:hAnsi="Arial"/>
          <w:b/>
          <w:bCs/>
          <w:color w:val="1E3F4E"/>
          <w:sz w:val="26"/>
          <w:szCs w:val="26"/>
        </w:rPr>
        <w:t xml:space="preserve">7.3 Task Template per Story</w:t>
      </w:r>
    </w:p>
    <w:p>
      <w:pPr>
        <w:spacing w:after="80" w:before="60"/>
      </w:pPr>
      <w:r>
        <w:rPr>
          <w:rFonts w:ascii="Arial" w:cs="Arial" w:eastAsia="Arial" w:hAnsi="Arial"/>
          <w:color w:val="0F2830"/>
          <w:sz w:val="22"/>
          <w:szCs w:val="22"/>
        </w:rPr>
        <w:t xml:space="preserve">Each story should have the following child tasks: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300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Task Type</w:t>
            </w:r>
          </w:p>
        </w:tc>
        <w:tc>
          <w:tcPr>
            <w:tcW w:type="dxa" w:w="5560"/>
            <w:tcBorders>
              <w:top w:val="single" w:color="2B586B" w:sz="6"/>
              <w:left w:val="single" w:color="2B586B" w:sz="6"/>
              <w:bottom w:val="single" w:color="2B586B" w:sz="6"/>
              <w:right w:val="single" w:color="2B586B" w:sz="6"/>
            </w:tcBorders>
            <w:shd w:fill="2B58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8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1</w:t>
            </w:r>
          </w:p>
        </w:tc>
        <w:tc>
          <w:tcPr>
            <w:tcW w:type="dxa" w:w="30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Write Test Cases</w:t>
            </w:r>
          </w:p>
        </w:tc>
        <w:tc>
          <w:tcPr>
            <w:tcW w:type="dxa" w:w="55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Document manual test cases for each AC covering happy path, edge cases, and negative scenarios</w:t>
            </w:r>
          </w:p>
        </w:tc>
      </w:tr>
      <w:tr>
        <w:tc>
          <w:tcPr>
            <w:tcW w:type="dxa" w:w="8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2</w:t>
            </w:r>
          </w:p>
        </w:tc>
        <w:tc>
          <w:tcPr>
            <w:tcW w:type="dxa" w:w="30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Execute Manual Tests</w:t>
            </w:r>
          </w:p>
        </w:tc>
        <w:tc>
          <w:tcPr>
            <w:tcW w:type="dxa" w:w="55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Run test cases against staging environment and record pass/fail/blocked with evidence (screenshots)</w:t>
            </w:r>
          </w:p>
        </w:tc>
      </w:tr>
      <w:tr>
        <w:tc>
          <w:tcPr>
            <w:tcW w:type="dxa" w:w="8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3</w:t>
            </w:r>
          </w:p>
        </w:tc>
        <w:tc>
          <w:tcPr>
            <w:tcW w:type="dxa" w:w="30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File Bug Reports</w:t>
            </w:r>
          </w:p>
        </w:tc>
        <w:tc>
          <w:tcPr>
            <w:tcW w:type="dxa" w:w="55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Raise JIRA bug tickets for any failing ACs with severity, steps to reproduce, and actual vs expected</w:t>
            </w:r>
          </w:p>
        </w:tc>
      </w:tr>
      <w:tr>
        <w:tc>
          <w:tcPr>
            <w:tcW w:type="dxa" w:w="8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4</w:t>
            </w:r>
          </w:p>
        </w:tc>
        <w:tc>
          <w:tcPr>
            <w:tcW w:type="dxa" w:w="30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Write Playwright Tests</w:t>
            </w:r>
          </w:p>
        </w:tc>
        <w:tc>
          <w:tcPr>
            <w:tcW w:type="dxa" w:w="55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Automate the happy path and at least one negative scenario per AC using data-testid selectors</w:t>
            </w:r>
          </w:p>
        </w:tc>
      </w:tr>
      <w:tr>
        <w:tc>
          <w:tcPr>
            <w:tcW w:type="dxa" w:w="8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5</w:t>
            </w:r>
          </w:p>
        </w:tc>
        <w:tc>
          <w:tcPr>
            <w:tcW w:type="dxa" w:w="300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bCs/>
                <w:color w:val="0F2830"/>
                <w:sz w:val="20"/>
                <w:szCs w:val="20"/>
              </w:rPr>
              <w:t xml:space="preserve">Code Review &amp; Merge</w:t>
            </w:r>
          </w:p>
        </w:tc>
        <w:tc>
          <w:tcPr>
            <w:tcW w:type="dxa" w:w="5560"/>
            <w:tcBorders>
              <w:top w:val="single" w:color="E2E8EC" w:sz="4"/>
              <w:left w:val="single" w:color="E2E8EC" w:sz="4"/>
              <w:bottom w:val="single" w:color="E2E8EC" w:sz="4"/>
              <w:right w:val="single" w:color="E2E8EC" w:sz="4"/>
            </w:tcBorders>
            <w:tcMar>
              <w:top w:type="dxa" w:w="80"/>
              <w:left w:type="dxa" w:w="120"/>
              <w:bottom w:type="dxa" w:w="80"/>
              <w:right w:type="dxa" w:w="120"/>
            </w:tcMar>
          </w:tcPr>
          <w:p>
            <w:pPr>
              <w:jc w:val="left"/>
            </w:pPr>
            <w:r>
              <w:rPr>
                <w:rFonts w:ascii="Arial" w:cs="Arial" w:eastAsia="Arial" w:hAnsi="Arial"/>
                <w:b w:val="false"/>
                <w:bCs w:val="false"/>
                <w:color w:val="0F2830"/>
                <w:sz w:val="20"/>
                <w:szCs w:val="20"/>
              </w:rPr>
              <w:t xml:space="preserve">Raise a PR for the Playwright spec file, have another intern review, then merge to main</w:t>
            </w:r>
          </w:p>
        </w:tc>
      </w:tr>
    </w:tbl>
    <w:p>
      <w:pPr>
        <w:spacing w:after="0" w:before="120"/>
      </w:pPr>
      <w:r>
        <w:t xml:space="preserve"/>
      </w:r>
    </w:p>
    <w:p>
      <w:pPr>
        <w:pStyle w:val="Heading2"/>
        <w:spacing w:after="100" w:before="280"/>
      </w:pPr>
      <w:r>
        <w:rPr>
          <w:rFonts w:ascii="Arial" w:cs="Arial" w:eastAsia="Arial" w:hAnsi="Arial"/>
          <w:b/>
          <w:bCs/>
          <w:color w:val="1E3F4E"/>
          <w:sz w:val="26"/>
          <w:szCs w:val="26"/>
        </w:rPr>
        <w:t xml:space="preserve">7.4 Definition of Done</w:t>
      </w:r>
    </w:p>
    <w:p>
      <w:pPr>
        <w:spacing w:after="0" w:before="60"/>
      </w:pPr>
      <w:r>
        <w:t xml:space="preserve"/>
      </w:r>
    </w:p>
    <w:p>
      <w:pPr>
        <w:pStyle w:val="ListParagraph"/>
        <w:numPr>
          <w:ilvl w:val="0"/>
          <w:numId w:val="2"/>
        </w:numPr>
        <w:spacing w:after="40" w:before="40"/>
      </w:pPr>
      <w:r>
        <w:rPr>
          <w:rFonts w:ascii="Arial" w:cs="Arial" w:eastAsia="Arial" w:hAnsi="Arial"/>
          <w:color w:val="0F2830"/>
          <w:sz w:val="22"/>
          <w:szCs w:val="22"/>
        </w:rPr>
        <w:t xml:space="preserve">All acceptance criteria for the story are marked Pass in the test case log</w:t>
      </w:r>
    </w:p>
    <w:p>
      <w:pPr>
        <w:pStyle w:val="ListParagraph"/>
        <w:numPr>
          <w:ilvl w:val="0"/>
          <w:numId w:val="2"/>
        </w:numPr>
        <w:spacing w:after="40" w:before="40"/>
      </w:pPr>
      <w:r>
        <w:rPr>
          <w:rFonts w:ascii="Arial" w:cs="Arial" w:eastAsia="Arial" w:hAnsi="Arial"/>
          <w:color w:val="0F2830"/>
          <w:sz w:val="22"/>
          <w:szCs w:val="22"/>
        </w:rPr>
        <w:t xml:space="preserve">Any P1 or P2 bugs found are raised as JIRA tickets and linked to the story</w:t>
      </w:r>
    </w:p>
    <w:p>
      <w:pPr>
        <w:pStyle w:val="ListParagraph"/>
        <w:numPr>
          <w:ilvl w:val="0"/>
          <w:numId w:val="2"/>
        </w:numPr>
        <w:spacing w:after="40" w:before="40"/>
      </w:pPr>
      <w:r>
        <w:rPr>
          <w:rFonts w:ascii="Arial" w:cs="Arial" w:eastAsia="Arial" w:hAnsi="Arial"/>
          <w:color w:val="0F2830"/>
          <w:sz w:val="22"/>
          <w:szCs w:val="22"/>
        </w:rPr>
        <w:t xml:space="preserve">Playwright spec file exists and all tests pass locally against the staging URL</w:t>
      </w:r>
    </w:p>
    <w:p>
      <w:pPr>
        <w:pStyle w:val="ListParagraph"/>
        <w:numPr>
          <w:ilvl w:val="0"/>
          <w:numId w:val="2"/>
        </w:numPr>
        <w:spacing w:after="40" w:before="40"/>
      </w:pPr>
      <w:r>
        <w:rPr>
          <w:rFonts w:ascii="Arial" w:cs="Arial" w:eastAsia="Arial" w:hAnsi="Arial"/>
          <w:color w:val="0F2830"/>
          <w:sz w:val="22"/>
          <w:szCs w:val="22"/>
        </w:rPr>
        <w:t xml:space="preserve">Test case document is reviewed and signed off by the QA lead</w:t>
      </w:r>
    </w:p>
    <w:p>
      <w:pPr>
        <w:pStyle w:val="ListParagraph"/>
        <w:numPr>
          <w:ilvl w:val="0"/>
          <w:numId w:val="2"/>
        </w:numPr>
        <w:spacing w:after="40" w:before="40"/>
      </w:pPr>
      <w:r>
        <w:rPr>
          <w:rFonts w:ascii="Arial" w:cs="Arial" w:eastAsia="Arial" w:hAnsi="Arial"/>
          <w:color w:val="0F2830"/>
          <w:sz w:val="22"/>
          <w:szCs w:val="22"/>
        </w:rPr>
        <w:t xml:space="preserve">Playwright PR is merged to the test repo main branch</w:t>
      </w:r>
    </w:p>
    <w:p>
      <w:pPr>
        <w:spacing w:after="0" w:before="80"/>
      </w:pPr>
      <w:r>
        <w:t xml:space="preserve"/>
      </w:r>
    </w:p>
    <w:p>
      <w:r>
        <w:br w:type="page"/>
      </w:r>
    </w:p>
    <w:p>
      <w:pPr>
        <w:pStyle w:val="Heading1"/>
        <w:pBdr>
          <w:bottom w:val="single" w:color="2B586B" w:sz="6" w:space="4"/>
        </w:pBdr>
        <w:spacing w:after="120" w:before="360"/>
      </w:pPr>
      <w:r>
        <w:rPr>
          <w:rFonts w:ascii="Arial" w:cs="Arial" w:eastAsia="Arial" w:hAnsi="Arial"/>
          <w:b/>
          <w:bCs/>
          <w:color w:val="2B586B"/>
          <w:sz w:val="32"/>
          <w:szCs w:val="32"/>
        </w:rPr>
        <w:t xml:space="preserve">8. Playwright Quick-Start for Interns</w:t>
      </w:r>
    </w:p>
    <w:p>
      <w:pPr>
        <w:pStyle w:val="Heading2"/>
        <w:spacing w:after="100" w:before="280"/>
      </w:pPr>
      <w:r>
        <w:rPr>
          <w:rFonts w:ascii="Arial" w:cs="Arial" w:eastAsia="Arial" w:hAnsi="Arial"/>
          <w:b/>
          <w:bCs/>
          <w:color w:val="1E3F4E"/>
          <w:sz w:val="26"/>
          <w:szCs w:val="26"/>
        </w:rPr>
        <w:t xml:space="preserve">8.1 Setup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F4E" w:val="clear"/>
            <w:tcMar>
              <w:top w:type="dxa" w:w="140"/>
              <w:left w:type="dxa" w:w="200"/>
              <w:bottom w:type="dxa" w:w="140"/>
              <w:right w:type="dxa" w:w="200"/>
            </w:tcMar>
          </w:tcPr>
          <w:p>
            <w:pPr>
              <w:spacing w:after="60"/>
            </w:pPr>
            <w:r>
              <w:rPr>
                <w:rFonts w:ascii="Courier New" w:cs="Courier New" w:eastAsia="Courier New" w:hAnsi="Courier New"/>
                <w:color w:val="7FFFD4"/>
                <w:sz w:val="20"/>
                <w:szCs w:val="20"/>
              </w:rPr>
              <w:t xml:space="preserve">npm init playwright@latest</w:t>
            </w:r>
          </w:p>
          <w:p>
            <w:pPr>
              <w:spacing w:after="60"/>
            </w:pPr>
            <w:r>
              <w:rPr>
                <w:rFonts w:ascii="Courier New" w:cs="Courier New" w:eastAsia="Courier New" w:hAnsi="Courier New"/>
                <w:color w:val="9CA3AF"/>
                <w:sz w:val="20"/>
                <w:szCs w:val="20"/>
              </w:rPr>
              <w:t xml:space="preserve"># Set base URL in playwright.config.ts:</w:t>
            </w:r>
          </w:p>
          <w:p>
            <w:pPr>
              <w:spacing w:after="60"/>
            </w:pPr>
            <w:r>
              <w:rPr>
                <w:rFonts w:ascii="Courier New" w:cs="Courier New" w:eastAsia="Courier New" w:hAnsi="Courier New"/>
                <w:color w:val="7FFFD4"/>
                <w:sz w:val="20"/>
                <w:szCs w:val="20"/>
              </w:rPr>
              <w:t xml:space="preserve">use: { baseURL: 'http://localhost:3000' }</w:t>
            </w:r>
          </w:p>
        </w:tc>
      </w:tr>
    </w:tbl>
    <w:p>
      <w:pPr>
        <w:spacing w:after="0" w:before="120"/>
      </w:pPr>
      <w:r>
        <w:t xml:space="preserve"/>
      </w:r>
    </w:p>
    <w:p>
      <w:pPr>
        <w:pStyle w:val="Heading2"/>
        <w:spacing w:after="100" w:before="280"/>
      </w:pPr>
      <w:r>
        <w:rPr>
          <w:rFonts w:ascii="Arial" w:cs="Arial" w:eastAsia="Arial" w:hAnsi="Arial"/>
          <w:b/>
          <w:bCs/>
          <w:color w:val="1E3F4E"/>
          <w:sz w:val="26"/>
          <w:szCs w:val="26"/>
        </w:rPr>
        <w:t xml:space="preserve">8.2 Login Helper (reuse in every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F4E" w:val="clear"/>
            <w:tcMar>
              <w:top w:type="dxa" w:w="140"/>
              <w:left w:type="dxa" w:w="200"/>
              <w:bottom w:type="dxa" w:w="140"/>
              <w:right w:type="dxa" w:w="200"/>
            </w:tcMar>
          </w:tcPr>
          <w:p/>
        </w:tc>
      </w:tr>
    </w:tbl>
    <w:p>
      <w:pPr>
        <w:spacing w:after="0" w:before="120"/>
      </w:pPr>
      <w:r>
        <w:t xml:space="preserve"/>
      </w:r>
    </w:p>
    <w:p>
      <w:pPr>
        <w:pStyle w:val="Heading2"/>
        <w:spacing w:after="100" w:before="280"/>
      </w:pPr>
      <w:r>
        <w:rPr>
          <w:rFonts w:ascii="Arial" w:cs="Arial" w:eastAsia="Arial" w:hAnsi="Arial"/>
          <w:b/>
          <w:bCs/>
          <w:color w:val="1E3F4E"/>
          <w:sz w:val="26"/>
          <w:szCs w:val="26"/>
        </w:rPr>
        <w:t xml:space="preserve">8.3 Test Teardown Pattern</w:t>
      </w:r>
    </w:p>
    <w:p>
      <w:pPr>
        <w:spacing w:after="80" w:before="60"/>
      </w:pPr>
      <w:r>
        <w:rPr>
          <w:rFonts w:ascii="Arial" w:cs="Arial" w:eastAsia="Arial" w:hAnsi="Arial"/>
          <w:color w:val="0F2830"/>
          <w:sz w:val="22"/>
          <w:szCs w:val="22"/>
        </w:rPr>
        <w:t xml:space="preserve">Always reset the API state between tests so each test starts with clean seed data.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F4E" w:val="clear"/>
            <w:tcMar>
              <w:top w:type="dxa" w:w="140"/>
              <w:left w:type="dxa" w:w="200"/>
              <w:bottom w:type="dxa" w:w="140"/>
              <w:right w:type="dxa" w:w="200"/>
            </w:tcMar>
          </w:tcPr>
          <w:p/>
        </w:tc>
      </w:tr>
    </w:tbl>
    <w:p>
      <w:pPr>
        <w:spacing w:after="0" w:before="120"/>
      </w:pPr>
      <w:r>
        <w:t xml:space="preserve"/>
      </w:r>
    </w:p>
    <w:p>
      <w:pPr>
        <w:pStyle w:val="Heading2"/>
        <w:spacing w:after="100" w:before="280"/>
      </w:pPr>
      <w:r>
        <w:rPr>
          <w:rFonts w:ascii="Arial" w:cs="Arial" w:eastAsia="Arial" w:hAnsi="Arial"/>
          <w:b/>
          <w:bCs/>
          <w:color w:val="1E3F4E"/>
          <w:sz w:val="26"/>
          <w:szCs w:val="26"/>
        </w:rPr>
        <w:t xml:space="preserve">8.4 Golden Rules for Interns</w:t>
      </w:r>
    </w:p>
    <w:p>
      <w:pPr>
        <w:spacing w:after="0" w:before="60"/>
      </w:pPr>
      <w:r>
        <w:t xml:space="preserve"/>
      </w:r>
    </w:p>
    <w:p>
      <w:pPr>
        <w:pStyle w:val="ListParagraph"/>
        <w:numPr>
          <w:ilvl w:val="0"/>
          <w:numId w:val="2"/>
        </w:numPr>
        <w:spacing w:after="40" w:before="40"/>
      </w:pPr>
      <w:r>
        <w:rPr>
          <w:rFonts w:ascii="Arial" w:cs="Arial" w:eastAsia="Arial" w:hAnsi="Arial"/>
          <w:color w:val="0F2830"/>
          <w:sz w:val="22"/>
          <w:szCs w:val="22"/>
        </w:rPr>
        <w:t xml:space="preserve">Always use getByTestId() — never CSS selectors or text locators</w:t>
      </w:r>
    </w:p>
    <w:p>
      <w:pPr>
        <w:pStyle w:val="ListParagraph"/>
        <w:numPr>
          <w:ilvl w:val="0"/>
          <w:numId w:val="2"/>
        </w:numPr>
        <w:spacing w:after="40" w:before="40"/>
      </w:pPr>
      <w:r>
        <w:rPr>
          <w:rFonts w:ascii="Arial" w:cs="Arial" w:eastAsia="Arial" w:hAnsi="Arial"/>
          <w:color w:val="0F2830"/>
          <w:sz w:val="22"/>
          <w:szCs w:val="22"/>
        </w:rPr>
        <w:t xml:space="preserve">One assertion per test where possible — tests should be focused and fast</w:t>
      </w:r>
    </w:p>
    <w:p>
      <w:pPr>
        <w:pStyle w:val="ListParagraph"/>
        <w:numPr>
          <w:ilvl w:val="0"/>
          <w:numId w:val="2"/>
        </w:numPr>
        <w:spacing w:after="40" w:before="40"/>
      </w:pPr>
      <w:r>
        <w:rPr>
          <w:rFonts w:ascii="Arial" w:cs="Arial" w:eastAsia="Arial" w:hAnsi="Arial"/>
          <w:color w:val="0F2830"/>
          <w:sz w:val="22"/>
          <w:szCs w:val="22"/>
        </w:rPr>
        <w:t xml:space="preserve">Always await page.waitForURL() after navigation actions</w:t>
      </w:r>
    </w:p>
    <w:p>
      <w:pPr>
        <w:pStyle w:val="ListParagraph"/>
        <w:numPr>
          <w:ilvl w:val="0"/>
          <w:numId w:val="2"/>
        </w:numPr>
        <w:spacing w:after="40" w:before="40"/>
      </w:pPr>
      <w:r>
        <w:rPr>
          <w:rFonts w:ascii="Arial" w:cs="Arial" w:eastAsia="Arial" w:hAnsi="Arial"/>
          <w:color w:val="0F2830"/>
          <w:sz w:val="22"/>
          <w:szCs w:val="22"/>
        </w:rPr>
        <w:t xml:space="preserve">Reset state in afterEach — never assume data from a previous test</w:t>
      </w:r>
    </w:p>
    <w:p>
      <w:pPr>
        <w:pStyle w:val="ListParagraph"/>
        <w:numPr>
          <w:ilvl w:val="0"/>
          <w:numId w:val="2"/>
        </w:numPr>
        <w:spacing w:after="40" w:before="40"/>
      </w:pPr>
      <w:r>
        <w:rPr>
          <w:rFonts w:ascii="Arial" w:cs="Arial" w:eastAsia="Arial" w:hAnsi="Arial"/>
          <w:color w:val="0F2830"/>
          <w:sz w:val="22"/>
          <w:szCs w:val="22"/>
        </w:rPr>
        <w:t xml:space="preserve">Test IDs are stable; UI text and CSS classes may change at any time</w:t>
      </w:r>
    </w:p>
    <w:p>
      <w:pPr>
        <w:pStyle w:val="ListParagraph"/>
        <w:numPr>
          <w:ilvl w:val="0"/>
          <w:numId w:val="2"/>
        </w:numPr>
        <w:spacing w:after="40" w:before="40"/>
      </w:pPr>
      <w:r>
        <w:rPr>
          <w:rFonts w:ascii="Arial" w:cs="Arial" w:eastAsia="Arial" w:hAnsi="Arial"/>
          <w:color w:val="0F2830"/>
          <w:sz w:val="22"/>
          <w:szCs w:val="22"/>
        </w:rPr>
        <w:t xml:space="preserve">Run tests against staging, not production</w:t>
      </w:r>
    </w:p>
    <w:p>
      <w:pPr>
        <w:pStyle w:val="ListParagraph"/>
        <w:numPr>
          <w:ilvl w:val="0"/>
          <w:numId w:val="2"/>
        </w:numPr>
        <w:spacing w:after="40" w:before="40"/>
      </w:pPr>
      <w:r>
        <w:rPr>
          <w:rFonts w:ascii="Arial" w:cs="Arial" w:eastAsia="Arial" w:hAnsi="Arial"/>
          <w:color w:val="0F2830"/>
          <w:sz w:val="22"/>
          <w:szCs w:val="22"/>
        </w:rPr>
        <w:t xml:space="preserve">Use the API reset endpoint before any test that depends on specific seed data</w:t>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EC" w:sz="4" w:space="4"/>
      </w:pBdr>
      <w:tabs>
        <w:tab w:val="right" w:pos="9026"/>
      </w:tabs>
      <w:spacing w:before="120"/>
    </w:pPr>
    <w:r>
      <w:rPr>
        <w:rFonts w:ascii="Arial" w:cs="Arial" w:eastAsia="Arial" w:hAnsi="Arial"/>
        <w:color w:val="6B7280"/>
        <w:sz w:val="16"/>
        <w:szCs w:val="16"/>
      </w:rPr>
      <w:t xml:space="preserve">Confidential — VaultX QA Team</w:t>
    </w:r>
    <w:r>
      <w:rPr>
        <w:rFonts w:ascii="Arial" w:cs="Arial" w:eastAsia="Arial" w:hAnsi="Arial"/>
        <w:color w:val="6B7280"/>
        <w:sz w:val="16"/>
        <w:szCs w:val="16"/>
      </w:rPr>
      <w:t xml:space="preserve">	Page </w:t>
    </w:r>
    <w:r>
      <w:rPr>
        <w:rFonts w:ascii="Arial" w:cs="Arial" w:eastAsia="Arial" w:hAnsi="Arial"/>
        <w:color w:val="2B586B"/>
        <w:sz w:val="16"/>
        <w:szCs w:val="16"/>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86B" w:sz="4" w:space="4"/>
      </w:pBdr>
      <w:spacing w:after="120"/>
    </w:pPr>
    <w:r>
      <w:rPr>
        <w:rFonts w:ascii="Arial" w:cs="Arial" w:eastAsia="Arial" w:hAnsi="Arial"/>
        <w:color w:val="2B586B"/>
        <w:sz w:val="18"/>
        <w:szCs w:val="18"/>
      </w:rPr>
      <w:t xml:space="preserve">⬡ VaultX — Product Requirements Document</w:t>
    </w:r>
    <w:r>
      <w:rPr>
        <w:rFonts w:ascii="Arial" w:cs="Arial" w:eastAsia="Arial" w:hAnsi="Arial"/>
        <w:color w:val="6B7280"/>
        <w:sz w:val="18"/>
        <w:szCs w:val="18"/>
      </w:rPr>
      <w:t xml:space="preserve">    |    For internal QA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2026-04-28T07:51:54.756Z</dcterms:created>
  <dcterms:modified xsi:type="dcterms:W3CDTF">2026-04-28T07:51:54.759Z</dcterms:modified>
</cp:coreProperties>
</file>

<file path=docProps/custom.xml><?xml version="1.0" encoding="utf-8"?>
<Properties xmlns="http://schemas.openxmlformats.org/officeDocument/2006/custom-properties" xmlns:vt="http://schemas.openxmlformats.org/officeDocument/2006/docPropsVTypes"/>
</file>