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sz w:val="40"/>
        </w:rPr>
        <w:t>MiFID II Client Consents Form</w:t>
      </w:r>
    </w:p>
    <w:p>
      <w:pPr>
        <w:spacing w:after="240"/>
        <w:jc w:val="center"/>
      </w:pPr>
      <w:r>
        <w:rPr>
          <w:i/>
          <w:sz w:val="22"/>
        </w:rPr>
        <w:t>For execution, communication preferences, and investor-protection disclosures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Document reference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[BANK]/MiFID/CONS/___</w:t>
            </w:r>
          </w:p>
        </w:tc>
        <w:tc>
          <w:tcPr>
            <w:tcW w:type="dxa" w:w="2340"/>
            <w:vAlign w:val="center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Version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1.0</w:t>
            </w:r>
          </w:p>
        </w:tc>
      </w:tr>
      <w:tr>
        <w:tc>
          <w:tcPr>
            <w:tcW w:type="dxa" w:w="2340"/>
            <w:vAlign w:val="center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Effective date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 / ___ / 20__</w:t>
            </w:r>
          </w:p>
        </w:tc>
        <w:tc>
          <w:tcPr>
            <w:tcW w:type="dxa" w:w="2340"/>
            <w:vAlign w:val="center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Servicing entity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</w:tr>
      <w:tr>
        <w:tc>
          <w:tcPr>
            <w:tcW w:type="dxa" w:w="2340"/>
            <w:vAlign w:val="center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Sales location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  <w:tc>
          <w:tcPr>
            <w:tcW w:type="dxa" w:w="2340"/>
            <w:vAlign w:val="center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Booking office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</w:rPr>
        <w:t xml:space="preserve">Purpose. </w:t>
      </w:r>
      <w:r>
        <w:t xml:space="preserve">This form records client consents and communication preferences required or permitted under MiFID II, including (where applicable) execution outside a trading venue and limit-order publication instructions. </w:t>
      </w:r>
      <w:r>
        <w:t>Please complete, sign, and return this form before trading in in-scope MiFID instruments/services.</w:t>
      </w:r>
    </w:p>
    <w:p>
      <w:pPr>
        <w:pStyle w:val="Heading1"/>
        <w:spacing w:before="200" w:after="120"/>
      </w:pPr>
      <w:r>
        <w:t>1. Client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3168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Client legal name / full name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Client ID (if applicable)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LEI (if applicable)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Country of residence / principal place of business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Reporting email address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Preferred language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☐ EN   ☐ NL   ☐ FR   ☐ DE   ☐ Other: ______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t>2. Durable medium and communications</w:t>
      </w:r>
    </w:p>
    <w:p>
      <w:pPr>
        <w:spacing w:after="80"/>
      </w:pPr>
      <w:r>
        <w:t>Please indicate how you wish to receive required MiFID communications and disclosures (durable medium).</w:t>
      </w:r>
    </w:p>
    <w:p>
      <w:pPr>
        <w:spacing w:after="40"/>
      </w:pPr>
      <w:r>
        <w:rPr>
          <w:sz w:val="22"/>
        </w:rPr>
        <w:t>☐ Email (to the reporting email address above)</w:t>
      </w:r>
    </w:p>
    <w:p>
      <w:pPr>
        <w:spacing w:after="40"/>
      </w:pPr>
      <w:r>
        <w:rPr>
          <w:sz w:val="22"/>
        </w:rPr>
        <w:t>☐ Secure client portal (if available)</w:t>
      </w:r>
    </w:p>
    <w:p>
      <w:pPr>
        <w:spacing w:after="40"/>
      </w:pPr>
      <w:r>
        <w:rPr>
          <w:sz w:val="22"/>
        </w:rPr>
        <w:t>☐ Post (only where permitted by local rules/policy)</w:t>
      </w:r>
    </w:p>
    <w:p>
      <w:pPr>
        <w:spacing w:before="120" w:after="200"/>
      </w:pPr>
      <w:r>
        <w:rPr>
          <w:b/>
        </w:rPr>
        <w:t xml:space="preserve">Important: </w:t>
      </w:r>
      <w:r>
        <w:t>You are responsible for keeping your contact details up to date. If your email address changes, notify us promptly.</w:t>
      </w:r>
    </w:p>
    <w:p>
      <w:pPr>
        <w:pStyle w:val="Heading1"/>
        <w:spacing w:before="200" w:after="120"/>
      </w:pPr>
      <w:r>
        <w:t>3. Acknowledgements of disclosures</w:t>
      </w:r>
    </w:p>
    <w:p>
      <w:pPr>
        <w:spacing w:after="80"/>
      </w:pPr>
      <w:r>
        <w:t>By signing this form, you acknowledge that you have received or have been given access to the following disclosures (as applicable to your classification and services).</w:t>
      </w:r>
    </w:p>
    <w:p>
      <w:pPr>
        <w:spacing w:after="40"/>
      </w:pPr>
      <w:r>
        <w:rPr>
          <w:sz w:val="22"/>
        </w:rPr>
        <w:t>☐ Order execution policy / best execution disclosure</w:t>
      </w:r>
    </w:p>
    <w:p>
      <w:pPr>
        <w:spacing w:after="40"/>
      </w:pPr>
      <w:r>
        <w:rPr>
          <w:sz w:val="22"/>
        </w:rPr>
        <w:t>☐ Conflicts of interest disclosure</w:t>
      </w:r>
    </w:p>
    <w:p>
      <w:pPr>
        <w:spacing w:after="40"/>
      </w:pPr>
      <w:r>
        <w:rPr>
          <w:sz w:val="22"/>
        </w:rPr>
        <w:t>☐ Costs and charges disclosures (ex-ante where applicable)</w:t>
      </w:r>
    </w:p>
    <w:p>
      <w:pPr>
        <w:spacing w:after="40"/>
      </w:pPr>
      <w:r>
        <w:rPr>
          <w:sz w:val="22"/>
        </w:rPr>
        <w:t>☐ Client agreement / Terms of Business (where applicable)</w:t>
      </w:r>
    </w:p>
    <w:p>
      <w:pPr>
        <w:spacing w:after="40"/>
      </w:pPr>
      <w:r>
        <w:rPr>
          <w:sz w:val="22"/>
        </w:rPr>
        <w:t>☐ Risk disclosures relevant to the products/services requested</w:t>
      </w:r>
    </w:p>
    <w:p>
      <w:pPr>
        <w:spacing w:after="200"/>
      </w:pPr>
    </w:p>
    <w:p>
      <w:pPr>
        <w:pStyle w:val="Heading1"/>
        <w:spacing w:before="200" w:after="120"/>
      </w:pPr>
      <w:r>
        <w:t>4. Specific MiFID consents (where applicable)</w:t>
      </w:r>
    </w:p>
    <w:p>
      <w:pPr>
        <w:pStyle w:val="Heading2"/>
        <w:spacing w:before="160" w:after="120"/>
      </w:pPr>
      <w:r>
        <w:t>4.1 Execution outside a trading venue (OETC)</w:t>
      </w:r>
    </w:p>
    <w:p>
      <w:pPr>
        <w:spacing w:after="80"/>
      </w:pPr>
      <w:r>
        <w:t>Where permitted and relevant to your transactions, we may execute orders outside a regulated market, MTF or OTF.</w:t>
      </w:r>
    </w:p>
    <w:p>
      <w:pPr>
        <w:spacing w:after="40"/>
      </w:pPr>
      <w:r>
        <w:rPr>
          <w:sz w:val="22"/>
        </w:rPr>
        <w:t>☐ I consent to execution outside a trading venue (OETC).</w:t>
      </w:r>
    </w:p>
    <w:p>
      <w:pPr>
        <w:spacing w:after="40"/>
      </w:pPr>
      <w:r>
        <w:rPr>
          <w:sz w:val="22"/>
        </w:rPr>
        <w:t>☐ Not applicable / I do not consent (trading may be restricted).</w:t>
      </w:r>
    </w:p>
    <w:p>
      <w:pPr>
        <w:pStyle w:val="Heading2"/>
        <w:spacing w:before="160" w:after="120"/>
      </w:pPr>
      <w:r>
        <w:t>4.2 Instruction not to publish unexecuted limit orders (PULOC)</w:t>
      </w:r>
    </w:p>
    <w:p>
      <w:pPr>
        <w:spacing w:after="80"/>
      </w:pPr>
      <w:r>
        <w:t>For certain instruments (e.g., cash equities), MiFID may require publication of unexecuted limit orders unless you instruct us otherwise.</w:t>
      </w:r>
    </w:p>
    <w:p>
      <w:pPr>
        <w:spacing w:after="40"/>
      </w:pPr>
      <w:r>
        <w:rPr>
          <w:sz w:val="22"/>
        </w:rPr>
        <w:t>☐ I instruct the bank not to publish unexecuted limit orders (PULOC), where publication would otherwise be required.</w:t>
      </w:r>
    </w:p>
    <w:p>
      <w:pPr>
        <w:spacing w:after="40"/>
      </w:pPr>
      <w:r>
        <w:rPr>
          <w:sz w:val="22"/>
        </w:rPr>
        <w:t>☐ Not applicable / no instruction.</w:t>
      </w:r>
    </w:p>
    <w:p>
      <w:pPr>
        <w:spacing w:after="200"/>
      </w:pPr>
    </w:p>
    <w:p>
      <w:pPr>
        <w:pStyle w:val="Heading1"/>
        <w:spacing w:before="200" w:after="120"/>
      </w:pPr>
      <w:r>
        <w:t>5. Client reporting preferences (if applicable)</w:t>
      </w:r>
    </w:p>
    <w:p>
      <w:pPr>
        <w:spacing w:after="80"/>
      </w:pPr>
      <w:r>
        <w:t>Depending on your MiFID classification and local requirements, you may receive some or all of the following reports. Where optional, please indicate your preference.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7E7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Report type</w:t>
            </w:r>
          </w:p>
        </w:tc>
        <w:tc>
          <w:tcPr>
            <w:tcW w:type="dxa" w:w="3120"/>
            <w:shd w:val="clear" w:color="auto" w:fill="E7E7E7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Preference</w:t>
            </w:r>
          </w:p>
        </w:tc>
        <w:tc>
          <w:tcPr>
            <w:tcW w:type="dxa" w:w="3120"/>
            <w:shd w:val="clear" w:color="auto" w:fill="E7E7E7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Delivery email (if different)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Trade confirmation / execution report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☐ Yes   ☐ No (if permitted)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Portfolio / positions statement (periodic MtM)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☐ Yes   ☐ No (if permitted)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Ex-ante costs and charges (where applicable)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☐ Yes   ☐ No (if permitted)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Annual ex-post costs and charges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☐ Yes   ☐ No (if permitted)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t>6. Client declarations</w:t>
      </w:r>
    </w:p>
    <w:p>
      <w:pPr>
        <w:spacing w:after="40"/>
      </w:pPr>
      <w:r>
        <w:t>• The information provided in this form is true, accurate and complete.</w:t>
      </w:r>
    </w:p>
    <w:p>
      <w:pPr>
        <w:spacing w:after="40"/>
      </w:pPr>
      <w:r>
        <w:t>• I/we will notify the bank promptly of any changes to contact details or other relevant information.</w:t>
      </w:r>
    </w:p>
    <w:p>
      <w:pPr>
        <w:spacing w:after="40"/>
      </w:pPr>
      <w:r>
        <w:t>• I/we understand that some services or trading may be restricted if required consents are not provided.</w:t>
      </w:r>
    </w:p>
    <w:p>
      <w:pPr>
        <w:spacing w:after="40"/>
      </w:pPr>
      <w:r>
        <w:t>• I/we understand that the bank may retain this form and related records in accordance with applicable record-retention requirements.</w:t>
      </w:r>
    </w:p>
    <w:p>
      <w:pPr>
        <w:spacing w:after="160"/>
      </w:pPr>
    </w:p>
    <w:p>
      <w:pPr>
        <w:pStyle w:val="Heading1"/>
        <w:spacing w:before="200" w:after="120"/>
      </w:pPr>
      <w:r>
        <w:t>7. Signatures</w:t>
      </w:r>
    </w:p>
    <w:p>
      <w:pPr>
        <w:spacing w:after="120"/>
      </w:pPr>
      <w:r>
        <w:t>For legal entities, signatories must be authorised in accordance with your mandate/representation rules.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Authorised signatory 1 - Name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  <w:tc>
          <w:tcPr>
            <w:tcW w:type="dxa" w:w="234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Authorised signatory 1 - Title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Signature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  <w:tc>
          <w:tcPr>
            <w:tcW w:type="dxa" w:w="234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Date (DD/MM/YYYY)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Authorised signatory 2 - Name (if required)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  <w:tc>
          <w:tcPr>
            <w:tcW w:type="dxa" w:w="234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Authorised signatory 2 - Title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Signature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  <w:tc>
          <w:tcPr>
            <w:tcW w:type="dxa" w:w="234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Date (DD/MM/YYYY)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t>Internal use only - Processing and 4-eye control</w:t>
      </w:r>
    </w:p>
    <w:p>
      <w:pPr>
        <w:spacing w:after="80"/>
      </w:pPr>
      <w:r>
        <w:rPr>
          <w:b/>
        </w:rPr>
        <w:t xml:space="preserve">Processor checklist. </w:t>
      </w:r>
      <w:r>
        <w:t>Complete before approval.</w:t>
      </w:r>
    </w:p>
    <w:p>
      <w:pPr>
        <w:spacing w:after="40"/>
      </w:pPr>
      <w:r>
        <w:rPr>
          <w:sz w:val="22"/>
        </w:rPr>
        <w:t>☐ CDD completed (reference recorded)</w:t>
      </w:r>
    </w:p>
    <w:p>
      <w:pPr>
        <w:spacing w:after="40"/>
      </w:pPr>
      <w:r>
        <w:rPr>
          <w:sz w:val="22"/>
        </w:rPr>
        <w:t>☐ MiFID applicability confirmed (sales/booking/client residence)</w:t>
      </w:r>
    </w:p>
    <w:p>
      <w:pPr>
        <w:spacing w:after="40"/>
      </w:pPr>
      <w:r>
        <w:rPr>
          <w:sz w:val="22"/>
        </w:rPr>
        <w:t>☐ Client reporting fields set (email, method, language)</w:t>
      </w:r>
    </w:p>
    <w:p>
      <w:pPr>
        <w:spacing w:after="40"/>
      </w:pPr>
      <w:r>
        <w:rPr>
          <w:sz w:val="22"/>
        </w:rPr>
        <w:t>☐ Consents captured: OETC / PULOC / durable medium</w:t>
      </w:r>
    </w:p>
    <w:p>
      <w:pPr>
        <w:spacing w:after="40"/>
      </w:pPr>
      <w:r>
        <w:rPr>
          <w:sz w:val="22"/>
        </w:rPr>
        <w:t>☐ Form archived to client file repository (reference/link recorded)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Processor name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  <w:tc>
          <w:tcPr>
            <w:tcW w:type="dxa" w:w="2340"/>
            <w:vAlign w:val="center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Processor date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 / ___ / 20__</w:t>
            </w:r>
          </w:p>
        </w:tc>
      </w:tr>
      <w:tr>
        <w:tc>
          <w:tcPr>
            <w:tcW w:type="dxa" w:w="2340"/>
            <w:vAlign w:val="center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Approver name (4-eye)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__________________________</w:t>
            </w:r>
          </w:p>
        </w:tc>
        <w:tc>
          <w:tcPr>
            <w:tcW w:type="dxa" w:w="2340"/>
            <w:vAlign w:val="center"/>
            <w:shd w:val="clear" w:color="auto" w:fill="F2F2F2"/>
          </w:tcPr>
          <w:p>
            <w:pPr>
              <w:spacing w:after="40" w:before="40"/>
            </w:pPr>
            <w:r/>
            <w:r>
              <w:rPr>
                <w:b/>
                <w:sz w:val="21"/>
              </w:rPr>
              <w:t>Approver date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21"/>
              </w:rPr>
              <w:t>___ / ___ / 20__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spacing w:after="0"/>
          </w:pPr>
          <w:r>
            <w:rPr>
              <w:b/>
            </w:rPr>
            <w:t>[BANK NAME]</w:t>
          </w:r>
        </w:p>
      </w:tc>
      <w:tc>
        <w:tcPr>
          <w:tcW w:type="dxa" w:w="4680"/>
        </w:tcPr>
        <w:p>
          <w:pPr>
            <w:spacing w:after="0"/>
            <w:jc w:val="right"/>
          </w:pPr>
          <w:r>
            <w:rPr>
              <w:b/>
            </w:rPr>
            <w:t>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