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24A5" w14:textId="77777777" w:rsidR="00963051" w:rsidRDefault="00000000">
      <w:r>
        <w:t>Project Evaluation in Depth</w:t>
      </w:r>
    </w:p>
    <w:p w14:paraId="087C24A6" w14:textId="77777777" w:rsidR="00963051" w:rsidRDefault="00000000">
      <w:r>
        <w:t>Evaluation Scope</w:t>
      </w:r>
    </w:p>
    <w:p w14:paraId="087C24A7" w14:textId="77777777" w:rsidR="00963051" w:rsidRDefault="00000000">
      <w:r>
        <w:t>Evaluation in this project happens at multiple stages. Part 1 is evaluated with standard supervised regression metrics. Part 2 is evaluated through clustering quality, interpretability, price-match coverage, within-cluster cost grouping, and final case-study usefulness.</w:t>
      </w:r>
    </w:p>
    <w:p w14:paraId="087C24A8" w14:textId="77777777" w:rsidR="00963051" w:rsidRDefault="00000000">
      <w:r>
        <w:t>This multi-stage evaluation is important because Part 2 is not a single predictive model. It is a pipeline that must be judged on structure, transparency, and usefulness.</w:t>
      </w:r>
    </w:p>
    <w:p w14:paraId="087C24A9" w14:textId="77777777" w:rsidR="00963051" w:rsidRDefault="00000000">
      <w:r>
        <w:t>Part 1 Evaluation</w:t>
      </w:r>
    </w:p>
    <w:p w14:paraId="087C24AA" w14:textId="417A3704" w:rsidR="00963051" w:rsidRDefault="00000000">
      <w:r>
        <w:t xml:space="preserve">Part 1 uses the final model comparison and prediction-versus-actual outputs to compare candidate models. The project trains on the log-transformed target and reports back in euro terms, which improves </w:t>
      </w:r>
      <w:r w:rsidR="007C06AC">
        <w:t>modelling</w:t>
      </w:r>
      <w:r>
        <w:t xml:space="preserve"> behaviour while keeping the final output interpretable.</w:t>
      </w:r>
    </w:p>
    <w:p w14:paraId="087C24AB" w14:textId="77777777" w:rsidR="00963051" w:rsidRDefault="00000000">
      <w:r>
        <w:t>The final evaluation should focus on the saved ranking table and the prediction-versus-actual file in results/part1_ml_analysis.</w:t>
      </w:r>
    </w:p>
    <w:p w14:paraId="087C24AC" w14:textId="77777777" w:rsidR="00963051" w:rsidRDefault="00000000">
      <w:r>
        <w:t>Clustering Evaluation</w:t>
      </w:r>
    </w:p>
    <w:p w14:paraId="087C24AD" w14:textId="77777777" w:rsidR="00963051" w:rsidRDefault="00000000">
      <w:r>
        <w:t xml:space="preserve">The clustering stage compares </w:t>
      </w:r>
      <w:proofErr w:type="spellStart"/>
      <w:r>
        <w:t>KMeans</w:t>
      </w:r>
      <w:proofErr w:type="spellEnd"/>
      <w:r>
        <w:t xml:space="preserve">, Agglomerative Clustering, and DBSCAN. Internal validation metrics include silhouette score, Davies-Bouldin score, and </w:t>
      </w:r>
      <w:proofErr w:type="spellStart"/>
      <w:r>
        <w:t>Calinski-Harabasz</w:t>
      </w:r>
      <w:proofErr w:type="spellEnd"/>
      <w:r>
        <w:t xml:space="preserve"> score. These metrics are useful, but they are not used blindly.</w:t>
      </w:r>
    </w:p>
    <w:p w14:paraId="087C24AE" w14:textId="77777777" w:rsidR="00963051" w:rsidRDefault="00000000">
      <w:r>
        <w:t>Interpretability is treated as part of evaluation. The project now prefers richer clustering structures with at least four clusters where possible, because the goal is to derive usable material families rather than the coarsest mathematical split.</w:t>
      </w:r>
    </w:p>
    <w:p w14:paraId="087C24AF" w14:textId="77777777" w:rsidR="00963051" w:rsidRDefault="00000000">
      <w:r>
        <w:t>Cluster size distribution, cluster feature-profile heatmaps, representative materials, and within-cluster distance distributions all help evaluate whether the chosen clustering structure is useful for downstream work.</w:t>
      </w:r>
    </w:p>
    <w:p w14:paraId="087C24B0" w14:textId="77777777" w:rsidR="00963051" w:rsidRDefault="00000000">
      <w:r>
        <w:t>Price-Matching Evaluation</w:t>
      </w:r>
    </w:p>
    <w:p w14:paraId="087C24B1" w14:textId="77777777" w:rsidR="00963051" w:rsidRDefault="00000000">
      <w:r>
        <w:t>The price-matching stage is evaluated through coverage and confidence rather than accuracy alone. The notebook tracks whether a material has a single-element proxy, a primary-element proxy, a broader family-level proxy, or no usable match at all.</w:t>
      </w:r>
    </w:p>
    <w:p w14:paraId="087C24B2" w14:textId="77777777" w:rsidR="00963051" w:rsidRDefault="00000000">
      <w:r>
        <w:t>This is important because forcing weak matches would make the final cost-effectiveness claims less credible. The transparent match-type and match-confidence outputs are therefore a key part of evaluation.</w:t>
      </w:r>
    </w:p>
    <w:p w14:paraId="087C24B3" w14:textId="77777777" w:rsidR="00963051" w:rsidRDefault="00000000">
      <w:r>
        <w:lastRenderedPageBreak/>
        <w:t>Cost-Effectiveness Evaluation</w:t>
      </w:r>
    </w:p>
    <w:p w14:paraId="087C24B4" w14:textId="77777777" w:rsidR="00963051" w:rsidRDefault="00000000">
      <w:r>
        <w:t>The cost-effectiveness stage evaluates materials only inside technically similar clusters. This avoids misleading comparisons across unrelated material families.</w:t>
      </w:r>
    </w:p>
    <w:p w14:paraId="087C24B5" w14:textId="77777777" w:rsidR="00963051" w:rsidRDefault="00000000">
      <w:r>
        <w:t>Similarity is further refined through within-cluster nearest-neighbour distance and a similarity-level label, which makes the final alternative lists more defensible than cluster membership alone.</w:t>
      </w:r>
    </w:p>
    <w:p w14:paraId="087C24B6" w14:textId="77777777" w:rsidR="00963051" w:rsidRDefault="00000000">
      <w:r>
        <w:t>Case Study Evaluation</w:t>
      </w:r>
    </w:p>
    <w:p w14:paraId="087C24B7" w14:textId="77777777" w:rsidR="00963051" w:rsidRDefault="00000000">
      <w:r>
        <w:t>The case-study stage is evaluated on clarity, traceability, and usefulness. A good case is one where the TED title and CPV give enough material context for the clustered and priced material options to make sense.</w:t>
      </w:r>
    </w:p>
    <w:p w14:paraId="087C24B8" w14:textId="77777777" w:rsidR="00963051" w:rsidRDefault="00000000">
      <w:r>
        <w:t>The selected electrical cable case is strong because it explicitly mentions copper core and PVC insulation, making the material context much clearer than a generic procurement title.</w:t>
      </w:r>
    </w:p>
    <w:p w14:paraId="087C24B9" w14:textId="77777777" w:rsidR="00963051" w:rsidRDefault="00000000">
      <w:r>
        <w:t>Limitations</w:t>
      </w:r>
    </w:p>
    <w:p w14:paraId="087C24BA" w14:textId="77777777" w:rsidR="00963051" w:rsidRDefault="00000000">
      <w:r>
        <w:t>Clustering metrics alone do not prove substitutability. They only indicate similarity under the chosen features.</w:t>
      </w:r>
    </w:p>
    <w:p w14:paraId="087C24BB" w14:textId="77777777" w:rsidR="00963051" w:rsidRDefault="00000000">
      <w:r>
        <w:t>Price-proxy coverage may remain incomplete, especially for more complex compounds or alloys.</w:t>
      </w:r>
    </w:p>
    <w:p w14:paraId="087C24BC" w14:textId="77777777" w:rsidR="00963051" w:rsidRDefault="00000000">
      <w:r>
        <w:t>The TED case-study stage still depends on contextual interpretation and is not a full end-to-end ground-truth evaluation of material replacement accuracy.</w:t>
      </w:r>
    </w:p>
    <w:p w14:paraId="087C24BD" w14:textId="77777777" w:rsidR="00963051" w:rsidRDefault="00000000">
      <w:r>
        <w:t>Future Work</w:t>
      </w:r>
    </w:p>
    <w:p w14:paraId="087C24BE" w14:textId="77777777" w:rsidR="00963051" w:rsidRDefault="00000000">
      <w:r>
        <w:t>Future evaluation could include domain-expert review of proposed alternatives, comparison against known engineering substitutions, and sensitivity testing for different similarity thresholds and cluster counts.</w:t>
      </w:r>
    </w:p>
    <w:p w14:paraId="087C24BF" w14:textId="0988497D" w:rsidR="00963051" w:rsidRDefault="00000000">
      <w:r>
        <w:t xml:space="preserve">If stronger </w:t>
      </w:r>
      <w:r w:rsidR="007C06AC">
        <w:t>labelled</w:t>
      </w:r>
      <w:r>
        <w:t xml:space="preserve"> data becomes available, the project could also test whether a supervised case-to-cluster or case-to-material-family model improves the final TED case-study stage.</w:t>
      </w:r>
    </w:p>
    <w:sectPr w:rsidR="00963051">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63051"/>
    <w:rsid w:val="007C06AC"/>
    <w:rsid w:val="00963051"/>
    <w:rsid w:val="00ED686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24A5"/>
  <w15:docId w15:val="{72A70E92-B018-4760-AC19-E8505BDF9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Evaluation in Depth</dc:title>
  <dc:creator>Codex</dc:creator>
  <cp:lastModifiedBy>deji ali</cp:lastModifiedBy>
  <cp:revision>2</cp:revision>
  <dcterms:created xsi:type="dcterms:W3CDTF">2026-04-10T22:08:00Z</dcterms:created>
  <dcterms:modified xsi:type="dcterms:W3CDTF">2026-04-10T22:09:00Z</dcterms:modified>
</cp:coreProperties>
</file>