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Project Methodology and Algorithm Rationale</w:t>
      </w:r>
    </w:p>
    <w:p>
      <w:pPr>
        <w:pStyle w:val="Heading1"/>
      </w:pPr>
      <w:r>
        <w:t xml:space="preserve">Methodology Overview</w:t>
      </w:r>
    </w:p>
    <w:p>
      <w:r>
        <w:t xml:space="preserve">The methodology is split into a predictive analytics stage and an interpretable material decision-support stage. This separation reflects the reality of the data: Part 1 supports a stronger supervised machine-learning workflow, while Part 2 benefits more from structured unsupervised analysis and transparent heuristic linking.</w:t>
      </w:r>
    </w:p>
    <w:p>
      <w:r>
        <w:t xml:space="preserve">The final methodology avoids overclaiming. Part 2 does not assume the dataset supports exact material recommendation from TED notices alone.</w:t>
      </w:r>
    </w:p>
    <w:p>
      <w:pPr>
        <w:pStyle w:val="Heading1"/>
      </w:pPr>
      <w:r>
        <w:t xml:space="preserve">Part 1 Methodology</w:t>
      </w:r>
    </w:p>
    <w:p>
      <w:r>
        <w:t xml:space="preserve">TED procurement notices are cleaned, translated into English, and reduced to a modeling dataset appropriate for contract value prediction. The target is transformed using a log scale to reduce skew and improve model stability.</w:t>
      </w:r>
    </w:p>
    <w:p>
      <w:r>
        <w:t xml:space="preserve">This design choice is justified because procurement values are strongly right-skewed and are usually easier to model on a log-transformed scale.</w:t>
      </w:r>
    </w:p>
    <w:p>
      <w:pPr>
        <w:pStyle w:val="Heading1"/>
      </w:pPr>
      <w:r>
        <w:t xml:space="preserve">Why These Clustering Algorithms Were Used</w:t>
      </w:r>
    </w:p>
    <w:p>
      <w:r>
        <w:t xml:space="preserve">KMeans was used as the main centroid-based baseline because it is widely understood, efficient, and easy to interpret when clusters are reasonably compact.</w:t>
      </w:r>
    </w:p>
    <w:p>
      <w:r>
        <w:t xml:space="preserve">Agglomerative Clustering was included because it offers a hierarchical alternative and can reveal structure that is not as naturally captured by centroid-based grouping alone.</w:t>
      </w:r>
    </w:p>
    <w:p>
      <w:r>
        <w:t xml:space="preserve">DBSCAN was included as a density-based contrast model so the project could test whether irregular cluster shapes or noise handling improved the grouping. Even when not selected as the final model, it strengthens the methodology by showing that multiple clustering styles were considered.</w:t>
      </w:r>
    </w:p>
    <w:p>
      <w:pPr>
        <w:pStyle w:val="Heading1"/>
      </w:pPr>
      <w:r>
        <w:t xml:space="preserve">Why the Final Cluster Count Was Chosen</w:t>
      </w:r>
    </w:p>
    <w:p>
      <w:r>
        <w:t xml:space="preserve">The notebook evaluates a range of k values rather than assuming a fixed cluster count. Elbow and silhouette-based comparisons are used alongside interpretability checks.</w:t>
      </w:r>
    </w:p>
    <w:p>
      <w:r>
        <w:t xml:space="preserve">The final logic prefers clusterings with at least four clusters where possible because the project goal is to derive materially useful groups rather than the coarsest split. The current project treats k=5 as the most useful balance between variety and interpretability.</w:t>
      </w:r>
    </w:p>
    <w:p>
      <w:pPr>
        <w:pStyle w:val="Heading1"/>
      </w:pPr>
      <w:r>
        <w:t xml:space="preserve">Why Similarity Ranking Was Added</w:t>
      </w:r>
    </w:p>
    <w:p>
      <w:r>
        <w:t xml:space="preserve">Cluster membership alone is too broad to support strong alternative-material claims. For that reason, the methodology adds within-cluster nearest-neighbour analysis and distance-based similarity levels.</w:t>
      </w:r>
    </w:p>
    <w:p>
      <w:r>
        <w:t xml:space="preserve">This makes the material-option stage more precise: the project moves from broad family grouping to a smaller list of technically closer candidate alternatives.</w:t>
      </w:r>
    </w:p>
    <w:p>
      <w:pPr>
        <w:pStyle w:val="Heading1"/>
      </w:pPr>
      <w:r>
        <w:t xml:space="preserve">Why Proxy Price Matching Was Used</w:t>
      </w:r>
    </w:p>
    <w:p>
      <w:r>
        <w:t xml:space="preserve">The available cost data is commodity-oriented rather than a complete engineering-material market dataset. Because of that mismatch, exact price matching for every material would be misleading.</w:t>
      </w:r>
    </w:p>
    <w:p>
      <w:r>
        <w:t xml:space="preserve">The methodology therefore uses price proxies, tracks match type and confidence, and keeps the strongest claims only for materials with more defensible matches.</w:t>
      </w:r>
    </w:p>
    <w:p>
      <w:pPr>
        <w:pStyle w:val="Heading1"/>
      </w:pPr>
      <w:r>
        <w:t xml:space="preserve">Why Cost Classes Are Assigned Within Cluster</w:t>
      </w:r>
    </w:p>
    <w:p>
      <w:r>
        <w:t xml:space="preserve">Global cost classes across all materials would mix unrelated material families and produce misleading comparisons. The methodology therefore assigns low, medium, and high cost classes only within technically similar clusters.</w:t>
      </w:r>
    </w:p>
    <w:p>
      <w:r>
        <w:t xml:space="preserve">This supports the real analytical question: which materials appear to be more cost-effective among plausible alternatives, not across the whole materials universe.</w:t>
      </w:r>
    </w:p>
    <w:p>
      <w:pPr>
        <w:pStyle w:val="Heading1"/>
      </w:pPr>
      <w:r>
        <w:t xml:space="preserve">TED Case-Study Methodology</w:t>
      </w:r>
    </w:p>
    <w:p>
      <w:r>
        <w:t xml:space="preserve">The final TED stage uses manually selected cases from the English TED dataset. This is deliberate: it ensures the chosen examples are materially interpretable and suitable for demonstration.</w:t>
      </w:r>
    </w:p>
    <w:p>
      <w:r>
        <w:t xml:space="preserve">The notebook is built as an input template so a user can change the case fields, rerun the notebook, and regenerate candidate material options for another TED notice when the data supports it.</w:t>
      </w:r>
    </w:p>
    <w:p>
      <w:pPr>
        <w:pStyle w:val="Heading1"/>
      </w:pPr>
      <w:r>
        <w:t xml:space="preserve">Limitations</w:t>
      </w:r>
    </w:p>
    <w:p>
      <w:r>
        <w:t xml:space="preserve">The methodology still depends on proxy logic and interpretation in Part 2. This is appropriate for the available data, but it limits how strongly the final recommendations can be stated.</w:t>
      </w:r>
    </w:p>
    <w:p>
      <w:r>
        <w:t xml:space="preserve">Cluster-based material similarity should be treated as evidence of candidate comparability, not proof of direct engineering interchangeability.</w:t>
      </w:r>
    </w:p>
    <w:p>
      <w:pPr>
        <w:pStyle w:val="Heading1"/>
      </w:pPr>
      <w:r>
        <w:t xml:space="preserve">Future Work</w:t>
      </w:r>
    </w:p>
    <w:p>
      <w:r>
        <w:t xml:space="preserve">Future methodological improvements could include richer material-price datasets, better automated cluster-suggestion logic for TED cases, stronger domain-driven feature engineering, and external validation of the proposed alternatives.</w:t>
      </w:r>
    </w:p>
    <w:p>
      <w:r>
        <w:t xml:space="preserve">If more labeled procurement-material links become available, later versions of the project could test supervised classification for mapping case context to target clusters or material families.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qFormat/>
    <w:rPr>
      <w:b/>
      <w:sz w:val="32"/>
    </w:rPr>
  </w:style>
  <w:style w:type="paragraph" w:styleId="Heading1">
    <w:name w:val="heading 1"/>
    <w:basedOn w:val="Normal"/>
    <w:qFormat/>
    <w:rPr>
      <w:b/>
      <w:sz w:val="28"/>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Methodology and Algorithm Rationale</dc:title>
  <dc:creator>Codex</dc:creator>
  <cp:lastModifiedBy>Codex</cp:lastModifiedBy>
</cp:coreProperties>
</file>