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 xml:space="preserve">Project Report Summary</w:t>
      </w:r>
    </w:p>
    <w:p>
      <w:pPr>
        <w:pStyle w:val="Heading1"/>
      </w:pPr>
      <w:r>
        <w:t xml:space="preserve">Project Overview</w:t>
      </w:r>
    </w:p>
    <w:p>
      <w:r>
        <w:t xml:space="preserve">This project is divided into two connected parts. Part 1 predicts procurement contract value from cleaned English TED notice data. Part 2 builds an interpretable material decision-support pipeline that groups technically similar materials, attaches price proxies where reasonable, classifies cost within similar groups, and demonstrates candidate alternatives for selected TED case studies.</w:t>
      </w:r>
    </w:p>
    <w:p>
      <w:r>
        <w:t xml:space="preserve">The project is strongest when presented honestly: Part 1 is a predictive analytics workflow, while Part 2 is an interpretable similarity and cost-effectiveness analysis workflow rather than a fully automated material recommender.</w:t>
      </w:r>
    </w:p>
    <w:p>
      <w:pPr>
        <w:pStyle w:val="Heading1"/>
      </w:pPr>
      <w:r>
        <w:t xml:space="preserve">Final Workflow</w:t>
      </w:r>
    </w:p>
    <w:p>
      <w:r>
        <w:t xml:space="preserve">Part 1 run order: ted_data_cleaning.ipynb, ted_translate_english.ipynb, ML_analysis_ted_english.ipynb.</w:t>
      </w:r>
    </w:p>
    <w:p>
      <w:r>
        <w:t xml:space="preserve">Part 2 run order: materials_project_cleaning.ipynb, world_bank_cost_preparation.ipynb, materials_clustering_analysis.ipynb, materials_price_matching.ipynb, materials_cost_effectiveness_analysis.ipynb, ted_material_case_studies.ipynb.</w:t>
      </w:r>
    </w:p>
    <w:p>
      <w:r>
        <w:t xml:space="preserve">The TED case-study stage now uses ted_cleaned_for_cost_prediction_english.csv as the report-facing TED input dataset.</w:t>
      </w:r>
    </w:p>
    <w:p>
      <w:pPr>
        <w:pStyle w:val="Heading1"/>
      </w:pPr>
      <w:r>
        <w:t xml:space="preserve">Part 1 Summary</w:t>
      </w:r>
    </w:p>
    <w:p>
      <w:r>
        <w:t xml:space="preserve">The cost-prediction stage cleans the TED procurement data, keeps the final English version of the title field, engineers simple dispatch-date features, and models log-transformed contract value. The final Part 1 outputs are a model comparison table and a prediction-versus-actual file.</w:t>
      </w:r>
    </w:p>
    <w:p>
      <w:r>
        <w:t xml:space="preserve">Training on LOG_VALUE_EURO and reporting back in euro terms gives a cleaner modeling target while still keeping the final evaluation understandable.</w:t>
      </w:r>
    </w:p>
    <w:p>
      <w:pPr>
        <w:pStyle w:val="Heading1"/>
      </w:pPr>
      <w:r>
        <w:t xml:space="preserve">Part 2 Summary</w:t>
      </w:r>
    </w:p>
    <w:p>
      <w:r>
        <w:t xml:space="preserve">The materials stage cleans the Materials Project export, removes unstable and weakly usable rows, creates a clustering-ready feature matrix, and groups materials into interpretable clusters. The project currently treats k=5 as the most useful final clustering choice because it balances detail with interpretability better than broader or more fragmented alternatives.</w:t>
      </w:r>
    </w:p>
    <w:p>
      <w:r>
        <w:t xml:space="preserve">The cost stage does not force exact prices for every scientific material. Instead, it creates transparent price proxies from broader material or element relationships, then classifies cost only inside technically similar groups. This supports a more honest discussion of cost-effective candidate alternatives.</w:t>
      </w:r>
    </w:p>
    <w:p>
      <w:pPr>
        <w:pStyle w:val="Heading1"/>
      </w:pPr>
      <w:r>
        <w:t xml:space="preserve">Case Study Demonstration</w:t>
      </w:r>
    </w:p>
    <w:p>
      <w:r>
        <w:t xml:space="preserve">The final TED case-study notebook is designed as an input-output template. You update one input cell with the TED case details, rerun the notebook, and the output is regenerated for that case provided the supporting material and pricing data can support it.</w:t>
      </w:r>
    </w:p>
    <w:p>
      <w:r>
        <w:t xml:space="preserve">The current prefilled demonstration case uses an electrical cable procurement context based on copper-core cables with PVC insulation, which gives a much stronger material discussion than a broad construction case.</w:t>
      </w:r>
    </w:p>
    <w:p>
      <w:pPr>
        <w:pStyle w:val="Heading1"/>
      </w:pPr>
      <w:r>
        <w:t xml:space="preserve">Limitations</w:t>
      </w:r>
    </w:p>
    <w:p>
      <w:r>
        <w:t xml:space="preserve">Part 2 still depends on approximate price proxies rather than exact engineering-material market prices. This means the cost analysis is best treated as indicative rather than definitive.</w:t>
      </w:r>
    </w:p>
    <w:p>
      <w:r>
        <w:t xml:space="preserve">Cluster membership indicates technical similarity in the chosen feature space, but it does not prove direct one-to-one engineering substitutability in all real procurement contexts.</w:t>
      </w:r>
    </w:p>
    <w:p>
      <w:r>
        <w:t xml:space="preserve">The TED-to-material connection still requires interpretation. Even with the English TED dataset, CPV codes and titles often identify procurement context more clearly than exact material composition.</w:t>
      </w:r>
    </w:p>
    <w:p>
      <w:r>
        <w:t xml:space="preserve">The project is therefore strongest when framed as decision support rather than a fully automatic replacement recommendation system.</w:t>
      </w:r>
    </w:p>
    <w:p>
      <w:pPr>
        <w:pStyle w:val="Heading1"/>
      </w:pPr>
      <w:r>
        <w:t xml:space="preserve">Future Work</w:t>
      </w:r>
    </w:p>
    <w:p>
      <w:r>
        <w:t xml:space="preserve">A stronger future version could use richer engineering material cost datasets with more exact composition or product-level pricing instead of broad commodity proxies.</w:t>
      </w:r>
    </w:p>
    <w:p>
      <w:r>
        <w:t xml:space="preserve">The target-cluster choice for TED cases could be improved with a semi-automatic suggestion layer based on the case title, CPV, and known material context.</w:t>
      </w:r>
    </w:p>
    <w:p>
      <w:r>
        <w:t xml:space="preserve">The final case-study stage could be strengthened by attaching external project documents or technical specifications to each TED example so the material assumptions become less approximate.</w:t>
      </w:r>
    </w:p>
    <w:p>
      <w:r>
        <w:t xml:space="preserve">Additional evaluation could compare several candidate clusters per case and measure how stable the recommended alternatives remain under different proximity thresholds.</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qFormat/>
    <w:rPr>
      <w:b/>
      <w:sz w:val="32"/>
    </w:rPr>
  </w:style>
  <w:style w:type="paragraph" w:styleId="Heading1">
    <w:name w:val="heading 1"/>
    <w:basedOn w:val="Normal"/>
    <w:qFormat/>
    <w:rPr>
      <w:b/>
      <w:sz w:val="28"/>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Summary</dc:title>
  <dc:creator>Codex</dc:creator>
  <cp:lastModifiedBy>Codex</cp:lastModifiedBy>
</cp:coreProperties>
</file>